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49F2"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307AA201" w14:textId="77777777" w:rsidR="00A85820" w:rsidRDefault="00000000" w:rsidP="00ED099F">
      <w:pPr>
        <w:jc w:val="center"/>
      </w:pPr>
      <w:r>
        <w:t>Running title: Perioperative Oral Care Under Universal Coverage</w:t>
      </w:r>
    </w:p>
    <w:p w14:paraId="6BA5D913" w14:textId="77777777" w:rsidR="00515C9D" w:rsidRDefault="00515C9D"/>
    <w:p w14:paraId="5485B080" w14:textId="77777777" w:rsidR="0055388C" w:rsidRDefault="00000000">
      <w:pPr>
        <w:pStyle w:val="1"/>
      </w:pPr>
      <w:r>
        <w:t>Abstract</w:t>
      </w:r>
    </w:p>
    <w:p w14:paraId="27D10F6B" w14:textId="77777777"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1A494B73" w14:textId="77777777" w:rsidR="00515C9D" w:rsidRDefault="00985A50">
      <w:r w:rsidRPr="00985A50">
        <w:rPr>
          <w:b/>
          <w:bCs/>
        </w:rPr>
        <w:t>Aims and Objectives</w:t>
      </w:r>
      <w:r w:rsidRPr="003C1EF6">
        <w:rPr>
          <w:b/>
          <w:bCs/>
        </w:rPr>
        <w:t>:</w:t>
      </w:r>
      <w:r>
        <w:t xml:space="preserve"> To characterize prefectural variation in POFM delivery across Japan, identify its association with cancer surgical demand and dental workforce supply, and assess spatial clustering.</w:t>
      </w:r>
    </w:p>
    <w:p w14:paraId="08E02A83" w14:textId="77777777"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1ACB8BC1"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autoregressive coefficient (ρ = 0.354, p = 0.002), with cancer surgery density remaining non-significant.</w:t>
      </w:r>
    </w:p>
    <w:p w14:paraId="0DBD2C61" w14:textId="77777777"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2D5C40BC" w14:textId="77777777" w:rsidR="0055388C" w:rsidRPr="00B61F97" w:rsidRDefault="00000000">
      <w:pPr>
        <w:pStyle w:val="a0"/>
      </w:pPr>
      <w:r>
        <w:rPr>
          <w:b/>
          <w:bCs/>
        </w:rPr>
        <w:lastRenderedPageBreak/>
        <w:t xml:space="preserve">Keywords: </w:t>
      </w:r>
      <w:r w:rsidRPr="00B61F97">
        <w:t>perioperative oral care; supply-driven care; universal health coverage; NDB Open Data; ecological study; spatial autocorrelation; Japan</w:t>
      </w:r>
    </w:p>
    <w:p w14:paraId="472C2850" w14:textId="77777777" w:rsidR="0055388C" w:rsidRDefault="00000000">
      <w:r>
        <w:pict w14:anchorId="699CA097">
          <v:rect id="_x0000_i1025" style="width:0;height:1.5pt" o:hralign="center" o:hrstd="t" o:hr="t"/>
        </w:pict>
      </w:r>
    </w:p>
    <w:p w14:paraId="041371DD" w14:textId="77777777" w:rsidR="00515C9D" w:rsidRDefault="00515C9D"/>
    <w:p w14:paraId="7903D4DE" w14:textId="77777777" w:rsidR="0055388C" w:rsidRDefault="00000000">
      <w:pPr>
        <w:pStyle w:val="1"/>
      </w:pPr>
      <w:bookmarkStart w:id="0" w:name="introduction"/>
      <w:r>
        <w:t>1. Introduction</w:t>
      </w:r>
    </w:p>
    <w:p w14:paraId="230A4196" w14:textId="77777777"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5B82D18F" w14:textId="77777777"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44AE5263" w14:textId="77777777"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E9B67F8"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5AF08449" w14:textId="77777777" w:rsidR="0055388C" w:rsidRDefault="00000000">
      <w:r>
        <w:pict w14:anchorId="38C9AABB">
          <v:rect id="_x0000_i1026" style="width:0;height:1.5pt" o:hralign="center" o:hrstd="t" o:hr="t"/>
        </w:pict>
      </w:r>
    </w:p>
    <w:p w14:paraId="580FD3A3" w14:textId="77777777" w:rsidR="0055388C" w:rsidRDefault="00000000">
      <w:pPr>
        <w:pStyle w:val="1"/>
      </w:pPr>
      <w:bookmarkStart w:id="1" w:name="methods"/>
      <w:bookmarkEnd w:id="0"/>
      <w:r>
        <w:lastRenderedPageBreak/>
        <w:t>2. Methods</w:t>
      </w:r>
    </w:p>
    <w:p w14:paraId="7236FC5D" w14:textId="77777777" w:rsidR="0055388C" w:rsidRDefault="00000000">
      <w:pPr>
        <w:pStyle w:val="2"/>
      </w:pPr>
      <w:bookmarkStart w:id="2" w:name="study-design-and-setting"/>
      <w:r>
        <w:t>2.1 Study Design and Setting</w:t>
      </w:r>
    </w:p>
    <w:p w14:paraId="427C680F"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39B0CD0F" w14:textId="77777777" w:rsidR="0055388C" w:rsidRDefault="00000000">
      <w:pPr>
        <w:pStyle w:val="2"/>
      </w:pPr>
      <w:bookmarkStart w:id="3" w:name="data-sources"/>
      <w:bookmarkEnd w:id="2"/>
      <w:r>
        <w:t>2.2 Data Sources</w:t>
      </w:r>
    </w:p>
    <w:p w14:paraId="4EB78879" w14:textId="77777777" w:rsidR="0055388C" w:rsidRDefault="00000000">
      <w:pPr>
        <w:pStyle w:val="3"/>
      </w:pPr>
      <w:bookmarkStart w:id="4" w:name="primary-outcome-pofm-density"/>
      <w:r>
        <w:t>2.2.1 Primary Outcome: POFM Density</w:t>
      </w:r>
    </w:p>
    <w:p w14:paraId="71FB637E" w14:textId="77777777" w:rsidR="0055388C" w:rsidRDefault="00000000">
      <w:pPr>
        <w:pStyle w:val="FirstParagraph"/>
      </w:pPr>
      <w:r>
        <w:t>The primary outcome was perioperative oral management density (POFM density), defined as:</w:t>
      </w:r>
    </w:p>
    <w:p w14:paraId="5424DB4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24FDDCA3" w14:textId="77777777"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A060D84" w14:textId="77777777" w:rsidR="0055388C" w:rsidRDefault="00000000">
      <w:pPr>
        <w:pStyle w:val="3"/>
      </w:pPr>
      <w:bookmarkStart w:id="5" w:name="X0eb28d1810381ce2e68c9ee95092723629f42a8"/>
      <w:bookmarkEnd w:id="4"/>
      <w:r>
        <w:t>2.2.2 Exposure Variable: Major Cancer Surgery Density</w:t>
      </w:r>
    </w:p>
    <w:p w14:paraId="1541528E" w14:textId="7777777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608BDA6" w14:textId="77777777" w:rsidR="0055388C" w:rsidRDefault="00000000">
      <w:pPr>
        <w:pStyle w:val="3"/>
      </w:pPr>
      <w:bookmarkStart w:id="6" w:name="covariates"/>
      <w:bookmarkEnd w:id="5"/>
      <w:r>
        <w:t>2.2.3 Covariates</w:t>
      </w:r>
    </w:p>
    <w:p w14:paraId="1860354A"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3DE92343"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33FA90D7" w14:textId="77777777" w:rsidR="0055388C" w:rsidRPr="00B61F97" w:rsidRDefault="00000000">
      <w:pPr>
        <w:pStyle w:val="Compact"/>
        <w:numPr>
          <w:ilvl w:val="0"/>
          <w:numId w:val="2"/>
        </w:numPr>
      </w:pPr>
      <w:r w:rsidRPr="00B61F97">
        <w:t>Population density: Persons per km², from the same prefectural statistics</w:t>
      </w:r>
    </w:p>
    <w:p w14:paraId="2E93573B"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65864514"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6B14F784" w14:textId="77777777" w:rsidR="0055388C" w:rsidRDefault="00000000">
      <w:pPr>
        <w:pStyle w:val="2"/>
      </w:pPr>
      <w:bookmarkStart w:id="7" w:name="statistical-analysis"/>
      <w:bookmarkEnd w:id="3"/>
      <w:bookmarkEnd w:id="6"/>
      <w:r>
        <w:t>2.3 Statistical Analysis</w:t>
      </w:r>
    </w:p>
    <w:p w14:paraId="1E686855" w14:textId="77777777" w:rsidR="0055388C" w:rsidRDefault="00000000">
      <w:pPr>
        <w:pStyle w:val="3"/>
      </w:pPr>
      <w:bookmarkStart w:id="8" w:name="primary-analysis"/>
      <w:r>
        <w:t>2.3.1 Primary Analysis</w:t>
      </w:r>
    </w:p>
    <w:p w14:paraId="26775594"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4B1ADA4B"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60354CAE" w14:textId="77777777" w:rsidR="0055388C" w:rsidRDefault="00000000">
      <w:pPr>
        <w:pStyle w:val="3"/>
      </w:pPr>
      <w:bookmarkStart w:id="9" w:name="sensitivity-analysis"/>
      <w:bookmarkEnd w:id="8"/>
      <w:r>
        <w:t>2.3.2 Sensitivity Analysis</w:t>
      </w:r>
    </w:p>
    <w:p w14:paraId="77CB9C74"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593E07E6" w14:textId="77777777" w:rsidR="0055388C" w:rsidRDefault="00000000">
      <w:pPr>
        <w:pStyle w:val="3"/>
      </w:pPr>
      <w:bookmarkStart w:id="10" w:name="spatial-analysis"/>
      <w:bookmarkEnd w:id="9"/>
      <w:r>
        <w:t>2.3.3 Spatial Analysis</w:t>
      </w:r>
    </w:p>
    <w:p w14:paraId="3BC1E2D7"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1828153E"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54C3BBC5" w14:textId="77777777" w:rsidR="0055388C" w:rsidRDefault="00000000">
      <w:pPr>
        <w:pStyle w:val="3"/>
      </w:pPr>
      <w:bookmarkStart w:id="11" w:name="post-hoc-statistical-power"/>
      <w:bookmarkEnd w:id="10"/>
      <w:r>
        <w:t>2.3.4 Post-hoc Statistical Power</w:t>
      </w:r>
    </w:p>
    <w:p w14:paraId="74076302"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5A6E39E3" w14:textId="77777777"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1AFA489" w14:textId="77777777" w:rsidR="0055388C" w:rsidRDefault="00000000">
      <w:r>
        <w:pict w14:anchorId="2BA794A9">
          <v:rect id="_x0000_i1027" style="width:0;height:1.5pt" o:hralign="center" o:hrstd="t" o:hr="t"/>
        </w:pict>
      </w:r>
    </w:p>
    <w:p w14:paraId="5A480B43" w14:textId="77777777" w:rsidR="00A85820" w:rsidRDefault="00000000">
      <w:pPr>
        <w:pStyle w:val="2"/>
      </w:pPr>
      <w:r>
        <w:t>2.4 Use of AI-Assisted Tools</w:t>
      </w:r>
    </w:p>
    <w:p w14:paraId="18E4EDF9" w14:textId="77777777" w:rsidR="00A85820" w:rsidRDefault="00000000">
      <w:pPr>
        <w:pStyle w:val="a0"/>
      </w:pPr>
      <w:r>
        <w:t>AI-assisted tools were used to support statistical analysis scripting and manuscript drafting. Cursor 3.0 (Anysphere) and Google Antigravity (Google) served as development platforms, employing large language models including Claude Sonnet 4.6 and Claude Opus 4.8 (Anthropic), GPT-5.5 (OpenAI), and Gemini 3 Pro (Google). These tools were used exclusively for code generation and text drafting; all study design decisions, selection of statistical methods, interpretation of findings, and conclusions are the sole responsibility of the authors. A full declaration is provided in the 'Declaration of Generative AI and AI-Assisted Technologies in the Manuscript Preparation Process' section of this manuscript.</w:t>
      </w:r>
    </w:p>
    <w:p w14:paraId="218A1AC3" w14:textId="77777777" w:rsidR="0055388C" w:rsidRDefault="00000000">
      <w:pPr>
        <w:pStyle w:val="1"/>
      </w:pPr>
      <w:bookmarkStart w:id="12" w:name="results"/>
      <w:bookmarkEnd w:id="1"/>
      <w:bookmarkEnd w:id="7"/>
      <w:bookmarkEnd w:id="11"/>
      <w:r>
        <w:t>3. Results</w:t>
      </w:r>
    </w:p>
    <w:p w14:paraId="4A31723F" w14:textId="77777777" w:rsidR="0055388C" w:rsidRDefault="00000000">
      <w:pPr>
        <w:pStyle w:val="2"/>
      </w:pPr>
      <w:bookmarkStart w:id="13" w:name="descriptive-statistics"/>
      <w:r>
        <w:t>3.1 Descriptive Statistics</w:t>
      </w:r>
    </w:p>
    <w:p w14:paraId="65F8B8B2"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11D26E64" w14:textId="77777777" w:rsidR="0055388C" w:rsidRDefault="00000000">
      <w:pPr>
        <w:pStyle w:val="a0"/>
      </w:pPr>
      <w:r>
        <w:rPr>
          <w:i/>
          <w:iCs/>
        </w:rPr>
        <w:lastRenderedPageBreak/>
        <w:t>(See Table 1)</w:t>
      </w:r>
    </w:p>
    <w:p w14:paraId="50E1B11E" w14:textId="77777777" w:rsidR="0055388C" w:rsidRDefault="00000000">
      <w:pPr>
        <w:pStyle w:val="2"/>
      </w:pPr>
      <w:bookmarkStart w:id="14" w:name="Xaea9b64a92838ee461e6d923ac0ce37f9f5fbd4"/>
      <w:bookmarkEnd w:id="13"/>
      <w:r>
        <w:t>3.2 Spatial Distribution of POFM and Cancer Surgery Density</w:t>
      </w:r>
    </w:p>
    <w:p w14:paraId="7D54ADFA" w14:textId="77777777" w:rsidR="0055388C" w:rsidRDefault="00000000">
      <w:pPr>
        <w:pStyle w:val="FirstParagraph"/>
      </w:pPr>
      <w:r>
        <w:t>The POFM density map (Figure 1)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34A3471B" w14:textId="77777777" w:rsidR="0055388C" w:rsidRDefault="00000000">
      <w:pPr>
        <w:pStyle w:val="a0"/>
      </w:pPr>
      <w:r>
        <w:t>(See Figure 1 and Supplementary Figure S1)</w:t>
      </w:r>
    </w:p>
    <w:p w14:paraId="76EBB73D" w14:textId="77777777" w:rsidR="0055388C" w:rsidRDefault="00000000">
      <w:pPr>
        <w:pStyle w:val="2"/>
      </w:pPr>
      <w:bookmarkStart w:id="15" w:name="Xda1057937d0ed8cc33f4b376fb12b3e67d47e70"/>
      <w:bookmarkEnd w:id="14"/>
      <w:r>
        <w:t>3.3 Association Between Cancer Surgery Density and POFM Density</w:t>
      </w:r>
    </w:p>
    <w:p w14:paraId="4BE19698" w14:textId="77777777" w:rsidR="0055388C" w:rsidRDefault="00000000">
      <w:pPr>
        <w:pStyle w:val="FirstParagraph"/>
      </w:pPr>
      <w:r>
        <w:t>The scatter plot (Appendix Figure A3) shows no clear linear association between cancer surgery density and POFM density across prefectures.</w:t>
      </w:r>
    </w:p>
    <w:p w14:paraId="4DDCB06D" w14:textId="77777777" w:rsidR="0055388C" w:rsidRDefault="00000000">
      <w:pPr>
        <w:pStyle w:val="a0"/>
      </w:pPr>
      <w:r>
        <w:rPr>
          <w:i/>
          <w:iCs/>
        </w:rPr>
        <w:t>(See Table 2)</w:t>
      </w:r>
    </w:p>
    <w:p w14:paraId="26692C7A"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2BDC06DC" w14:textId="77777777" w:rsidR="0055388C" w:rsidRDefault="00000000">
      <w:pPr>
        <w:pStyle w:val="2"/>
      </w:pPr>
      <w:bookmarkStart w:id="16" w:name="sensitivity-analysis-1"/>
      <w:bookmarkEnd w:id="15"/>
      <w:r>
        <w:t>3.4 Sensitivity Analysis</w:t>
      </w:r>
    </w:p>
    <w:p w14:paraId="32FFE4CA" w14:textId="77777777" w:rsidR="0055388C" w:rsidRDefault="00000000">
      <w:pPr>
        <w:pStyle w:val="FirstParagraph"/>
      </w:pPr>
      <w:r>
        <w:t>The forest plot (Appendix Figure A4) summarizes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r w:rsidR="00CC117D">
        <w:rPr>
          <w:rFonts w:hint="eastAsia"/>
          <w:lang w:eastAsia="ja-JP"/>
        </w:rPr>
      </w:r>
      <w:r/>
    </w:p>
    <w:p w14:paraId="6F1F6B57" w14:textId="77777777" w:rsidR="0055388C" w:rsidRDefault="00000000">
      <w:pPr>
        <w:pStyle w:val="2"/>
      </w:pPr>
      <w:bookmarkStart w:id="17" w:name="Xf17e011490ba64478f50f7aa3a5783be3d55067"/>
      <w:bookmarkEnd w:id="16"/>
      <w:r>
        <w:t>3.5 Spatial Autocorrelation and Spatial Regression</w:t>
      </w:r>
    </w:p>
    <w:p w14:paraId="2365C96A" w14:textId="77777777"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12ECB510"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1DEADA37" w14:textId="77777777" w:rsidR="0055388C" w:rsidRDefault="00000000">
      <w:pPr>
        <w:pStyle w:val="a0"/>
      </w:pPr>
      <w:r>
        <w:lastRenderedPageBreak/>
        <w:t>The SLM produced a significant spatial autoregressive coefficient (ρ = 0.354, z = 3.14, p = 0.002). Cancer surgery density remained non-significant (β = 114.2, z = 0.79, p = 0.431). Model fit improved relative to OLS (pseudo-R² = 0.350; AIC 1081.1 vs. 1087.1; Supplementary Table S1).</w:t>
      </w:r>
    </w:p>
    <w:p w14:paraId="55C23AAF" w14:textId="77777777" w:rsidR="0055388C" w:rsidRDefault="00000000">
      <w:pPr>
        <w:pStyle w:val="a0"/>
      </w:pPr>
      <w:r>
        <w:t>Selected spatial lag model coefficients are provided in Supplementary Table S1.</w:t>
      </w:r>
    </w:p>
    <w:p w14:paraId="17522916" w14:textId="77777777" w:rsidR="0055388C" w:rsidRDefault="00000000">
      <w:pPr>
        <w:pStyle w:val="a0"/>
      </w:pPr>
      <w:r>
        <w:t>LISA identified three High-High clusters in western Japan (Hyogo, Okayama, Saga), three Low-Low clusters (Hokkaido, Iwate, Okinawa), and one Low-High cluster (Figure 2). No High-Low clusters were detected.</w:t>
      </w:r>
    </w:p>
    <w:p w14:paraId="45FEFED8" w14:textId="77777777" w:rsidR="0055388C" w:rsidRDefault="00000000">
      <w:pPr>
        <w:pStyle w:val="a0"/>
      </w:pPr>
      <w:r>
        <w:t>(See Figure 2)</w:t>
      </w:r>
    </w:p>
    <w:p w14:paraId="628373BE" w14:textId="77777777" w:rsidR="0055388C" w:rsidRDefault="00000000">
      <w:r>
        <w:pict w14:anchorId="56FEF13C">
          <v:rect id="_x0000_i1028" style="width:0;height:1.5pt" o:hralign="center" o:hrstd="t" o:hr="t"/>
        </w:pict>
      </w:r>
    </w:p>
    <w:p w14:paraId="67FC209B" w14:textId="77777777" w:rsidR="0055388C" w:rsidRDefault="00000000">
      <w:pPr>
        <w:pStyle w:val="1"/>
      </w:pPr>
      <w:bookmarkStart w:id="18" w:name="discussion"/>
      <w:bookmarkEnd w:id="12"/>
      <w:bookmarkEnd w:id="17"/>
      <w:r>
        <w:t>4. Discussion</w:t>
      </w:r>
    </w:p>
    <w:p w14:paraId="4E7BB951" w14:textId="77777777" w:rsidR="0055388C" w:rsidRDefault="00000000">
      <w:pPr>
        <w:pStyle w:val="2"/>
      </w:pPr>
      <w:bookmarkStart w:id="19" w:name="summary-of-findings"/>
      <w:r>
        <w:t>4.1 Summary of Findings</w:t>
      </w:r>
    </w:p>
    <w:p w14:paraId="7B813E8D"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849972B" w14:textId="77777777" w:rsidR="0055388C" w:rsidRDefault="00000000">
      <w:pPr>
        <w:pStyle w:val="2"/>
      </w:pPr>
      <w:bookmarkStart w:id="20" w:name="X0e0375f1f85cf4a79257867a1fdb80c684492f3"/>
      <w:bookmarkEnd w:id="19"/>
      <w:r>
        <w:t>4.2 Healthcare Reimbursement Does Not Equal Healthcare Implementation</w:t>
      </w:r>
    </w:p>
    <w:p w14:paraId="2A390E7C" w14:textId="7777777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69ED77EC"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561E8082" w14:textId="77777777" w:rsidR="0055388C" w:rsidRDefault="00000000">
      <w:pPr>
        <w:pStyle w:val="a0"/>
      </w:pPr>
      <w:r>
        <w:t xml:space="preserve">Even so, the observed pattern is difficult to explain by need alone. Supply-side capacity, including hospital dental departments, trained POFM providers, referral </w:t>
      </w:r>
      <w:r>
        <w:lastRenderedPageBreak/>
        <w:t xml:space="preserve">pathways, and multidisciplinary perioperative routines, may strongly influence local uptake </w:t>
      </w:r>
      <w:r w:rsidR="0031271F">
        <w:rPr>
          <w:rFonts w:hint="eastAsia"/>
          <w:lang w:eastAsia="ja-JP"/>
        </w:rPr>
        <w:t>[</w:t>
      </w:r>
      <w:r>
        <w:t>13-15</w:t>
      </w:r>
      <w:r w:rsidR="0031271F">
        <w:t>]</w:t>
      </w:r>
      <w:r>
        <w:t>.</w:t>
      </w:r>
    </w:p>
    <w:p w14:paraId="6B34EB04" w14:textId="77777777"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6828F8F4" w14:textId="77777777" w:rsidR="0055388C" w:rsidRDefault="00000000">
      <w:pPr>
        <w:pStyle w:val="2"/>
      </w:pPr>
      <w:bookmarkStart w:id="21" w:name="spatial-regression-and-lisa-clustering"/>
      <w:bookmarkEnd w:id="20"/>
      <w:r>
        <w:t>4.3 Spatial Diffusion of Supply-Driven Implementation</w:t>
      </w:r>
    </w:p>
    <w:p w14:paraId="06E39644" w14:textId="77777777" w:rsidR="0055388C" w:rsidRDefault="00000000">
      <w:pPr>
        <w:pStyle w:val="FirstParagraph"/>
      </w:pPr>
      <w:r>
        <w:t>The significant spatial autoregressive coefficient (ρ = 0.354, p = 0.002) indicates that POFM uptake was spatially patterned. This is compatible with regional diffusion through professional networks, dental school outreach, and shared hospital dentistry staff pools, although these mechanisms were not directly measured [14,16,25,26].</w:t>
      </w:r>
    </w:p>
    <w:p w14:paraId="64085836"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2F2D0196" w14:textId="77777777" w:rsidR="0055388C" w:rsidRDefault="00000000">
      <w:pPr>
        <w:pStyle w:val="a0"/>
      </w:pPr>
      <w:r>
        <w:t>LISA localized the spatial signal to HH clusters in Hyogo, Okayama, and Saga, and LL clusters in Hokkaido, Iwate, and Okinawa (Figure 2). These patterns are compatible with established medical-dental collaboration in some western regions and more constrained healthcare access in peripheral areas [16,25,27-29].</w:t>
      </w:r>
      <w:r w:rsidR="0031271F">
        <w:rPr>
          <w:rFonts w:hint="eastAsia"/>
          <w:lang w:eastAsia="ja-JP"/>
        </w:rPr>
      </w:r>
      <w:r/>
      <w:r w:rsidR="0031271F">
        <w:rPr>
          <w:rFonts w:hint="eastAsia"/>
          <w:lang w:eastAsia="ja-JP"/>
        </w:rPr>
      </w:r>
      <w:r/>
      <w:r w:rsidR="0031271F"/>
      <w:r/>
    </w:p>
    <w:p w14:paraId="6CA29588" w14:textId="77777777" w:rsidR="0055388C" w:rsidRDefault="00000000">
      <w:pPr>
        <w:pStyle w:val="2"/>
      </w:pPr>
      <w:bookmarkStart w:id="22" w:name="X27902cb60bc071ff410ed64cb6a261fb90dbf71"/>
      <w:bookmarkEnd w:id="21"/>
      <w:r>
        <w:t>4.4 Supply-Side Determinants of Need-Based POFM Delivery</w:t>
      </w:r>
    </w:p>
    <w:p w14:paraId="344F6B88" w14:textId="77777777" w:rsidR="0055388C" w:rsidRDefault="00000000">
      <w:pPr>
        <w:pStyle w:val="FirstParagraph"/>
      </w:pPr>
      <w:r>
        <w:t>The findings point to supply-side capacity as a plausible driver of POFM provision (Appendix Figure A1). Three mechanisms are relevant.</w:t>
      </w:r>
    </w:p>
    <w:p w14:paraId="65DD1440" w14:textId="77777777" w:rsidR="0055388C" w:rsidRDefault="00000000">
      <w:pPr>
        <w:pStyle w:val="a0"/>
      </w:pPr>
      <w:r>
        <w:t xml:space="preserve">First, dental workforce capacity is central. Dentist density showed the strongest bivariate association with POFM density (r = 0.617, p &lt; 0.0001; Appendix Figure A2).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66CE9415" w14:textId="77777777"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1E13E6B0" w14:textId="77777777" w:rsidR="0055388C" w:rsidRDefault="00000000">
      <w:pPr>
        <w:pStyle w:val="a0"/>
      </w:pPr>
      <w:r>
        <w:t xml:space="preserve">Third, implementation lags may follow fee-schedule revisions. Expanded reimbursement requires institutional registration, credentialled personnel, and </w:t>
      </w:r>
      <w:r>
        <w:lastRenderedPageBreak/>
        <w:t>functioning referral routes; these requirements may diffuse unevenly across regions [12,24,34].</w:t>
      </w:r>
    </w:p>
    <w:p w14:paraId="7C85A77B" w14:textId="77777777" w:rsidR="0055388C" w:rsidRDefault="00000000">
      <w:pPr>
        <w:pStyle w:val="2"/>
      </w:pPr>
      <w:bookmarkStart w:id="23" w:name="comparison-with-prior-studies"/>
      <w:bookmarkEnd w:id="22"/>
      <w:r>
        <w:t xml:space="preserve">4.5 Comparison </w:t>
      </w:r>
      <w:r w:rsidR="000768DA">
        <w:rPr>
          <w:rFonts w:hint="eastAsia"/>
          <w:lang w:eastAsia="ja-JP"/>
        </w:rPr>
        <w:t>w</w:t>
      </w:r>
      <w:r>
        <w:t>ith Prior Studies and Health Policy Implications</w:t>
      </w:r>
    </w:p>
    <w:p w14:paraId="2E7706B5" w14:textId="7777777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27490C52" w14:textId="77777777" w:rsidR="0055388C" w:rsidRDefault="00000000">
      <w:pPr>
        <w:pStyle w:val="FirstParagraph"/>
      </w:pPr>
      <w:r>
        <w:t>The implications may extend beyond perioperative oral care. Other multidisciplinary services requiring cross-professional coordination may similarly depend on local implementation capacity rather than clinical need alone.</w:t>
      </w:r>
    </w:p>
    <w:p w14:paraId="386A72F7" w14:textId="77777777" w:rsidR="0055388C" w:rsidRDefault="00000000">
      <w:pPr>
        <w:pStyle w:val="2"/>
      </w:pPr>
      <w:bookmarkStart w:id="24" w:name="strengths-and-limitations"/>
      <w:bookmarkEnd w:id="23"/>
      <w:r>
        <w:t>4.6 Strengths and Limitations</w:t>
      </w:r>
    </w:p>
    <w:p w14:paraId="66C94B04"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534FB7C3" w14:textId="7777777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34498F7A" w14:textId="77777777" w:rsidR="0055388C" w:rsidRDefault="00000000">
      <w:pPr>
        <w:pStyle w:val="2"/>
      </w:pPr>
      <w:bookmarkStart w:id="25" w:name="policy-implications"/>
      <w:bookmarkEnd w:id="24"/>
      <w:r>
        <w:t>4.7 Policy Implications: Coverage Alone Does Not Ensure Equitable Implementation</w:t>
      </w:r>
    </w:p>
    <w:p w14:paraId="05121AC8" w14:textId="77777777" w:rsidR="0055388C" w:rsidRDefault="00000000">
      <w:pPr>
        <w:pStyle w:val="FirstParagraph"/>
      </w:pPr>
      <w:r>
        <w:t xml:space="preserve">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w:t>
      </w:r>
      <w:r>
        <w:lastRenderedPageBreak/>
        <w:t>implementation capacity remains heterogeneous. Monitoring claims-based regional variation can identify evidence-based services that are formally covered but not yet delivered in a need-aligned manner.</w:t>
      </w:r>
    </w:p>
    <w:p w14:paraId="229A2DD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reimbursement may increasingly be adopted internationally. However, this study suggests that coverage alone may be insufficient: parallel investment in dental workforce development, hospital-dental integration, referral pathway infrastructure, and multidisciplinary care routines may be equally necessary to translate formal eligibility into equitable access to evidence-based perioperative care.</w:t>
      </w:r>
    </w:p>
    <w:p w14:paraId="0FDE74DE" w14:textId="77777777" w:rsidR="0055388C" w:rsidRDefault="00000000">
      <w:pPr>
        <w:pStyle w:val="2"/>
      </w:pPr>
      <w:bookmarkStart w:id="26" w:name="conclusions"/>
      <w:bookmarkEnd w:id="25"/>
      <w:r>
        <w:t>4.8 Conclusions</w:t>
      </w:r>
    </w:p>
    <w:p w14:paraId="64362C9B"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0D5A2CD9" w14:textId="77777777" w:rsidR="0055388C" w:rsidRDefault="00000000">
      <w:r>
        <w:pict w14:anchorId="0D795C79">
          <v:rect id="_x0000_i1029" style="width:0;height:1.5pt" o:hralign="center" o:hrstd="t" o:hr="t"/>
        </w:pict>
      </w:r>
    </w:p>
    <w:p w14:paraId="577741F2" w14:textId="77777777" w:rsidR="0055388C" w:rsidRDefault="00000000">
      <w:pPr>
        <w:pStyle w:val="1"/>
      </w:pPr>
      <w:bookmarkStart w:id="27" w:name="acknowledgments"/>
      <w:bookmarkEnd w:id="18"/>
      <w:bookmarkEnd w:id="26"/>
      <w:r>
        <w:t>Acknowledgments</w:t>
      </w:r>
    </w:p>
    <w:p w14:paraId="1529B4D6"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7C0B3A00" w14:textId="77777777" w:rsidR="0055388C" w:rsidRDefault="00000000">
      <w:pPr>
        <w:pStyle w:val="1"/>
      </w:pPr>
      <w:bookmarkStart w:id="28" w:name="conflicts-of-interest"/>
      <w:bookmarkEnd w:id="27"/>
      <w:r>
        <w:t>Conflicts of Interest</w:t>
      </w:r>
    </w:p>
    <w:p w14:paraId="55BCFE0C" w14:textId="77777777" w:rsidR="0055388C" w:rsidRDefault="00000000">
      <w:pPr>
        <w:pStyle w:val="FirstParagraph"/>
      </w:pPr>
      <w:r>
        <w:t>The authors declare no conflicts of interest.</w:t>
      </w:r>
    </w:p>
    <w:p w14:paraId="4E6AE980" w14:textId="77777777" w:rsidR="0055388C" w:rsidRDefault="00000000">
      <w:pPr>
        <w:pStyle w:val="1"/>
      </w:pPr>
      <w:bookmarkStart w:id="29" w:name="data-availability"/>
      <w:bookmarkEnd w:id="28"/>
      <w:r>
        <w:t>Data Availability</w:t>
      </w:r>
    </w:p>
    <w:p w14:paraId="768CB6DA" w14:textId="77777777" w:rsidR="0055388C" w:rsidRDefault="00000000">
      <w:pPr>
        <w:pStyle w:val="FirstParagraph"/>
      </w:pPr>
      <w:r>
        <w:t xml:space="preserve">The NDB Open Data used in this analysis are publicly available from the Ministry of Health, Labour and Welfare of Japan </w:t>
      </w:r>
      <w:r>
        <w:lastRenderedPageBreak/>
        <w:t>(https://www.mhlw.go.jp/stf/seisakunitsuite/bunya/0000177182.html). Analysis code is available at https://github.com/haruki00430/NDB_POFM and archived on Zenodo (https://doi.org/10.5281/zenodo.20827647).</w:t>
      </w:r>
    </w:p>
    <w:p w14:paraId="0F4FC3DB" w14:textId="77777777" w:rsidR="0055388C" w:rsidRDefault="00ED6A67">
      <w:pPr>
        <w:pStyle w:val="1"/>
      </w:pPr>
      <w:bookmarkStart w:id="30" w:name="author-contributions"/>
      <w:bookmarkEnd w:id="29"/>
      <w:r>
        <w:t>Author Contributions</w:t>
      </w:r>
    </w:p>
    <w:p w14:paraId="02196960"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23EC3FEC" w14:textId="77777777" w:rsidR="00EA41A2" w:rsidRPr="00EA41A2" w:rsidRDefault="00ED6A67" w:rsidP="00ED6A67">
      <w:pPr>
        <w:pStyle w:val="a0"/>
        <w:rPr>
          <w:lang w:eastAsia="ja-JP"/>
        </w:rPr>
      </w:pPr>
      <w:r w:rsidRPr="00327913">
        <w:t>Tetsuya Ohira: Conceptualization, Supervision, Writing – review and editing.</w:t>
      </w:r>
    </w:p>
    <w:p w14:paraId="395D157B" w14:textId="77777777" w:rsidR="00A32CEB" w:rsidRDefault="00A32CEB" w:rsidP="00A32CEB">
      <w:pPr>
        <w:pStyle w:val="1"/>
        <w:rPr>
          <w:lang w:eastAsia="ja-JP"/>
        </w:rPr>
      </w:pPr>
      <w:bookmarkStart w:id="31" w:name="funding"/>
      <w:bookmarkEnd w:id="30"/>
      <w:r>
        <w:t>Funding</w:t>
      </w:r>
    </w:p>
    <w:p w14:paraId="430DEADF" w14:textId="77777777" w:rsidR="00A32CEB" w:rsidRPr="00A47AEE" w:rsidRDefault="00A32CEB" w:rsidP="00A32CEB">
      <w:pPr>
        <w:rPr>
          <w:lang w:eastAsia="ja-JP"/>
        </w:rPr>
      </w:pPr>
      <w:r w:rsidRPr="00F70518">
        <w:t>None declared.</w:t>
      </w:r>
    </w:p>
    <w:p w14:paraId="07F84907" w14:textId="77777777" w:rsidR="00A32CEB" w:rsidRDefault="00A32CEB" w:rsidP="00A32CEB">
      <w:pPr>
        <w:pStyle w:val="1"/>
        <w:rPr>
          <w:lang w:eastAsia="ja-JP"/>
        </w:rPr>
      </w:pPr>
      <w:r w:rsidRPr="00921003">
        <w:t>Declaration of Generative AI and AI-Assisted Technologies in the Manuscript Preparation Process</w:t>
      </w:r>
    </w:p>
    <w:p w14:paraId="5B16471E" w14:textId="77777777"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03DD40FD">
          <v:rect id="_x0000_i1030" style="width:0;height:1.5pt" o:hralign="center" o:hrstd="t" o:hr="t"/>
        </w:pict>
      </w:r>
    </w:p>
    <w:p w14:paraId="00B31EDF" w14:textId="77777777" w:rsidR="0055388C" w:rsidRDefault="00000000">
      <w:pPr>
        <w:pStyle w:val="1"/>
      </w:pPr>
      <w:bookmarkStart w:id="32" w:name="references"/>
      <w:bookmarkEnd w:id="31"/>
      <w:r>
        <w:t>References</w:t>
      </w:r>
    </w:p>
    <w:p w14:paraId="72B403BC" w14:textId="77777777" w:rsidR="0055388C" w:rsidRDefault="00000000">
      <w:pPr>
        <w:pStyle w:val="a9"/>
      </w:pPr>
      <w:r>
        <w:t>1. Wennberg JE, Gittelsohn A. Small area variations in health care delivery. Science. 1973;182(4117):1102-8. doi:10.1126/science.182.4117.1102.</w:t>
      </w:r>
    </w:p>
    <w:p w14:paraId="7F00425F" w14:textId="77777777" w:rsidR="0055388C" w:rsidRDefault="00000000">
      <w:pPr>
        <w:pStyle w:val="a9"/>
      </w:pPr>
      <w:r>
        <w:t>2. Wennberg JE, Fisher ES, Skinner JS. Geography and the debate over Medicare reform. Health Aff (Millwood). 2002;Suppl Web Exclusives:W96-114. doi:10.1377/hlthaff.w2.96.</w:t>
      </w:r>
    </w:p>
    <w:p w14:paraId="47FF44A7" w14:textId="77777777" w:rsidR="0055388C" w:rsidRDefault="00000000">
      <w:pPr>
        <w:pStyle w:val="a9"/>
      </w:pPr>
      <w:r>
        <w:lastRenderedPageBreak/>
        <w:t>3. Fisher ES, Wennberg DE, Stukel TA, Gottlieb DJ, Lucas FL, Pinder EL. The implications of regional variations in Medicare spending. Part 1: The content, quality, and accessibility of care. Ann Intern Med. 2003;138(4):273-87. doi:10.7326/0003-4819-138-4-200302180-00006.</w:t>
      </w:r>
    </w:p>
    <w:p w14:paraId="26F9842D" w14:textId="77777777" w:rsidR="0055388C" w:rsidRDefault="00000000">
      <w:pPr>
        <w:pStyle w:val="a9"/>
      </w:pPr>
      <w:r>
        <w:t>4. Wennberg JE. Time to tackle unwarranted variations in practice. BMJ. 2011;342:d1513. doi:10.1136/bmj.d1513.</w:t>
      </w:r>
    </w:p>
    <w:p w14:paraId="4D506D17" w14:textId="77777777" w:rsidR="0055388C" w:rsidRDefault="00000000">
      <w:pPr>
        <w:pStyle w:val="a9"/>
      </w:pPr>
      <w:bookmarkStart w:id="33" w:name="ref-Ishimaru2018"/>
      <w:bookmarkStart w:id="34" w:name="refs"/>
      <w:r>
        <w:t>5. Ishimaru M, Matsui H, Ono S, Hagiwara Y, Morita K, Yasunaga H. Preoperative oral care and effect on postoperative complications after major cancer surgery. Br J Surg. 2018;105(12):1688-96. Available from: https://pubmed.ncbi.nlm.nih.gov/30088267/</w:t>
      </w:r>
    </w:p>
    <w:p w14:paraId="2175F4C8" w14:textId="77777777" w:rsidR="0055388C" w:rsidRDefault="00000000">
      <w:pPr>
        <w:pStyle w:val="a9"/>
      </w:pPr>
      <w:bookmarkStart w:id="35" w:name="ref-CamusJansson2023"/>
      <w:bookmarkEnd w:id="33"/>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453C65F0" w14:textId="77777777" w:rsidR="0055388C" w:rsidRDefault="00000000">
      <w:pPr>
        <w:pStyle w:val="a9"/>
      </w:pPr>
      <w:bookmarkStart w:id="36" w:name="ref-Shin2019"/>
      <w:bookmarkEnd w:id="35"/>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391F7464" w14:textId="77777777" w:rsidR="0055388C" w:rsidRDefault="00000000">
      <w:pPr>
        <w:pStyle w:val="a9"/>
      </w:pPr>
      <w:bookmarkStart w:id="37" w:name="ref-Soutome2017"/>
      <w:bookmarkEnd w:id="36"/>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06C0EFC2" w14:textId="77777777" w:rsidR="0055388C" w:rsidRDefault="00000000">
      <w:pPr>
        <w:pStyle w:val="a9"/>
      </w:pPr>
      <w:bookmarkStart w:id="38" w:name="ref-Iwata2019"/>
      <w:bookmarkEnd w:id="37"/>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32BA8745" w14:textId="77777777" w:rsidR="0055388C" w:rsidRDefault="00000000">
      <w:pPr>
        <w:pStyle w:val="a9"/>
      </w:pPr>
      <w:bookmarkStart w:id="39" w:name="ref-Nobuhara2018"/>
      <w:bookmarkEnd w:id="38"/>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38E438D6" w14:textId="77777777" w:rsidR="0055388C" w:rsidRDefault="00000000">
      <w:pPr>
        <w:pStyle w:val="a9"/>
      </w:pPr>
      <w:bookmarkStart w:id="40" w:name="ref-Duan2025"/>
      <w:bookmarkEnd w:id="39"/>
      <w:r>
        <w:lastRenderedPageBreak/>
        <w:t>11. Duan L, Li D, Li Z, Luo W, Chu X. Effect of perioperative oral care on postoperative pneumonia in thoracic surgery patients: A systematic review and meta-analysis. Sci Rep. 2025 Dec 5;16(1):951. doi:10.1038/s41598-025-30492-6.</w:t>
      </w:r>
    </w:p>
    <w:p w14:paraId="26652A42" w14:textId="77777777" w:rsidR="0055388C" w:rsidRDefault="00000000">
      <w:pPr>
        <w:pStyle w:val="a9"/>
      </w:pPr>
      <w:bookmarkStart w:id="41" w:name="ref-MHLW2022"/>
      <w:bookmarkEnd w:id="40"/>
      <w:r>
        <w:t>12. Ministry of Health, Labour and Welfare. Medical fee schedule revision for fiscal year 2022 (Reiwa 4). 2022. Available from: https://www.mhlw.go.jp/stf/seisakunitsuite/bunya/0000188411_00037.html</w:t>
      </w:r>
    </w:p>
    <w:p w14:paraId="1212E884" w14:textId="77777777" w:rsidR="0055388C" w:rsidRDefault="00000000">
      <w:pPr>
        <w:pStyle w:val="a9"/>
      </w:pPr>
      <w:bookmarkStart w:id="42" w:name="ref-Kodama2021"/>
      <w:bookmarkEnd w:id="41"/>
      <w:r>
        <w:t>13. Kodama T, Ida Y, Oshima K, Miura H. Are public oral care services evenly distributed? Nation-wide assessment of the provision of oral care in Japan using the national database of health insurance claims. Int J Environ Res Public Health. 2021;18(20):10850.</w:t>
      </w:r>
    </w:p>
    <w:p w14:paraId="7A6ECED1" w14:textId="77777777" w:rsidR="0055388C" w:rsidRDefault="00000000">
      <w:pPr>
        <w:pStyle w:val="a9"/>
      </w:pPr>
      <w:bookmarkStart w:id="43" w:name="ref-Ishimaru2022b"/>
      <w:bookmarkEnd w:id="42"/>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080110FB" w14:textId="77777777" w:rsidR="0055388C" w:rsidRDefault="00000000">
      <w:pPr>
        <w:pStyle w:val="a9"/>
      </w:pPr>
      <w:bookmarkStart w:id="44" w:name="ref-Nomura2021"/>
      <w:bookmarkEnd w:id="43"/>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BF513C6" w14:textId="77777777" w:rsidR="0055388C" w:rsidRDefault="00000000">
      <w:pPr>
        <w:pStyle w:val="a9"/>
      </w:pPr>
      <w:bookmarkStart w:id="45" w:name="ref-Taira2021"/>
      <w:bookmarkEnd w:id="44"/>
      <w:r>
        <w:t>16. Taira K, Mori T, Ishimaru M, Iwagami M, Sakata N, Watanabe T, et al. Regional inequality in dental care utilization in Japan: An ecological study using the national database of health insurance claims. Lancet Reg Health West Pac. 2021;12:100170.</w:t>
      </w:r>
    </w:p>
    <w:p w14:paraId="74045B4F" w14:textId="77777777" w:rsidR="0055388C" w:rsidRDefault="00000000">
      <w:pPr>
        <w:pStyle w:val="a9"/>
      </w:pPr>
      <w:bookmarkStart w:id="46" w:name="ref-MHLW_NDB2023"/>
      <w:bookmarkEnd w:id="45"/>
      <w:r>
        <w:t>17. Ministry of Health, Labour and Welfare. National Database of Health Insurance Claims and Specific Health Checkups Open Data: 10th release. 2024. Available from: https://www.mhlw.go.jp/stf/seisakunitsuite/bunya/0000177182.html</w:t>
      </w:r>
    </w:p>
    <w:p w14:paraId="662FD15F" w14:textId="77777777" w:rsidR="0055388C" w:rsidRDefault="00000000">
      <w:pPr>
        <w:pStyle w:val="a9"/>
      </w:pPr>
      <w:bookmarkStart w:id="47" w:name="ref-Sato2024NDB"/>
      <w:bookmarkEnd w:id="46"/>
      <w:r>
        <w:t>18. Sato S, Yasunaga H. A review of studies using Japanese nationwide administrative claims databases. Ann Clin Epidemiol. 2023;5(2):58-64. Available from: https://pubmed.ncbi.nlm.nih.gov/38505730/</w:t>
      </w:r>
    </w:p>
    <w:p w14:paraId="53800419" w14:textId="77777777" w:rsidR="0055388C" w:rsidRDefault="00000000">
      <w:pPr>
        <w:pStyle w:val="a9"/>
      </w:pPr>
      <w:bookmarkStart w:id="48" w:name="ref-MHLW_DentistSurvey2022"/>
      <w:bookmarkEnd w:id="47"/>
      <w:r>
        <w:t>19. Ministry of Health, Labour and Welfare. Survey of physicians, dentists and pharmacists: Reiwa 4 (2022). 2023. Available from: https://www.mhlw.go.jp/toukei/saikin/hw/ishi/22/index.html</w:t>
      </w:r>
    </w:p>
    <w:p w14:paraId="712A2412" w14:textId="77777777" w:rsidR="0055388C" w:rsidRDefault="00000000">
      <w:pPr>
        <w:pStyle w:val="a9"/>
      </w:pPr>
      <w:bookmarkStart w:id="49" w:name="ref-Anselin1995"/>
      <w:bookmarkEnd w:id="48"/>
      <w:r>
        <w:t>20. Anselin L. Spatial econometrics: Methods and models. Dordrecht: Kluwer Academic Publishers; 1988.</w:t>
      </w:r>
    </w:p>
    <w:p w14:paraId="78B6C371" w14:textId="77777777" w:rsidR="0055388C" w:rsidRDefault="00000000">
      <w:pPr>
        <w:pStyle w:val="a9"/>
      </w:pPr>
      <w:bookmarkStart w:id="50" w:name="ref-Anselin1988"/>
      <w:bookmarkEnd w:id="49"/>
      <w:r>
        <w:t>21. LeSage JP, Pace RK. Introduction to spatial econometrics. Boca Raton: Chapman and Hall/CRC; 2009.</w:t>
      </w:r>
    </w:p>
    <w:p w14:paraId="1674BE77" w14:textId="77777777" w:rsidR="0055388C" w:rsidRDefault="00000000">
      <w:pPr>
        <w:pStyle w:val="a9"/>
      </w:pPr>
      <w:bookmarkStart w:id="51" w:name="ref-LeSage2009"/>
      <w:bookmarkEnd w:id="50"/>
      <w:r>
        <w:lastRenderedPageBreak/>
        <w:t>22. Anselin L. Local indicators of spatial association-LISA. Geogr Anal. 1995;27(2):93-115.</w:t>
      </w:r>
    </w:p>
    <w:p w14:paraId="17BB8AD0" w14:textId="77777777" w:rsidR="0055388C" w:rsidRDefault="00000000">
      <w:pPr>
        <w:pStyle w:val="a9"/>
      </w:pPr>
      <w:bookmarkStart w:id="52" w:name="ref-Cohen1988"/>
      <w:bookmarkEnd w:id="51"/>
      <w:r>
        <w:t>23. Cohen J. Statistical power analysis for the behavioral sciences. 2nd ed. Hillsdale (NJ): Lawrence Erlbaum Associates; 1988.</w:t>
      </w:r>
    </w:p>
    <w:p w14:paraId="10C90E27" w14:textId="77777777" w:rsidR="0055388C" w:rsidRDefault="00000000">
      <w:pPr>
        <w:pStyle w:val="a9"/>
      </w:pPr>
      <w:bookmarkStart w:id="53" w:name="ref-Greenhalgh2004"/>
      <w:bookmarkEnd w:id="52"/>
      <w:r>
        <w:t>24. Greenhalgh T, Robert G, Macfarlane F, Bate P, Kyriakidou O. Diffusion of innovations in service organizations: Systematic review and recommendations. Milbank Q. 2004;82(4):581-629.</w:t>
      </w:r>
    </w:p>
    <w:p w14:paraId="0C30B7AD" w14:textId="77777777" w:rsidR="0055388C" w:rsidRDefault="00000000">
      <w:pPr>
        <w:pStyle w:val="a9"/>
      </w:pPr>
      <w:bookmarkStart w:id="54" w:name="ref-Ibuka2020"/>
      <w:bookmarkEnd w:id="53"/>
      <w:r>
        <w:t>25. Ibuka Y, Matsuda Y, Shoji K, Ishigaki T. Evaluation of regional variations in healthcare utilization. Jpn J Stat Data Sci. 2020;3(1):349-65.</w:t>
      </w:r>
    </w:p>
    <w:p w14:paraId="44032297" w14:textId="77777777" w:rsidR="0055388C" w:rsidRDefault="00000000">
      <w:pPr>
        <w:pStyle w:val="a9"/>
      </w:pPr>
      <w:bookmarkStart w:id="55" w:name="ref-Seo2022"/>
      <w:bookmarkEnd w:id="54"/>
      <w:r>
        <w:t>26. Seo Y, Takikawa T. Regional variation in national healthcare expenditure and health system performance in central cities and suburbs in Japan. Healthcare (Basel). 2022;10(6):968.</w:t>
      </w:r>
    </w:p>
    <w:p w14:paraId="4752E448" w14:textId="77777777" w:rsidR="0055388C" w:rsidRDefault="00000000">
      <w:pPr>
        <w:pStyle w:val="a9"/>
      </w:pPr>
      <w:bookmarkStart w:id="56" w:name="ref-Okayama2017"/>
      <w:bookmarkEnd w:id="55"/>
      <w:r>
        <w:t>27. Shirakawa Y. Perioperative team cooperation at Okayama University Hospital [in Japanese]. Nihon Geka Gakkai Zasshi. 2017;118(2):149-54.</w:t>
      </w:r>
    </w:p>
    <w:p w14:paraId="520C676F" w14:textId="77777777" w:rsidR="0055388C" w:rsidRDefault="00000000">
      <w:pPr>
        <w:pStyle w:val="a9"/>
      </w:pPr>
      <w:bookmarkStart w:id="57" w:name="ref-Kunitomi2025"/>
      <w:bookmarkEnd w:id="56"/>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0E8FFE4" w14:textId="77777777" w:rsidR="0055388C" w:rsidRDefault="00000000">
      <w:pPr>
        <w:pStyle w:val="a9"/>
      </w:pPr>
      <w:bookmarkStart w:id="58" w:name="ref-Shirakura2024"/>
      <w:bookmarkEnd w:id="57"/>
      <w:r>
        <w:t>29. Shirakura Y, Shobugawa Y, Saito R. Geographic variation in inpatient medical expenditure among older adults aged 75 years and above in Japan: A three-level multilevel analysis of nationwide data. Front Public Health. 2024;12:1306013.</w:t>
      </w:r>
    </w:p>
    <w:p w14:paraId="45AD9D41" w14:textId="77777777" w:rsidR="0055388C" w:rsidRDefault="00000000">
      <w:pPr>
        <w:pStyle w:val="a9"/>
      </w:pPr>
      <w:bookmarkStart w:id="59" w:name="ref-Takazawa2026"/>
      <w:bookmarkEnd w:id="58"/>
      <w:r>
        <w:t>30. Takazawa I, Suzuki H, Sugimoto K, Kabasawa Y, Adachi N, Yoshida N. Survey on status of oral care practices and factors associated with confidence in oral care skills in ward nurses at an acute hospital in Japan. BMC Oral Health. 2026;26(1):469.</w:t>
      </w:r>
    </w:p>
    <w:p w14:paraId="30768EC5" w14:textId="77777777" w:rsidR="0055388C" w:rsidRDefault="00000000">
      <w:pPr>
        <w:pStyle w:val="a9"/>
      </w:pPr>
      <w:bookmarkStart w:id="60" w:name="ref-Koike2022"/>
      <w:bookmarkEnd w:id="59"/>
      <w:r>
        <w:t>31. Koike T, Ohta R, Matsuda Y, Sano C, Kanno T. Oral care awareness and factors related to the burden of nurses at a community hospital in Japan. Healthcare (Basel). 2022;10(6):1073.</w:t>
      </w:r>
    </w:p>
    <w:p w14:paraId="4F4FF255" w14:textId="77777777" w:rsidR="0055388C" w:rsidRDefault="00000000">
      <w:pPr>
        <w:pStyle w:val="a9"/>
      </w:pPr>
      <w:bookmarkStart w:id="61" w:name="ref-Hashimura2018"/>
      <w:bookmarkEnd w:id="60"/>
      <w:r>
        <w:t>32. Hashimura T, Tanimoto T, Morita T, Kami M. Distribution of dentists in the greater Tokyo area, Japan. Int Dent J. 2019;69(2):150-7. Available from: https://pubmed.ncbi.nlm.nih.gov/30350864/</w:t>
      </w:r>
    </w:p>
    <w:p w14:paraId="49108DC1" w14:textId="77777777" w:rsidR="0055388C" w:rsidRDefault="00000000">
      <w:pPr>
        <w:pStyle w:val="a9"/>
      </w:pPr>
      <w:bookmarkStart w:id="62" w:name="ref-Yamamoto2023access"/>
      <w:bookmarkEnd w:id="61"/>
      <w:r>
        <w:t>33. Yamamoto T, Hanazato M, Hikichi H, Kondo K, Osaka K, Kawachi I, et al. Change in geographic accessibility to dental clinics affects access to care. J Dent Res. 2023;102(7):719-26. Available from: https://pubmed.ncbi.nlm.nih.gov/37204154/</w:t>
      </w:r>
    </w:p>
    <w:p w14:paraId="1B1B0E04" w14:textId="77777777" w:rsidR="0055388C" w:rsidRDefault="00000000">
      <w:pPr>
        <w:pStyle w:val="a9"/>
      </w:pPr>
      <w:bookmarkStart w:id="63" w:name="ref-Sato2023dental"/>
      <w:bookmarkEnd w:id="62"/>
      <w:r>
        <w:lastRenderedPageBreak/>
        <w:t>34. Sato Y, Fukai K, Kunori Y, Yoshioka E, Saijo Y. Trends in dental expenditures in Japan with a universal health insurance system. PLoS One. 2023;18(10):e0292547.</w:t>
      </w:r>
    </w:p>
    <w:p w14:paraId="77F56E51" w14:textId="77777777" w:rsidR="0055388C" w:rsidRDefault="00000000">
      <w:pPr>
        <w:pStyle w:val="a9"/>
      </w:pPr>
      <w:bookmarkStart w:id="64" w:name="ref-Morgenstern1998"/>
      <w:bookmarkEnd w:id="63"/>
      <w:r>
        <w:t>35. Morgenstern H. Ecologic studies in epidemiology: Concepts, principles, and methods. Annu Rev Public Health. 1995;16:61-81. Available from: https://pubmed.ncbi.nlm.nih.gov/7639884/</w:t>
      </w:r>
    </w:p>
    <w:p w14:paraId="1D96027A" w14:textId="77777777" w:rsidR="0055388C" w:rsidRDefault="00000000">
      <w:pPr>
        <w:pStyle w:val="a9"/>
      </w:pPr>
      <w:bookmarkStart w:id="65" w:name="ref-Greenland2001"/>
      <w:bookmarkEnd w:id="64"/>
      <w:r>
        <w:t>36. Greenland S. Ecologic versus individual-level sources of bias in ecologic estimates of contextual health effects. Int J Epidemiol. 2001;30(6):1343-50. Available from: https://pubmed.ncbi.nlm.nih.gov/11821344/</w:t>
      </w:r>
    </w:p>
    <w:bookmarkEnd w:id="34"/>
    <w:bookmarkEnd w:id="65"/>
    <w:p w14:paraId="1EE9CF46" w14:textId="77777777" w:rsidR="0055388C" w:rsidRDefault="00000000">
      <w:r>
        <w:pict w14:anchorId="5A12D1C5">
          <v:rect id="_x0000_i1031" style="width:0;height:1.5pt" o:hralign="center" o:hrstd="t" o:hr="t"/>
        </w:pict>
      </w:r>
    </w:p>
    <w:bookmarkEnd w:id="32"/>
    <w:p w14:paraId="0AC178D0" w14:textId="77777777" w:rsidR="0055388C" w:rsidRDefault="00000000">
      <w:pPr>
        <w:pStyle w:val="1"/>
      </w:pPr>
      <w:r>
        <w:t>Tables</w:t>
      </w:r>
    </w:p>
    <w:p w14:paraId="3B4488DF"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304440C4"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4F43AD86" w14:textId="77777777" w:rsidR="0055388C" w:rsidRDefault="00000000">
            <w:pPr>
              <w:pStyle w:val="Compact"/>
            </w:pPr>
            <w:r>
              <w:t>Variable</w:t>
            </w:r>
          </w:p>
        </w:tc>
        <w:tc>
          <w:tcPr>
            <w:tcW w:w="0" w:type="auto"/>
          </w:tcPr>
          <w:p w14:paraId="7264D7B3" w14:textId="77777777" w:rsidR="0055388C" w:rsidRDefault="00000000">
            <w:pPr>
              <w:pStyle w:val="Compact"/>
            </w:pPr>
            <w:r>
              <w:t>Mean (SD)</w:t>
            </w:r>
          </w:p>
        </w:tc>
        <w:tc>
          <w:tcPr>
            <w:tcW w:w="0" w:type="auto"/>
          </w:tcPr>
          <w:p w14:paraId="21B3EF0E" w14:textId="77777777" w:rsidR="0055388C" w:rsidRDefault="00000000">
            <w:pPr>
              <w:pStyle w:val="Compact"/>
            </w:pPr>
            <w:r>
              <w:t>Min</w:t>
            </w:r>
          </w:p>
        </w:tc>
        <w:tc>
          <w:tcPr>
            <w:tcW w:w="0" w:type="auto"/>
          </w:tcPr>
          <w:p w14:paraId="0EE6BDD6" w14:textId="77777777" w:rsidR="0055388C" w:rsidRDefault="00000000">
            <w:pPr>
              <w:pStyle w:val="Compact"/>
            </w:pPr>
            <w:r>
              <w:t>Max</w:t>
            </w:r>
          </w:p>
        </w:tc>
        <w:tc>
          <w:tcPr>
            <w:tcW w:w="0" w:type="auto"/>
          </w:tcPr>
          <w:p w14:paraId="450D74BD" w14:textId="77777777" w:rsidR="0055388C" w:rsidRDefault="00000000">
            <w:pPr>
              <w:pStyle w:val="Compact"/>
            </w:pPr>
            <w:r>
              <w:t>CV (%)</w:t>
            </w:r>
          </w:p>
        </w:tc>
      </w:tr>
      <w:tr w:rsidR="0055388C" w14:paraId="3F61444F" w14:textId="77777777">
        <w:tc>
          <w:tcPr>
            <w:tcW w:w="0" w:type="auto"/>
          </w:tcPr>
          <w:p w14:paraId="45756B55" w14:textId="77777777" w:rsidR="0055388C" w:rsidRDefault="00000000">
            <w:pPr>
              <w:pStyle w:val="Compact"/>
            </w:pPr>
            <w:r>
              <w:t>POFM density (/100K)</w:t>
            </w:r>
          </w:p>
        </w:tc>
        <w:tc>
          <w:tcPr>
            <w:tcW w:w="0" w:type="auto"/>
          </w:tcPr>
          <w:p w14:paraId="44A36456" w14:textId="77777777" w:rsidR="0055388C" w:rsidRDefault="00000000">
            <w:pPr>
              <w:pStyle w:val="Compact"/>
            </w:pPr>
            <w:r>
              <w:t>103,963 (20,390)</w:t>
            </w:r>
          </w:p>
        </w:tc>
        <w:tc>
          <w:tcPr>
            <w:tcW w:w="0" w:type="auto"/>
          </w:tcPr>
          <w:p w14:paraId="4B4D0385" w14:textId="77777777" w:rsidR="0055388C" w:rsidRDefault="00000000">
            <w:pPr>
              <w:pStyle w:val="Compact"/>
            </w:pPr>
            <w:r>
              <w:t>68,804</w:t>
            </w:r>
          </w:p>
        </w:tc>
        <w:tc>
          <w:tcPr>
            <w:tcW w:w="0" w:type="auto"/>
          </w:tcPr>
          <w:p w14:paraId="648CDBB5" w14:textId="77777777" w:rsidR="0055388C" w:rsidRDefault="00000000">
            <w:pPr>
              <w:pStyle w:val="Compact"/>
            </w:pPr>
            <w:r>
              <w:t>154,850</w:t>
            </w:r>
          </w:p>
        </w:tc>
        <w:tc>
          <w:tcPr>
            <w:tcW w:w="0" w:type="auto"/>
          </w:tcPr>
          <w:p w14:paraId="0AD59928" w14:textId="77777777" w:rsidR="0055388C" w:rsidRDefault="00000000">
            <w:pPr>
              <w:pStyle w:val="Compact"/>
            </w:pPr>
            <w:r>
              <w:t>19.6</w:t>
            </w:r>
          </w:p>
        </w:tc>
      </w:tr>
      <w:tr w:rsidR="0055388C" w14:paraId="132391E2" w14:textId="77777777">
        <w:tc>
          <w:tcPr>
            <w:tcW w:w="0" w:type="auto"/>
          </w:tcPr>
          <w:p w14:paraId="11866E0F" w14:textId="77777777" w:rsidR="0055388C" w:rsidRDefault="00000000">
            <w:pPr>
              <w:pStyle w:val="Compact"/>
            </w:pPr>
            <w:r>
              <w:t>Cancer surgery density (/100K)</w:t>
            </w:r>
          </w:p>
        </w:tc>
        <w:tc>
          <w:tcPr>
            <w:tcW w:w="0" w:type="auto"/>
          </w:tcPr>
          <w:p w14:paraId="6D38E361" w14:textId="77777777" w:rsidR="0055388C" w:rsidRDefault="00000000">
            <w:pPr>
              <w:pStyle w:val="Compact"/>
            </w:pPr>
            <w:r>
              <w:t>237.7 (28.5)</w:t>
            </w:r>
          </w:p>
        </w:tc>
        <w:tc>
          <w:tcPr>
            <w:tcW w:w="0" w:type="auto"/>
          </w:tcPr>
          <w:p w14:paraId="3A77E757" w14:textId="77777777" w:rsidR="0055388C" w:rsidRDefault="00000000">
            <w:pPr>
              <w:pStyle w:val="Compact"/>
            </w:pPr>
            <w:r>
              <w:t>173.6</w:t>
            </w:r>
          </w:p>
        </w:tc>
        <w:tc>
          <w:tcPr>
            <w:tcW w:w="0" w:type="auto"/>
          </w:tcPr>
          <w:p w14:paraId="24F2CC0C" w14:textId="77777777" w:rsidR="0055388C" w:rsidRDefault="00000000">
            <w:pPr>
              <w:pStyle w:val="Compact"/>
            </w:pPr>
            <w:r>
              <w:t>287.0</w:t>
            </w:r>
          </w:p>
        </w:tc>
        <w:tc>
          <w:tcPr>
            <w:tcW w:w="0" w:type="auto"/>
          </w:tcPr>
          <w:p w14:paraId="118AC13A" w14:textId="77777777" w:rsidR="0055388C" w:rsidRDefault="00000000">
            <w:pPr>
              <w:pStyle w:val="Compact"/>
            </w:pPr>
            <w:r>
              <w:t>12.0</w:t>
            </w:r>
          </w:p>
        </w:tc>
      </w:tr>
      <w:tr w:rsidR="0055388C" w14:paraId="10F41098" w14:textId="77777777">
        <w:tc>
          <w:tcPr>
            <w:tcW w:w="0" w:type="auto"/>
          </w:tcPr>
          <w:p w14:paraId="56A04D56" w14:textId="77777777" w:rsidR="0055388C" w:rsidRDefault="00000000">
            <w:pPr>
              <w:pStyle w:val="Compact"/>
            </w:pPr>
            <w:r>
              <w:t>Aging rate (%)</w:t>
            </w:r>
          </w:p>
        </w:tc>
        <w:tc>
          <w:tcPr>
            <w:tcW w:w="0" w:type="auto"/>
          </w:tcPr>
          <w:p w14:paraId="5EC3CBF5" w14:textId="77777777" w:rsidR="0055388C" w:rsidRDefault="00000000">
            <w:pPr>
              <w:pStyle w:val="Compact"/>
            </w:pPr>
            <w:r>
              <w:t>31.2 (3.1)</w:t>
            </w:r>
          </w:p>
        </w:tc>
        <w:tc>
          <w:tcPr>
            <w:tcW w:w="0" w:type="auto"/>
          </w:tcPr>
          <w:p w14:paraId="18746F8A" w14:textId="77777777" w:rsidR="0055388C" w:rsidRDefault="00000000">
            <w:pPr>
              <w:pStyle w:val="Compact"/>
            </w:pPr>
            <w:r>
              <w:t>24.4</w:t>
            </w:r>
          </w:p>
        </w:tc>
        <w:tc>
          <w:tcPr>
            <w:tcW w:w="0" w:type="auto"/>
          </w:tcPr>
          <w:p w14:paraId="45E7CC70" w14:textId="77777777" w:rsidR="0055388C" w:rsidRDefault="00000000">
            <w:pPr>
              <w:pStyle w:val="Compact"/>
            </w:pPr>
            <w:r>
              <w:t>38.3</w:t>
            </w:r>
          </w:p>
        </w:tc>
        <w:tc>
          <w:tcPr>
            <w:tcW w:w="0" w:type="auto"/>
          </w:tcPr>
          <w:p w14:paraId="689AAD37" w14:textId="77777777" w:rsidR="0055388C" w:rsidRDefault="00000000">
            <w:pPr>
              <w:pStyle w:val="Compact"/>
            </w:pPr>
            <w:r>
              <w:t>—</w:t>
            </w:r>
          </w:p>
        </w:tc>
      </w:tr>
      <w:tr w:rsidR="0055388C" w14:paraId="5A14BE72" w14:textId="77777777">
        <w:tc>
          <w:tcPr>
            <w:tcW w:w="0" w:type="auto"/>
          </w:tcPr>
          <w:p w14:paraId="7E2D4320" w14:textId="77777777" w:rsidR="0055388C" w:rsidRDefault="00000000">
            <w:pPr>
              <w:pStyle w:val="Compact"/>
            </w:pPr>
            <w:r>
              <w:t>Per-capita income (¥10K)</w:t>
            </w:r>
          </w:p>
        </w:tc>
        <w:tc>
          <w:tcPr>
            <w:tcW w:w="0" w:type="auto"/>
          </w:tcPr>
          <w:p w14:paraId="29750D66" w14:textId="77777777" w:rsidR="0055388C" w:rsidRDefault="00000000">
            <w:pPr>
              <w:pStyle w:val="Compact"/>
            </w:pPr>
            <w:r>
              <w:t>3,039 (280)</w:t>
            </w:r>
          </w:p>
        </w:tc>
        <w:tc>
          <w:tcPr>
            <w:tcW w:w="0" w:type="auto"/>
          </w:tcPr>
          <w:p w14:paraId="0A8FD5C1" w14:textId="77777777" w:rsidR="0055388C" w:rsidRDefault="00000000">
            <w:pPr>
              <w:pStyle w:val="Compact"/>
            </w:pPr>
            <w:r>
              <w:t>2,553</w:t>
            </w:r>
          </w:p>
        </w:tc>
        <w:tc>
          <w:tcPr>
            <w:tcW w:w="0" w:type="auto"/>
          </w:tcPr>
          <w:p w14:paraId="4B07FC78" w14:textId="77777777" w:rsidR="0055388C" w:rsidRDefault="00000000">
            <w:pPr>
              <w:pStyle w:val="Compact"/>
            </w:pPr>
            <w:r>
              <w:t>4,055</w:t>
            </w:r>
          </w:p>
        </w:tc>
        <w:tc>
          <w:tcPr>
            <w:tcW w:w="0" w:type="auto"/>
          </w:tcPr>
          <w:p w14:paraId="0C6D59A5" w14:textId="77777777" w:rsidR="0055388C" w:rsidRDefault="00000000">
            <w:pPr>
              <w:pStyle w:val="Compact"/>
            </w:pPr>
            <w:r>
              <w:t>—</w:t>
            </w:r>
          </w:p>
        </w:tc>
      </w:tr>
      <w:tr w:rsidR="0055388C" w14:paraId="201C2C83" w14:textId="77777777">
        <w:tc>
          <w:tcPr>
            <w:tcW w:w="0" w:type="auto"/>
          </w:tcPr>
          <w:p w14:paraId="68DAFB65" w14:textId="77777777" w:rsidR="0055388C" w:rsidRDefault="00000000">
            <w:pPr>
              <w:pStyle w:val="Compact"/>
            </w:pPr>
            <w:r>
              <w:t>Population density (persons/km²)</w:t>
            </w:r>
          </w:p>
        </w:tc>
        <w:tc>
          <w:tcPr>
            <w:tcW w:w="0" w:type="auto"/>
          </w:tcPr>
          <w:p w14:paraId="33EB45AE" w14:textId="77777777" w:rsidR="0055388C" w:rsidRDefault="00000000">
            <w:pPr>
              <w:pStyle w:val="Compact"/>
            </w:pPr>
            <w:r>
              <w:t>329 (482)</w:t>
            </w:r>
          </w:p>
        </w:tc>
        <w:tc>
          <w:tcPr>
            <w:tcW w:w="0" w:type="auto"/>
          </w:tcPr>
          <w:p w14:paraId="63DD04F1" w14:textId="77777777" w:rsidR="0055388C" w:rsidRDefault="00000000">
            <w:pPr>
              <w:pStyle w:val="Compact"/>
            </w:pPr>
            <w:r>
              <w:t>63</w:t>
            </w:r>
          </w:p>
        </w:tc>
        <w:tc>
          <w:tcPr>
            <w:tcW w:w="0" w:type="auto"/>
          </w:tcPr>
          <w:p w14:paraId="31137E7F" w14:textId="77777777" w:rsidR="0055388C" w:rsidRDefault="00000000">
            <w:pPr>
              <w:pStyle w:val="Compact"/>
            </w:pPr>
            <w:r>
              <w:t>6,363</w:t>
            </w:r>
          </w:p>
        </w:tc>
        <w:tc>
          <w:tcPr>
            <w:tcW w:w="0" w:type="auto"/>
          </w:tcPr>
          <w:p w14:paraId="53E8AC05" w14:textId="77777777" w:rsidR="0055388C" w:rsidRDefault="00000000">
            <w:pPr>
              <w:pStyle w:val="Compact"/>
            </w:pPr>
            <w:r>
              <w:t>—</w:t>
            </w:r>
          </w:p>
        </w:tc>
      </w:tr>
      <w:tr w:rsidR="0055388C" w14:paraId="6AC3352A" w14:textId="77777777">
        <w:tc>
          <w:tcPr>
            <w:tcW w:w="0" w:type="auto"/>
          </w:tcPr>
          <w:p w14:paraId="73E45841" w14:textId="77777777" w:rsidR="0055388C" w:rsidRDefault="00000000">
            <w:pPr>
              <w:pStyle w:val="Compact"/>
            </w:pPr>
            <w:r>
              <w:t>Dentists per 100,000 population</w:t>
            </w:r>
          </w:p>
        </w:tc>
        <w:tc>
          <w:tcPr>
            <w:tcW w:w="0" w:type="auto"/>
          </w:tcPr>
          <w:p w14:paraId="1A1ABE6F" w14:textId="77777777" w:rsidR="0055388C" w:rsidRDefault="00000000">
            <w:pPr>
              <w:pStyle w:val="Compact"/>
            </w:pPr>
            <w:r>
              <w:t>77.0 (12.9)</w:t>
            </w:r>
          </w:p>
        </w:tc>
        <w:tc>
          <w:tcPr>
            <w:tcW w:w="0" w:type="auto"/>
          </w:tcPr>
          <w:p w14:paraId="0F0875E1" w14:textId="77777777" w:rsidR="0055388C" w:rsidRDefault="00000000">
            <w:pPr>
              <w:pStyle w:val="Compact"/>
            </w:pPr>
            <w:r>
              <w:t>55.9</w:t>
            </w:r>
          </w:p>
        </w:tc>
        <w:tc>
          <w:tcPr>
            <w:tcW w:w="0" w:type="auto"/>
          </w:tcPr>
          <w:p w14:paraId="529EEC23" w14:textId="77777777" w:rsidR="0055388C" w:rsidRDefault="00000000">
            <w:pPr>
              <w:pStyle w:val="Compact"/>
            </w:pPr>
            <w:r>
              <w:t>116.1</w:t>
            </w:r>
          </w:p>
        </w:tc>
        <w:tc>
          <w:tcPr>
            <w:tcW w:w="0" w:type="auto"/>
          </w:tcPr>
          <w:p w14:paraId="35D5EBC8" w14:textId="77777777" w:rsidR="0055388C" w:rsidRDefault="00000000">
            <w:pPr>
              <w:pStyle w:val="Compact"/>
            </w:pPr>
            <w:r>
              <w:t>16.7</w:t>
            </w:r>
          </w:p>
        </w:tc>
      </w:tr>
    </w:tbl>
    <w:p w14:paraId="5DDB8078" w14:textId="77777777" w:rsidR="0055388C" w:rsidRDefault="00000000">
      <w:r>
        <w:pict w14:anchorId="1F0664AF">
          <v:rect id="_x0000_i1032" style="width:0;height:1.5pt" o:hralign="center" o:hrstd="t" o:hr="t"/>
        </w:pict>
      </w:r>
    </w:p>
    <w:p w14:paraId="48DC713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228B059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4BF0C504" w14:textId="77777777" w:rsidR="0055388C" w:rsidRDefault="00000000">
            <w:pPr>
              <w:pStyle w:val="Compact"/>
            </w:pPr>
            <w:r>
              <w:t>Model</w:t>
            </w:r>
          </w:p>
        </w:tc>
        <w:tc>
          <w:tcPr>
            <w:tcW w:w="1131" w:type="dxa"/>
          </w:tcPr>
          <w:p w14:paraId="6EC30976" w14:textId="77777777" w:rsidR="0055388C" w:rsidRDefault="00000000">
            <w:pPr>
              <w:pStyle w:val="Compact"/>
            </w:pPr>
            <w:r>
              <w:t>n</w:t>
            </w:r>
          </w:p>
        </w:tc>
        <w:tc>
          <w:tcPr>
            <w:tcW w:w="1131" w:type="dxa"/>
          </w:tcPr>
          <w:p w14:paraId="4B4ED9FE" w14:textId="77777777" w:rsidR="0055388C" w:rsidRDefault="00000000">
            <w:pPr>
              <w:pStyle w:val="Compact"/>
            </w:pPr>
            <w:r>
              <w:t>β (cancer surgery density)</w:t>
            </w:r>
          </w:p>
        </w:tc>
        <w:tc>
          <w:tcPr>
            <w:tcW w:w="1131" w:type="dxa"/>
          </w:tcPr>
          <w:p w14:paraId="2B0DD54B" w14:textId="77777777" w:rsidR="0055388C" w:rsidRDefault="00000000">
            <w:pPr>
              <w:pStyle w:val="Compact"/>
            </w:pPr>
            <w:r>
              <w:t>SE</w:t>
            </w:r>
          </w:p>
        </w:tc>
        <w:tc>
          <w:tcPr>
            <w:tcW w:w="1131" w:type="dxa"/>
          </w:tcPr>
          <w:p w14:paraId="4CBC66ED" w14:textId="77777777" w:rsidR="0055388C" w:rsidRDefault="00000000">
            <w:pPr>
              <w:pStyle w:val="Compact"/>
            </w:pPr>
            <w:r>
              <w:t>p-value</w:t>
            </w:r>
          </w:p>
        </w:tc>
        <w:tc>
          <w:tcPr>
            <w:tcW w:w="1131" w:type="dxa"/>
          </w:tcPr>
          <w:p w14:paraId="72C57347" w14:textId="77777777" w:rsidR="0055388C" w:rsidRDefault="00000000">
            <w:pPr>
              <w:pStyle w:val="Compact"/>
            </w:pPr>
            <w:r>
              <w:t>95% CI</w:t>
            </w:r>
          </w:p>
        </w:tc>
        <w:tc>
          <w:tcPr>
            <w:tcW w:w="1131" w:type="dxa"/>
          </w:tcPr>
          <w:p w14:paraId="1BE45B30" w14:textId="77777777" w:rsidR="0055388C" w:rsidRDefault="00000000">
            <w:pPr>
              <w:pStyle w:val="Compact"/>
            </w:pPr>
            <w:r>
              <w:t>R²</w:t>
            </w:r>
          </w:p>
        </w:tc>
      </w:tr>
      <w:tr w:rsidR="0055388C" w14:paraId="7D3972DF" w14:textId="77777777">
        <w:tc>
          <w:tcPr>
            <w:tcW w:w="1131" w:type="dxa"/>
          </w:tcPr>
          <w:p w14:paraId="4A628B29" w14:textId="77777777" w:rsidR="0055388C" w:rsidRDefault="00000000">
            <w:pPr>
              <w:pStyle w:val="Compact"/>
            </w:pPr>
            <w:r>
              <w:t>Model 1: Unadjusted</w:t>
            </w:r>
          </w:p>
        </w:tc>
        <w:tc>
          <w:tcPr>
            <w:tcW w:w="1131" w:type="dxa"/>
          </w:tcPr>
          <w:p w14:paraId="41816FCC" w14:textId="77777777" w:rsidR="0055388C" w:rsidRDefault="00000000">
            <w:pPr>
              <w:pStyle w:val="Compact"/>
            </w:pPr>
            <w:r>
              <w:t>47</w:t>
            </w:r>
          </w:p>
        </w:tc>
        <w:tc>
          <w:tcPr>
            <w:tcW w:w="1131" w:type="dxa"/>
          </w:tcPr>
          <w:p w14:paraId="1DAABF07" w14:textId="77777777" w:rsidR="0055388C" w:rsidRDefault="00000000">
            <w:pPr>
              <w:pStyle w:val="Compact"/>
            </w:pPr>
            <w:r>
              <w:t>98.3</w:t>
            </w:r>
          </w:p>
        </w:tc>
        <w:tc>
          <w:tcPr>
            <w:tcW w:w="1131" w:type="dxa"/>
          </w:tcPr>
          <w:p w14:paraId="3A6F21D2" w14:textId="77777777" w:rsidR="0055388C" w:rsidRDefault="00000000">
            <w:pPr>
              <w:pStyle w:val="Compact"/>
            </w:pPr>
            <w:r>
              <w:t>153.3</w:t>
            </w:r>
          </w:p>
        </w:tc>
        <w:tc>
          <w:tcPr>
            <w:tcW w:w="1131" w:type="dxa"/>
          </w:tcPr>
          <w:p w14:paraId="54714A8E" w14:textId="77777777" w:rsidR="0055388C" w:rsidRDefault="00000000">
            <w:pPr>
              <w:pStyle w:val="Compact"/>
            </w:pPr>
            <w:r>
              <w:t>0.510</w:t>
            </w:r>
          </w:p>
        </w:tc>
        <w:tc>
          <w:tcPr>
            <w:tcW w:w="1131" w:type="dxa"/>
          </w:tcPr>
          <w:p w14:paraId="19461E8D" w14:textId="77777777" w:rsidR="0055388C" w:rsidRDefault="00000000">
            <w:pPr>
              <w:pStyle w:val="Compact"/>
            </w:pPr>
            <w:r>
              <w:t>−210.2, 406.9</w:t>
            </w:r>
          </w:p>
        </w:tc>
        <w:tc>
          <w:tcPr>
            <w:tcW w:w="1131" w:type="dxa"/>
          </w:tcPr>
          <w:p w14:paraId="320ECF74" w14:textId="77777777" w:rsidR="0055388C" w:rsidRDefault="00000000">
            <w:pPr>
              <w:pStyle w:val="Compact"/>
            </w:pPr>
            <w:r>
              <w:t>0.009</w:t>
            </w:r>
          </w:p>
        </w:tc>
      </w:tr>
      <w:tr w:rsidR="0055388C" w14:paraId="08188614" w14:textId="77777777">
        <w:tc>
          <w:tcPr>
            <w:tcW w:w="1131" w:type="dxa"/>
          </w:tcPr>
          <w:p w14:paraId="1FF8DE22" w14:textId="77777777" w:rsidR="0055388C" w:rsidRDefault="00000000">
            <w:pPr>
              <w:pStyle w:val="Compact"/>
            </w:pPr>
            <w:r>
              <w:t>Model 2: Adjusted</w:t>
            </w:r>
          </w:p>
        </w:tc>
        <w:tc>
          <w:tcPr>
            <w:tcW w:w="1131" w:type="dxa"/>
          </w:tcPr>
          <w:p w14:paraId="296E816A" w14:textId="77777777" w:rsidR="0055388C" w:rsidRDefault="00000000">
            <w:pPr>
              <w:pStyle w:val="Compact"/>
            </w:pPr>
            <w:r>
              <w:t>47</w:t>
            </w:r>
          </w:p>
        </w:tc>
        <w:tc>
          <w:tcPr>
            <w:tcW w:w="1131" w:type="dxa"/>
          </w:tcPr>
          <w:p w14:paraId="0F6788CA" w14:textId="77777777" w:rsidR="0055388C" w:rsidRDefault="00000000">
            <w:pPr>
              <w:pStyle w:val="Compact"/>
            </w:pPr>
            <w:r>
              <w:t>84.7</w:t>
            </w:r>
          </w:p>
        </w:tc>
        <w:tc>
          <w:tcPr>
            <w:tcW w:w="1131" w:type="dxa"/>
          </w:tcPr>
          <w:p w14:paraId="11F77997" w14:textId="77777777" w:rsidR="0055388C" w:rsidRDefault="00000000">
            <w:pPr>
              <w:pStyle w:val="Compact"/>
            </w:pPr>
            <w:r>
              <w:t>178.9</w:t>
            </w:r>
          </w:p>
        </w:tc>
        <w:tc>
          <w:tcPr>
            <w:tcW w:w="1131" w:type="dxa"/>
          </w:tcPr>
          <w:p w14:paraId="5E003EEA" w14:textId="77777777" w:rsidR="0055388C" w:rsidRDefault="00000000">
            <w:pPr>
              <w:pStyle w:val="Compact"/>
            </w:pPr>
            <w:r>
              <w:t>0.641</w:t>
            </w:r>
          </w:p>
        </w:tc>
        <w:tc>
          <w:tcPr>
            <w:tcW w:w="1131" w:type="dxa"/>
          </w:tcPr>
          <w:p w14:paraId="4A7A8587" w14:textId="77777777" w:rsidR="0055388C" w:rsidRDefault="00000000">
            <w:pPr>
              <w:pStyle w:val="Compact"/>
            </w:pPr>
            <w:r>
              <w:t>−275.5, 444.9</w:t>
            </w:r>
          </w:p>
        </w:tc>
        <w:tc>
          <w:tcPr>
            <w:tcW w:w="1131" w:type="dxa"/>
          </w:tcPr>
          <w:p w14:paraId="596162CF" w14:textId="77777777" w:rsidR="0055388C" w:rsidRDefault="00000000">
            <w:pPr>
              <w:pStyle w:val="Compact"/>
            </w:pPr>
            <w:r>
              <w:t>0.197</w:t>
            </w:r>
          </w:p>
        </w:tc>
      </w:tr>
    </w:tbl>
    <w:p w14:paraId="2FDC6FCE" w14:textId="77777777" w:rsidR="0055388C" w:rsidRDefault="00000000">
      <w:pPr>
        <w:pStyle w:val="a0"/>
      </w:pPr>
      <w:r>
        <w:rPr>
          <w:i/>
          <w:iCs/>
        </w:rPr>
        <w:t>Adjusted model: adjusted for aging rate, per-capita income, and population density.</w:t>
      </w:r>
    </w:p>
    <w:p w14:paraId="36B9F0B4" w14:textId="77777777" w:rsidR="0055388C" w:rsidRDefault="00000000">
      <w:r>
        <w:pict w14:anchorId="5351598D">
          <v:rect id="_x0000_i1033" style="width:0;height:1.5pt" o:hralign="center" o:hrstd="t" o:hr="t"/>
        </w:pict>
      </w:r>
    </w:p>
    <w:p w14:paraId="1653EC14" w14:textId="77777777" w:rsidR="00515C9D" w:rsidRDefault="00000000">
      <w:r>
        <w:rPr>
          <w:b/>
        </w:rPr>
        <w:lastRenderedPageBreak/>
        <w:t>Main Figures</w:t>
      </w:r>
    </w:p>
    <w:p w14:paraId="2C948812" w14:textId="77777777" w:rsidR="0055388C" w:rsidRPr="00B61F97" w:rsidRDefault="00000000">
      <w:pPr>
        <w:pStyle w:val="FirstParagraph"/>
      </w:pPr>
      <w:r w:rsidRPr="00B61F97">
        <w:t>Figure 1: Prefectural distribution of perioperative oral management (POFM) density (B001-2 + B001-3 claim counts per 100,000 population, FY2023).</w:t>
      </w:r>
    </w:p>
    <w:p w14:paraId="5934D4FB" w14:textId="77777777" w:rsidR="0055388C" w:rsidRDefault="00000000">
      <w:pPr>
        <w:pStyle w:val="CaptionedFigure"/>
      </w:pPr>
      <w:r>
        <w:rPr>
          <w:noProof/>
        </w:rPr>
        <w:drawing>
          <wp:inline distT="0" distB="0" distL="0" distR="0" wp14:anchorId="72E5571A" wp14:editId="634B7B53">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5ADB9519" w14:textId="77777777" w:rsidR="0055388C" w:rsidRDefault="00000000">
      <w:pPr>
        <w:pStyle w:val="ImageCaption"/>
      </w:pPr>
      <w:r>
        <w:t>Choropleth map of POFM density by prefecture</w:t>
      </w:r>
    </w:p>
    <w:p w14:paraId="34F3B9D9" w14:textId="77777777" w:rsidR="0055388C" w:rsidRDefault="00000000">
      <w:pPr>
        <w:pStyle w:val="a0"/>
      </w:pPr>
      <w:r>
        <w:t>Figure 2: Local Indicators of Spatial Association (LISA) cluster map of POFM density across 47 Japanese prefectures (999 permutations, p &lt; 0.05). Red = High-High (HH, n=3); Blue = Low-Low (LL, n=3); Light blue = Low-High (LH, n=1); Grey = Not significant (n=40).</w:t>
      </w:r>
    </w:p>
    <w:p w14:paraId="052D848A" w14:textId="77777777" w:rsidR="0055388C" w:rsidRDefault="00000000">
      <w:pPr>
        <w:pStyle w:val="CaptionedFigure"/>
      </w:pPr>
      <w:r>
        <w:rPr>
          <w:noProof/>
        </w:rPr>
        <w:lastRenderedPageBreak/>
        <w:drawing>
          <wp:inline distT="0" distB="0" distL="0" distR="0" wp14:anchorId="61C71B28" wp14:editId="2E69BEF9">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3E425948" w14:textId="77777777" w:rsidR="0055388C" w:rsidRDefault="00000000">
      <w:pPr>
        <w:pStyle w:val="ImageCaption"/>
      </w:pPr>
      <w:r>
        <w:t>LISA cluster map of POFM density</w:t>
      </w:r>
    </w:p>
    <w:tbl>
      <w:tblPr>
        <w:tblStyle w:val="Table"/>
        <w:tblW w:w="0" w:type="auto"/>
        <w:tblLook w:val="0020" w:firstRow="1" w:lastRow="0" w:firstColumn="0" w:lastColumn="0" w:noHBand="0" w:noVBand="0"/>
      </w:tblPr>
      <w:tblGrid>
        <w:gridCol w:w="2909"/>
        <w:gridCol w:w="1251"/>
        <w:gridCol w:w="1237"/>
        <w:gridCol w:w="992"/>
      </w:tblGrid>
      <w:tr w:rsidR="0055388C" w14:paraId="5F3E94D7"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1267ED03" w14:textId="77777777" w:rsidR="0055388C" w:rsidRDefault="00000000">
            <w:pPr>
              <w:pStyle w:val="Compact"/>
            </w:pPr>
            <w:r>
              <w:t>Parameter</w:t>
            </w:r>
          </w:p>
        </w:tc>
        <w:tc>
          <w:tcPr>
            <w:tcW w:w="0" w:type="auto"/>
          </w:tcPr>
          <w:p w14:paraId="37FC3500" w14:textId="77777777" w:rsidR="0055388C" w:rsidRDefault="00000000">
            <w:pPr>
              <w:pStyle w:val="Compact"/>
            </w:pPr>
            <w:r>
              <w:t>Estimate</w:t>
            </w:r>
          </w:p>
        </w:tc>
        <w:tc>
          <w:tcPr>
            <w:tcW w:w="0" w:type="auto"/>
          </w:tcPr>
          <w:p w14:paraId="618A2195" w14:textId="77777777" w:rsidR="0055388C" w:rsidRDefault="00000000">
            <w:pPr>
              <w:pStyle w:val="Compact"/>
            </w:pPr>
            <w:r>
              <w:t>z-statistic</w:t>
            </w:r>
          </w:p>
        </w:tc>
        <w:tc>
          <w:tcPr>
            <w:tcW w:w="0" w:type="auto"/>
          </w:tcPr>
          <w:p w14:paraId="0B373024" w14:textId="77777777" w:rsidR="0055388C" w:rsidRDefault="00000000">
            <w:pPr>
              <w:pStyle w:val="Compact"/>
            </w:pPr>
            <w:r>
              <w:t>p-value</w:t>
            </w:r>
          </w:p>
        </w:tc>
      </w:tr>
      <w:tr w:rsidR="0055388C" w14:paraId="24D5EF04" w14:textId="77777777">
        <w:tc>
          <w:tcPr>
            <w:tcW w:w="0" w:type="auto"/>
          </w:tcPr>
          <w:p w14:paraId="7EE0EC0B" w14:textId="77777777" w:rsidR="0055388C" w:rsidRDefault="00000000">
            <w:pPr>
              <w:pStyle w:val="Compact"/>
            </w:pPr>
            <w:r>
              <w:t>Spatial lag (ρ)</w:t>
            </w:r>
          </w:p>
        </w:tc>
        <w:tc>
          <w:tcPr>
            <w:tcW w:w="0" w:type="auto"/>
          </w:tcPr>
          <w:p w14:paraId="15CC7070" w14:textId="77777777" w:rsidR="0055388C" w:rsidRDefault="00000000">
            <w:pPr>
              <w:pStyle w:val="Compact"/>
            </w:pPr>
            <w:r>
              <w:t>0.354</w:t>
            </w:r>
          </w:p>
        </w:tc>
        <w:tc>
          <w:tcPr>
            <w:tcW w:w="0" w:type="auto"/>
          </w:tcPr>
          <w:p w14:paraId="5F0237B3" w14:textId="77777777" w:rsidR="0055388C" w:rsidRDefault="00000000">
            <w:pPr>
              <w:pStyle w:val="Compact"/>
            </w:pPr>
            <w:r>
              <w:t>3.14</w:t>
            </w:r>
          </w:p>
        </w:tc>
        <w:tc>
          <w:tcPr>
            <w:tcW w:w="0" w:type="auto"/>
          </w:tcPr>
          <w:p w14:paraId="731FC503" w14:textId="77777777" w:rsidR="0055388C" w:rsidRDefault="00000000">
            <w:pPr>
              <w:pStyle w:val="Compact"/>
            </w:pPr>
            <w:r>
              <w:rPr>
                <w:b/>
                <w:bCs/>
              </w:rPr>
              <w:t>0.002</w:t>
            </w:r>
          </w:p>
        </w:tc>
      </w:tr>
      <w:tr w:rsidR="0055388C" w14:paraId="4DCDA061" w14:textId="77777777">
        <w:tc>
          <w:tcPr>
            <w:tcW w:w="0" w:type="auto"/>
          </w:tcPr>
          <w:p w14:paraId="3E3F27B9" w14:textId="77777777" w:rsidR="0055388C" w:rsidRDefault="00000000">
            <w:pPr>
              <w:pStyle w:val="Compact"/>
            </w:pPr>
            <w:r>
              <w:t>Cancer surgery density (β)</w:t>
            </w:r>
          </w:p>
        </w:tc>
        <w:tc>
          <w:tcPr>
            <w:tcW w:w="0" w:type="auto"/>
          </w:tcPr>
          <w:p w14:paraId="17E3B1B0" w14:textId="77777777" w:rsidR="0055388C" w:rsidRDefault="00000000">
            <w:pPr>
              <w:pStyle w:val="Compact"/>
            </w:pPr>
            <w:r>
              <w:t>114.2</w:t>
            </w:r>
          </w:p>
        </w:tc>
        <w:tc>
          <w:tcPr>
            <w:tcW w:w="0" w:type="auto"/>
          </w:tcPr>
          <w:p w14:paraId="1524595F" w14:textId="77777777" w:rsidR="0055388C" w:rsidRDefault="00000000">
            <w:pPr>
              <w:pStyle w:val="Compact"/>
            </w:pPr>
            <w:r>
              <w:t>0.79</w:t>
            </w:r>
          </w:p>
        </w:tc>
        <w:tc>
          <w:tcPr>
            <w:tcW w:w="0" w:type="auto"/>
          </w:tcPr>
          <w:p w14:paraId="2E856056" w14:textId="77777777" w:rsidR="0055388C" w:rsidRDefault="00000000">
            <w:pPr>
              <w:pStyle w:val="Compact"/>
            </w:pPr>
            <w:r>
              <w:t>0.431</w:t>
            </w:r>
          </w:p>
        </w:tc>
      </w:tr>
      <w:tr w:rsidR="0055388C" w14:paraId="6EEB4D54" w14:textId="77777777">
        <w:tc>
          <w:tcPr>
            <w:tcW w:w="0" w:type="auto"/>
          </w:tcPr>
          <w:p w14:paraId="648E7A9C" w14:textId="77777777" w:rsidR="0055388C" w:rsidRDefault="00000000">
            <w:pPr>
              <w:pStyle w:val="Compact"/>
            </w:pPr>
            <w:r>
              <w:t>Aging rate (β)</w:t>
            </w:r>
          </w:p>
        </w:tc>
        <w:tc>
          <w:tcPr>
            <w:tcW w:w="0" w:type="auto"/>
          </w:tcPr>
          <w:p w14:paraId="4902968D" w14:textId="77777777" w:rsidR="0055388C" w:rsidRDefault="00000000">
            <w:pPr>
              <w:pStyle w:val="Compact"/>
            </w:pPr>
            <w:r>
              <w:t>−1,562.2</w:t>
            </w:r>
          </w:p>
        </w:tc>
        <w:tc>
          <w:tcPr>
            <w:tcW w:w="0" w:type="auto"/>
          </w:tcPr>
          <w:p w14:paraId="03567DF0" w14:textId="77777777" w:rsidR="0055388C" w:rsidRDefault="00000000">
            <w:pPr>
              <w:pStyle w:val="Compact"/>
            </w:pPr>
            <w:r>
              <w:t>−0.87</w:t>
            </w:r>
          </w:p>
        </w:tc>
        <w:tc>
          <w:tcPr>
            <w:tcW w:w="0" w:type="auto"/>
          </w:tcPr>
          <w:p w14:paraId="282A0414" w14:textId="77777777" w:rsidR="0055388C" w:rsidRDefault="00000000">
            <w:pPr>
              <w:pStyle w:val="Compact"/>
            </w:pPr>
            <w:r>
              <w:t>0.385</w:t>
            </w:r>
          </w:p>
        </w:tc>
      </w:tr>
      <w:tr w:rsidR="0055388C" w14:paraId="79AB43EB" w14:textId="77777777">
        <w:tc>
          <w:tcPr>
            <w:tcW w:w="0" w:type="auto"/>
          </w:tcPr>
          <w:p w14:paraId="54027617" w14:textId="77777777" w:rsidR="0055388C" w:rsidRDefault="00000000">
            <w:pPr>
              <w:pStyle w:val="Compact"/>
            </w:pPr>
            <w:r>
              <w:t>Per-capita income (β)</w:t>
            </w:r>
          </w:p>
        </w:tc>
        <w:tc>
          <w:tcPr>
            <w:tcW w:w="0" w:type="auto"/>
          </w:tcPr>
          <w:p w14:paraId="7D7943D1" w14:textId="77777777" w:rsidR="0055388C" w:rsidRDefault="00000000">
            <w:pPr>
              <w:pStyle w:val="Compact"/>
            </w:pPr>
            <w:r>
              <w:t>−6.2</w:t>
            </w:r>
          </w:p>
        </w:tc>
        <w:tc>
          <w:tcPr>
            <w:tcW w:w="0" w:type="auto"/>
          </w:tcPr>
          <w:p w14:paraId="302BA59C" w14:textId="77777777" w:rsidR="0055388C" w:rsidRDefault="00000000">
            <w:pPr>
              <w:pStyle w:val="Compact"/>
            </w:pPr>
            <w:r>
              <w:t>−0.33</w:t>
            </w:r>
          </w:p>
        </w:tc>
        <w:tc>
          <w:tcPr>
            <w:tcW w:w="0" w:type="auto"/>
          </w:tcPr>
          <w:p w14:paraId="157D0EBE" w14:textId="77777777" w:rsidR="0055388C" w:rsidRDefault="00000000">
            <w:pPr>
              <w:pStyle w:val="Compact"/>
            </w:pPr>
            <w:r>
              <w:t>0.742</w:t>
            </w:r>
          </w:p>
        </w:tc>
      </w:tr>
      <w:tr w:rsidR="0055388C" w14:paraId="5BA1CCEE" w14:textId="77777777">
        <w:tc>
          <w:tcPr>
            <w:tcW w:w="0" w:type="auto"/>
          </w:tcPr>
          <w:p w14:paraId="3A5997B7" w14:textId="77777777" w:rsidR="0055388C" w:rsidRDefault="00000000">
            <w:pPr>
              <w:pStyle w:val="Compact"/>
            </w:pPr>
            <w:r>
              <w:t>Population density (β)</w:t>
            </w:r>
          </w:p>
        </w:tc>
        <w:tc>
          <w:tcPr>
            <w:tcW w:w="0" w:type="auto"/>
          </w:tcPr>
          <w:p w14:paraId="1A1E1F60" w14:textId="77777777" w:rsidR="0055388C" w:rsidRDefault="00000000">
            <w:pPr>
              <w:pStyle w:val="Compact"/>
            </w:pPr>
            <w:r>
              <w:t>8.1</w:t>
            </w:r>
          </w:p>
        </w:tc>
        <w:tc>
          <w:tcPr>
            <w:tcW w:w="0" w:type="auto"/>
          </w:tcPr>
          <w:p w14:paraId="10A65BD4" w14:textId="77777777" w:rsidR="0055388C" w:rsidRDefault="00000000">
            <w:pPr>
              <w:pStyle w:val="Compact"/>
            </w:pPr>
            <w:r>
              <w:t>1.81</w:t>
            </w:r>
          </w:p>
        </w:tc>
        <w:tc>
          <w:tcPr>
            <w:tcW w:w="0" w:type="auto"/>
          </w:tcPr>
          <w:p w14:paraId="591D7F19" w14:textId="77777777" w:rsidR="0055388C" w:rsidRDefault="00000000">
            <w:pPr>
              <w:pStyle w:val="Compact"/>
            </w:pPr>
            <w:r>
              <w:t>0.071</w:t>
            </w:r>
          </w:p>
        </w:tc>
      </w:tr>
      <w:tr w:rsidR="0055388C" w14:paraId="512D9240" w14:textId="77777777">
        <w:tc>
          <w:tcPr>
            <w:tcW w:w="0" w:type="auto"/>
          </w:tcPr>
          <w:p w14:paraId="693FA10C" w14:textId="77777777" w:rsidR="0055388C" w:rsidRDefault="00000000">
            <w:pPr>
              <w:pStyle w:val="Compact"/>
            </w:pPr>
            <w:r>
              <w:t>Constant</w:t>
            </w:r>
          </w:p>
        </w:tc>
        <w:tc>
          <w:tcPr>
            <w:tcW w:w="0" w:type="auto"/>
          </w:tcPr>
          <w:p w14:paraId="49123A5A" w14:textId="77777777" w:rsidR="0055388C" w:rsidRDefault="00000000">
            <w:pPr>
              <w:pStyle w:val="Compact"/>
            </w:pPr>
            <w:r>
              <w:t>103,519.5</w:t>
            </w:r>
          </w:p>
        </w:tc>
        <w:tc>
          <w:tcPr>
            <w:tcW w:w="0" w:type="auto"/>
          </w:tcPr>
          <w:p w14:paraId="5B55653C" w14:textId="77777777" w:rsidR="0055388C" w:rsidRDefault="00000000">
            <w:pPr>
              <w:pStyle w:val="Compact"/>
            </w:pPr>
            <w:r>
              <w:t>1.17</w:t>
            </w:r>
          </w:p>
        </w:tc>
        <w:tc>
          <w:tcPr>
            <w:tcW w:w="0" w:type="auto"/>
          </w:tcPr>
          <w:p w14:paraId="7619A721" w14:textId="77777777" w:rsidR="0055388C" w:rsidRDefault="00000000">
            <w:pPr>
              <w:pStyle w:val="Compact"/>
            </w:pPr>
            <w:r>
              <w:t>0.241</w:t>
            </w:r>
          </w:p>
        </w:tc>
      </w:tr>
      <w:tr w:rsidR="0055388C" w14:paraId="08A3268D" w14:textId="77777777">
        <w:tc>
          <w:tcPr>
            <w:tcW w:w="0" w:type="auto"/>
          </w:tcPr>
          <w:p w14:paraId="5C50856D" w14:textId="77777777" w:rsidR="0055388C" w:rsidRDefault="00000000">
            <w:pPr>
              <w:pStyle w:val="Compact"/>
            </w:pPr>
            <w:r>
              <w:t>Pseudo-R²</w:t>
            </w:r>
          </w:p>
        </w:tc>
        <w:tc>
          <w:tcPr>
            <w:tcW w:w="0" w:type="auto"/>
          </w:tcPr>
          <w:p w14:paraId="181BA12F" w14:textId="77777777" w:rsidR="0055388C" w:rsidRDefault="00000000">
            <w:pPr>
              <w:pStyle w:val="Compact"/>
            </w:pPr>
            <w:r>
              <w:t>0.350</w:t>
            </w:r>
          </w:p>
        </w:tc>
        <w:tc>
          <w:tcPr>
            <w:tcW w:w="0" w:type="auto"/>
          </w:tcPr>
          <w:p w14:paraId="770341D7" w14:textId="77777777" w:rsidR="0055388C" w:rsidRDefault="00000000">
            <w:pPr>
              <w:pStyle w:val="Compact"/>
            </w:pPr>
            <w:r>
              <w:t>—</w:t>
            </w:r>
          </w:p>
        </w:tc>
        <w:tc>
          <w:tcPr>
            <w:tcW w:w="0" w:type="auto"/>
          </w:tcPr>
          <w:p w14:paraId="5301D708" w14:textId="77777777" w:rsidR="0055388C" w:rsidRDefault="00000000">
            <w:pPr>
              <w:pStyle w:val="Compact"/>
            </w:pPr>
            <w:r>
              <w:t>—</w:t>
            </w:r>
          </w:p>
        </w:tc>
      </w:tr>
      <w:tr w:rsidR="0055388C" w14:paraId="184C4038" w14:textId="77777777">
        <w:tc>
          <w:tcPr>
            <w:tcW w:w="0" w:type="auto"/>
          </w:tcPr>
          <w:p w14:paraId="760A9E20" w14:textId="77777777" w:rsidR="0055388C" w:rsidRDefault="00000000">
            <w:pPr>
              <w:pStyle w:val="Compact"/>
            </w:pPr>
            <w:r>
              <w:t>AIC</w:t>
            </w:r>
          </w:p>
        </w:tc>
        <w:tc>
          <w:tcPr>
            <w:tcW w:w="0" w:type="auto"/>
          </w:tcPr>
          <w:p w14:paraId="10612697" w14:textId="77777777" w:rsidR="0055388C" w:rsidRDefault="00000000">
            <w:pPr>
              <w:pStyle w:val="Compact"/>
            </w:pPr>
            <w:r>
              <w:t>1,081.1</w:t>
            </w:r>
          </w:p>
        </w:tc>
        <w:tc>
          <w:tcPr>
            <w:tcW w:w="0" w:type="auto"/>
          </w:tcPr>
          <w:p w14:paraId="7A123728" w14:textId="77777777" w:rsidR="0055388C" w:rsidRDefault="00000000">
            <w:pPr>
              <w:pStyle w:val="Compact"/>
            </w:pPr>
            <w:r>
              <w:t>—</w:t>
            </w:r>
          </w:p>
        </w:tc>
        <w:tc>
          <w:tcPr>
            <w:tcW w:w="0" w:type="auto"/>
          </w:tcPr>
          <w:p w14:paraId="27DB049A" w14:textId="77777777" w:rsidR="0055388C" w:rsidRDefault="00000000">
            <w:pPr>
              <w:pStyle w:val="Compact"/>
            </w:pPr>
            <w:r>
              <w:t>—</w:t>
            </w:r>
          </w:p>
        </w:tc>
      </w:tr>
      <w:tr w:rsidR="0055388C" w14:paraId="408B0200" w14:textId="77777777">
        <w:tc>
          <w:tcPr>
            <w:tcW w:w="0" w:type="auto"/>
          </w:tcPr>
          <w:p w14:paraId="404867A1" w14:textId="77777777" w:rsidR="0055388C" w:rsidRDefault="00000000">
            <w:pPr>
              <w:pStyle w:val="Compact"/>
            </w:pPr>
            <w:r>
              <w:t>Log-likelihood</w:t>
            </w:r>
          </w:p>
        </w:tc>
        <w:tc>
          <w:tcPr>
            <w:tcW w:w="0" w:type="auto"/>
          </w:tcPr>
          <w:p w14:paraId="34BC69AD" w14:textId="77777777" w:rsidR="0055388C" w:rsidRDefault="00000000">
            <w:pPr>
              <w:pStyle w:val="Compact"/>
            </w:pPr>
            <w:r>
              <w:t>−534.5</w:t>
            </w:r>
          </w:p>
        </w:tc>
        <w:tc>
          <w:tcPr>
            <w:tcW w:w="0" w:type="auto"/>
          </w:tcPr>
          <w:p w14:paraId="3B2ED1B0" w14:textId="77777777" w:rsidR="0055388C" w:rsidRDefault="00000000">
            <w:pPr>
              <w:pStyle w:val="Compact"/>
            </w:pPr>
            <w:r>
              <w:t>—</w:t>
            </w:r>
          </w:p>
        </w:tc>
        <w:tc>
          <w:tcPr>
            <w:tcW w:w="0" w:type="auto"/>
          </w:tcPr>
          <w:p w14:paraId="0E2F1D7D" w14:textId="77777777" w:rsidR="0055388C" w:rsidRDefault="00000000">
            <w:pPr>
              <w:pStyle w:val="Compact"/>
            </w:pPr>
            <w:r>
              <w:t>—</w:t>
            </w:r>
          </w:p>
        </w:tc>
      </w:tr>
      <w:tr w:rsidR="0055388C" w14:paraId="79456E86" w14:textId="77777777">
        <w:tc>
          <w:tcPr>
            <w:tcW w:w="0" w:type="auto"/>
          </w:tcPr>
          <w:p w14:paraId="2FD89FAE" w14:textId="77777777" w:rsidR="0055388C" w:rsidRDefault="00000000">
            <w:pPr>
              <w:pStyle w:val="Compact"/>
            </w:pPr>
            <w:r>
              <w:t>n</w:t>
            </w:r>
          </w:p>
        </w:tc>
        <w:tc>
          <w:tcPr>
            <w:tcW w:w="0" w:type="auto"/>
          </w:tcPr>
          <w:p w14:paraId="24729C59" w14:textId="77777777" w:rsidR="0055388C" w:rsidRDefault="00000000">
            <w:pPr>
              <w:pStyle w:val="Compact"/>
            </w:pPr>
            <w:r>
              <w:t>47</w:t>
            </w:r>
          </w:p>
        </w:tc>
        <w:tc>
          <w:tcPr>
            <w:tcW w:w="0" w:type="auto"/>
          </w:tcPr>
          <w:p w14:paraId="5BE4B668" w14:textId="77777777" w:rsidR="0055388C" w:rsidRDefault="00000000">
            <w:pPr>
              <w:pStyle w:val="Compact"/>
            </w:pPr>
            <w:r>
              <w:t>—</w:t>
            </w:r>
          </w:p>
        </w:tc>
        <w:tc>
          <w:tcPr>
            <w:tcW w:w="0" w:type="auto"/>
          </w:tcPr>
          <w:p w14:paraId="703696D5" w14:textId="77777777" w:rsidR="0055388C" w:rsidRDefault="00000000">
            <w:pPr>
              <w:pStyle w:val="Compact"/>
            </w:pPr>
            <w:r>
              <w:t>—</w:t>
            </w:r>
          </w:p>
        </w:tc>
      </w:tr>
    </w:tbl>
    <w:p w14:paraId="77AE0256" w14:textId="77777777" w:rsidR="00D20F80" w:rsidRDefault="00D20F80"/>
    <w:sectPr w:rsidR="00D20F80">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E5108" w14:textId="77777777" w:rsidR="00D20F80" w:rsidRDefault="00D20F80" w:rsidP="00C82DA5">
      <w:pPr>
        <w:spacing w:after="0"/>
      </w:pPr>
      <w:r>
        <w:separator/>
      </w:r>
    </w:p>
  </w:endnote>
  <w:endnote w:type="continuationSeparator" w:id="0">
    <w:p w14:paraId="0C9B22A5" w14:textId="77777777" w:rsidR="00D20F80" w:rsidRDefault="00D20F8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DFC0" w14:textId="77777777" w:rsidR="00D20F80" w:rsidRDefault="00D20F80" w:rsidP="00C82DA5">
      <w:pPr>
        <w:spacing w:after="0"/>
      </w:pPr>
      <w:r>
        <w:separator/>
      </w:r>
    </w:p>
  </w:footnote>
  <w:footnote w:type="continuationSeparator" w:id="0">
    <w:p w14:paraId="6B5E2D7D" w14:textId="77777777" w:rsidR="00D20F80" w:rsidRDefault="00D20F8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85820"/>
    <w:rsid w:val="00AC1394"/>
    <w:rsid w:val="00AD6A64"/>
    <w:rsid w:val="00B60117"/>
    <w:rsid w:val="00B61F97"/>
    <w:rsid w:val="00B72667"/>
    <w:rsid w:val="00C172D2"/>
    <w:rsid w:val="00C82DA5"/>
    <w:rsid w:val="00CC117D"/>
    <w:rsid w:val="00CE7776"/>
    <w:rsid w:val="00D20F80"/>
    <w:rsid w:val="00D50A62"/>
    <w:rsid w:val="00E012A6"/>
    <w:rsid w:val="00E46DD6"/>
    <w:rsid w:val="00E93281"/>
    <w:rsid w:val="00E93B68"/>
    <w:rsid w:val="00EA41A2"/>
    <w:rsid w:val="00ED099F"/>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FFC3EDB"/>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17</Pages>
  <Words>4853</Words>
  <Characters>27666</Characters>
  <Application>Microsoft Office Word</Application>
  <DocSecurity>0</DocSecurity>
  <Lines>230</Lines>
  <Paragraphs>64</Paragraphs>
  <ScaleCrop>false</ScaleCrop>
  <Company/>
  <LinksUpToDate>false</LinksUpToDate>
  <CharactersWithSpaces>32455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22</cp:revision>
  <dcterms:created xsi:type="dcterms:W3CDTF">2026-06-15T21:38:00Z</dcterms:created>
  <dcterms:modified xsi:type="dcterms:W3CDTF">2026-06-24T11:21:00Z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