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r>
        <w:rPr/>
        <w:t>Running title: Perioperative Oral Care Under Universal Coverage</w:t>
      </w:r>
    </w:p>
    <w:p w14:paraId="3441E7E3" w14:textId="77777777" w:rsidR="00515C9D" w:rsidRDefault="00515C9D"/>
    <w:p w14:paraId="5F69B2C0" w14:textId="77777777" w:rsidR="0055388C" w:rsidRDefault="00000000">
      <w:pPr>
        <w:pStyle w:val="1"/>
      </w:pPr>
      <w:r>
        <w:t>Abstract</w:t>
      </w:r>
    </w:p>
    <w:p w14:paraId="74FB4DEF" w14:textId="27D304A5" w:rsidR="0055388C" w:rsidRPr="00B61F97" w:rsidRDefault="00CE7776">
      <w:pPr>
        <w:pStyle w:val="FirstParagraph"/>
      </w:pPr>
      <w:r w:rsidRPr="00CE7776">
        <w:rPr>
          <w:b/>
          <w:bCs/>
        </w:rPr>
        <w:t>Rationale</w:t>
      </w:r>
      <w:r>
        <w:rPr>
          <w:b/>
          <w:bCs/>
        </w:rPr>
        <w:t xml:space="preserve">: </w:t>
      </w:r>
      <w:r w:rsidRPr="00B61F97">
        <w:t xml:space="preserve"> Universal health coverage should align evidence-based care with clinical need, yet regional delivery may remain supply-sensitive. Perioperative oral functional management (POFM) is nationally reimbursed in Japan since 2012, but whether provision reflects surgical demand or healthcare supply capacity is unknown.</w:t>
      </w:r>
    </w:p>
    <w:p w14:paraId="67E9B006" w14:textId="388C041F" w:rsidR="00515C9D" w:rsidRDefault="00985A50">
      <w:r w:rsidRPr="00985A50">
        <w:rPr>
          <w:b/>
          <w:bCs/>
        </w:rPr>
        <w:t>Aims and Objectives</w:t>
      </w:r>
      <w:r w:rsidR="00000000" w:rsidRPr="003C1EF6">
        <w:rPr>
          <w:b/>
          <w:bCs/>
        </w:rPr>
        <w:t>:</w:t>
      </w:r>
      <w:r w:rsidR="00000000">
        <w:t xml:space="preserve"> To characterize prefectural variation in POFM delivery across Japan, identify its association with cancer surgical demand and dental workforce supply, and assess spatial clustering.</w:t>
      </w:r>
    </w:p>
    <w:p w14:paraId="0B12CD18" w14:textId="1BBD21FB" w:rsidR="0055388C" w:rsidRPr="00B61F97" w:rsidRDefault="00000000">
      <w:pPr>
        <w:pStyle w:val="a0"/>
      </w:pPr>
      <w:r>
        <w:rPr>
          <w:b/>
          <w:bCs/>
        </w:rPr>
        <w:t>Method:</w:t>
      </w:r>
      <w:r w:rsidRPr="00B61F97">
        <w:t xml:space="preserve"> Prefectural ecological study (N = 47) using Japan’s 10th NDB Open Data (fiscal year 2023). The primary outcome was POFM claim density per 100,000 population; the need-side exposure was major cancer surgery density (16 K-codes). We applied OLS regression with HC3 robust standard errors, seven pre-specified sensitivity analyses, Global Moran’s I, Lagrange Multiplier tests, and spatial lag regression.</w:t>
      </w:r>
    </w:p>
    <w:p w14:paraId="6B52CF4F" w14:textId="77777777" w:rsidR="0055388C" w:rsidRPr="00B61F97" w:rsidRDefault="00000000">
      <w:pPr>
        <w:pStyle w:val="a0"/>
      </w:pPr>
      <w:r>
        <w:rPr>
          <w:b/>
          <w:bCs/>
        </w:rPr>
        <w:t>Results:</w:t>
      </w:r>
      <w:r w:rsidRPr="00B61F97">
        <w:t xml:space="preserve"> POFM density varied 2.25-fold across 47 prefectures (68,804–154,850 per 100,000). Cancer surgery density was not significantly associated with POFM density in any sensitivity specification (0/7 significant). Dentist density was the strongest predictor (r = 0.617, p &lt; 0.0001). Significant positive spatial autocorrelation was identified (Moran’s I = 0.210, p = 0.024). The Spatial Lag Model confirmed a significant </w:t>
      </w:r>
      <w:r w:rsidRPr="00B61F97">
        <w:lastRenderedPageBreak/>
        <w:t>autoregressive coefficient (ρ = 0.354, p = 0.002), with cancer surgery density remaining non-significant.</w:t>
      </w:r>
    </w:p>
    <w:p w14:paraId="62E7EF60" w14:textId="41CD5933" w:rsidR="0055388C" w:rsidRPr="00B61F97" w:rsidRDefault="00000000">
      <w:pPr>
        <w:pStyle w:val="a0"/>
      </w:pPr>
      <w:r>
        <w:rPr>
          <w:b/>
          <w:bCs/>
        </w:rPr>
        <w:t xml:space="preserve">Conclusion: </w:t>
      </w:r>
      <w:r w:rsidRPr="00B61F97">
        <w:t>POFM delivery is supply-sensitive rather than need-aligned under Japan’s universal coverage system. Equitable implementation may require simultaneous investment in dental workforce capacity, hospital–dental integration, and knowledge transfer alongside reimbursement.</w:t>
      </w:r>
    </w:p>
    <w:p w14:paraId="76D72271" w14:textId="77777777" w:rsidR="0055388C" w:rsidRPr="00B61F97" w:rsidRDefault="00000000">
      <w:pPr>
        <w:pStyle w:val="a0"/>
      </w:pPr>
      <w:r>
        <w:rPr>
          <w:b/>
          <w:bCs/>
        </w:rPr>
        <w:t xml:space="preserve">Keywords: </w:t>
      </w:r>
      <w:r w:rsidRPr="00B61F97">
        <w:t>perioperative oral care; supply-driven care; universal health coverage;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3471E746" w14:textId="77777777" w:rsidR="0055388C" w:rsidRDefault="00000000">
      <w:pPr>
        <w:pStyle w:val="1"/>
      </w:pPr>
      <w:bookmarkStart w:id="1" w:name="introduction"/>
      <w:bookmarkEnd w:id="0"/>
      <w:r>
        <w:t>1. Introduction</w:t>
      </w:r>
    </w:p>
    <w:p w14:paraId="10C22ECA" w14:textId="23643642"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45F94DDA"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386223EF"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09C0F645"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1A92406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Dentists per 100,000 population (sensitivity analysis only): Calendar year 2022, derived from the Survey of Physicians, Dentists and Pharmacists (Ministry of Health, Labour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0D259C6C" w:rsidR="0055388C" w:rsidRDefault="00000000">
      <w:pPr>
        <w:pStyle w:val="a0"/>
      </w:pPr>
      <w:r>
        <w:t>All analyses were performed in Python 3.</w:t>
      </w:r>
      <w:r w:rsidR="00504C64">
        <w:rPr>
          <w:rFonts w:hint="eastAsia"/>
          <w:lang w:eastAsia="ja-JP"/>
        </w:rPr>
        <w:t>14</w:t>
      </w:r>
      <w:r>
        <w:t xml:space="preserve"> using pandas, statsmodels, geopandas, libpysal, esda, and spreg.</w:t>
      </w:r>
    </w:p>
    <w:p w14:paraId="522C7A08" w14:textId="77777777" w:rsidR="0055388C" w:rsidRDefault="00000000">
      <w:r>
        <w:pict w14:anchorId="25214A6C">
          <v:rect id="_x0000_i1027" style="width:0;height:1.5pt" o:hralign="center" o:hrstd="t" o:hr="t"/>
        </w:pict>
      </w:r>
    </w:p>
    <w:p>
      <w:pPr>
        <w:pStyle w:val="2"/>
      </w:pPr>
      <w:r>
        <w:t xml:space="preserve">2.4 Use of AI-Assisted Tools</w:t>
      </w:r>
    </w:p>
    <w:p>
      <w:pPr>
        <w:pStyle w:val="a0"/>
      </w:pPr>
      <w:r>
        <w:t xml:space="preserve">AI-assisted tools were used to support statistical analysis scripting and manuscript drafting. Cursor 3.0 (Anysphere) and Google Antigravity (Google) served as development platforms, employing large language models including Claude Sonnet 4.6 and Claude Opus 4.8 (Anthropic), GPT-5.5 (OpenAI), and Gemini 3 Pro (Google). These tools were used exclusively for code generation and text drafting; all study design decisions, selection of statistical methods, interpretation of findings, and conclusions are the sole responsibility of the authors. A full declaration is provided in the 'Declaration of Generative AI and AI-Assisted Technologies in the Manuscript Preparation Process' section of this manuscript.</w: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Supplementary Figure S1)</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31F1D8CB" w:rsidR="0055388C" w:rsidRDefault="00000000">
      <w:pPr>
        <w:pStyle w:val="FirstParagraph"/>
      </w:pPr>
      <w:r>
        <w:t>The forest plot (Figure 5) summari</w:t>
      </w:r>
      <w:r w:rsidR="00CC117D">
        <w:rPr>
          <w:rFonts w:hint="eastAsia"/>
          <w:lang w:eastAsia="ja-JP"/>
        </w:rPr>
        <w:t>z</w:t>
      </w:r>
      <w:r>
        <w:t>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6620F231"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6B94400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04371AC1" w:rsidR="0055388C" w:rsidRDefault="00000000">
      <w:pPr>
        <w:pStyle w:val="a0"/>
      </w:pPr>
      <w:r>
        <w:t xml:space="preserve">Even so, the observed pattern is difficult to explain by need alone. Supply-side capacity, including hospital dental departments, trained POFM providers, referral pathways, and multidisciplinary perioperative routines, may strongly influence local uptake </w:t>
      </w:r>
      <w:r w:rsidR="0031271F">
        <w:rPr>
          <w:rFonts w:hint="eastAsia"/>
          <w:lang w:eastAsia="ja-JP"/>
        </w:rPr>
        <w:t>[</w:t>
      </w:r>
      <w:r>
        <w:t>13-15</w:t>
      </w:r>
      <w:r w:rsidR="0031271F">
        <w:t>]</w:t>
      </w:r>
      <w:r>
        <w:t>.</w:t>
      </w:r>
    </w:p>
    <w:p w14:paraId="05B10ABE" w14:textId="0BBEAF1B"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14ACC762" w14:textId="2F04D4F6" w:rsidR="0055388C" w:rsidRDefault="00000000">
      <w:pPr>
        <w:pStyle w:val="a0"/>
      </w:pPr>
      <w:r>
        <w:t>LISA locali</w:t>
      </w:r>
      <w:r w:rsidR="0031271F">
        <w:rPr>
          <w:rFonts w:hint="eastAsia"/>
          <w:lang w:eastAsia="ja-JP"/>
        </w:rPr>
        <w:t>z</w:t>
      </w:r>
      <w:r>
        <w:t xml:space="preserve">ed the spatial signal to HH clusters in Hyogo, Okayama, and Saga, and LL clusters in Hokkaido, Iwate, and Okinawa (Figure 6). These patterns are compatible with established medical-dental collaboration in some western regions and more constrained healthcare access in peripheral areas </w:t>
      </w:r>
      <w:r w:rsidR="0031271F">
        <w:rPr>
          <w:rFonts w:hint="eastAsia"/>
          <w:lang w:eastAsia="ja-JP"/>
        </w:rPr>
        <w:t>[</w:t>
      </w:r>
      <w:r>
        <w:t>16,25,27-29</w:t>
      </w:r>
      <w:r w:rsidR="0031271F">
        <w:t>]</w:t>
      </w:r>
      <w:r>
        <w:t>.</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6A35B27" w:rsidR="0055388C" w:rsidRDefault="00000000">
      <w:pPr>
        <w:pStyle w:val="a0"/>
      </w:pPr>
      <w:r>
        <w:t xml:space="preserve">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7C7B2686" w14:textId="77777777" w:rsidR="0055388C" w:rsidRDefault="00000000">
      <w:pPr>
        <w:pStyle w:val="a0"/>
      </w:pPr>
      <w:r>
        <w:rPr>
          <w:i/>
          <w:iCs/>
        </w:rPr>
        <w:t>(See Appendix Figure A2)</w:t>
      </w:r>
    </w:p>
    <w:p w14:paraId="1B81D3C0" w14:textId="5FE596BE"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542ED3FC" w:rsidR="0055388C" w:rsidRDefault="00000000">
      <w:pPr>
        <w:pStyle w:val="2"/>
      </w:pPr>
      <w:bookmarkStart w:id="24" w:name="comparison-with-prior-studies"/>
      <w:bookmarkEnd w:id="23"/>
      <w:r>
        <w:t xml:space="preserve">4.5 Comparison </w:t>
      </w:r>
      <w:r w:rsidR="000768DA">
        <w:rPr>
          <w:rFonts w:hint="eastAsia"/>
          <w:lang w:eastAsia="ja-JP"/>
        </w:rPr>
        <w:t>w</w:t>
      </w:r>
      <w:r>
        <w:t>ith Prior Studies and Health Policy Implications</w:t>
      </w:r>
    </w:p>
    <w:p w14:paraId="454C5AF2" w14:textId="418FB72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542E69C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20AD63EE"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xml:space="preserve">,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The authors thank the Ministry of Health, Labour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available at https://github.com/haruki00430/NDB_POFM and archived on Zenodo (https://doi.org/10.5281/zenodo.20827647).</w:t>
      </w:r>
    </w:p>
    <w:p w14:paraId="719AA181" w14:textId="5FB0A8E9" w:rsidR="0055388C" w:rsidRDefault="00ED6A67">
      <w:pPr>
        <w:pStyle w:val="1"/>
      </w:pPr>
      <w:bookmarkStart w:id="31" w:name="author-contributions"/>
      <w:bookmarkEnd w:id="30"/>
      <w:r>
        <w:t>Author Contributions</w:t>
      </w:r>
    </w:p>
    <w:p w14:paraId="012A08B5"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Haruki Saito: Conceptualization, Data curation, Formal analysis, Investigation, Methodology, Software, Visualization, Writing – original draft, Writing – review and editing.</w:t>
      </w:r>
    </w:p>
    <w:p w14:paraId="754D80FB" w14:textId="449CBFCD" w:rsidR="00EA41A2" w:rsidRPr="00EA41A2" w:rsidRDefault="00ED6A67" w:rsidP="00ED6A67">
      <w:pPr>
        <w:pStyle w:val="a0"/>
        <w:rPr>
          <w:lang w:eastAsia="ja-JP"/>
        </w:rPr>
      </w:pPr>
      <w:r w:rsidRPr="00327913">
        <w:t>Tetsuya Ohira: Conceptualization, Supervision, Writing – review and editing.</w:t>
      </w:r>
    </w:p>
    <w:p w14:paraId="2BEECAC9" w14:textId="77777777" w:rsidR="00A32CEB" w:rsidRDefault="00A32CEB" w:rsidP="00A32CEB">
      <w:pPr>
        <w:pStyle w:val="1"/>
        <w:rPr>
          <w:lang w:eastAsia="ja-JP"/>
        </w:rPr>
      </w:pPr>
      <w:bookmarkStart w:id="32" w:name="funding"/>
      <w:bookmarkEnd w:id="31"/>
      <w:r>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30"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1. Wennberg JE, Gittelsohn A. Small area variations in health care delivery. Science. 1973;182(4117):1102-8. doi:10.1126/science.182.4117.1102.</w:t>
      </w:r>
    </w:p>
    <w:p w14:paraId="00F222DC" w14:textId="77777777" w:rsidR="0055388C" w:rsidRDefault="00000000">
      <w:pPr>
        <w:pStyle w:val="a9"/>
      </w:pPr>
      <w:r>
        <w:t>2. Wennberg JE, Fisher ES, Skinner JS. Geography and the debate over Medicare reform. Health Aff (Millwood). 2002;Suppl Web Exclusives:W96-114. doi:10.1377/hlthaff.w2.96.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2011;342:d1513. doi:10.1136/bmj.d1513.</w:t>
      </w:r>
    </w:p>
    <w:p w14:paraId="7E53CF9D" w14:textId="77777777" w:rsidR="0055388C" w:rsidRDefault="00000000">
      <w:pPr>
        <w:pStyle w:val="a9"/>
      </w:pPr>
      <w:bookmarkStart w:id="34" w:name="ref-Ishimaru2018"/>
      <w:bookmarkStart w:id="35" w:name="refs"/>
      <w:r>
        <w:lastRenderedPageBreak/>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t>6. Camus-Jansson F, Longueira-Diaz N, Salinas-Diaz B, Granic-Chinchon A, Cueto-Urbina W, Parra-Parra M, et al. Preoperative oral practices and incidence of postoperative complications in hospital medical-surgical procedures: A meta-analysis. Med Oral Patol Oral Cir Bucal. 2023;28(3):e217-28. Available from: https://pubmed.ncbi.nlm.nih.gov/37026607/</w:t>
      </w:r>
    </w:p>
    <w:p w14:paraId="6164E62B" w14:textId="77777777" w:rsidR="0055388C" w:rsidRDefault="00000000">
      <w:pPr>
        <w:pStyle w:val="a9"/>
      </w:pPr>
      <w:bookmarkStart w:id="37" w:name="ref-Shin2019"/>
      <w:bookmarkEnd w:id="36"/>
      <w:r>
        <w:t>7. Shin JH, Kunisawa S, Fushimi K, Imanaka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76DEE54C" w14:textId="77777777" w:rsidR="0055388C" w:rsidRDefault="00000000">
      <w:pPr>
        <w:pStyle w:val="a9"/>
      </w:pPr>
      <w:bookmarkStart w:id="38" w:name="ref-Soutome2017"/>
      <w:bookmarkEnd w:id="37"/>
      <w:r>
        <w:t>8. Soutome S, Yanamoto S, Funahara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600F811B" w14:textId="77777777" w:rsidR="0055388C" w:rsidRDefault="00000000">
      <w:pPr>
        <w:pStyle w:val="a9"/>
      </w:pPr>
      <w:bookmarkStart w:id="39" w:name="ref-Iwata2019"/>
      <w:bookmarkEnd w:id="38"/>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4DD8C33F" w14:textId="77777777" w:rsidR="0055388C" w:rsidRDefault="00000000">
      <w:pPr>
        <w:pStyle w:val="a9"/>
      </w:pPr>
      <w:bookmarkStart w:id="40" w:name="ref-Nobuhara2018"/>
      <w:bookmarkEnd w:id="39"/>
      <w:r>
        <w:t>10. Nobuhara H, Yanamoto S, Funahara M, Matsugu Y, Hayashida S, Soutome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12. Ministry of Health, Labour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 xml:space="preserve">13. Kodama T, Ida Y, Oshima K, Miura H. Are public oral care services evenly distributed? Nation-wide assessment of the provision of oral care in Japan using the </w:t>
      </w:r>
      <w:r>
        <w:lastRenderedPageBreak/>
        <w:t>national database of health insurance claims. Int J Environ Res Public Health. 2021;18(20):10850.</w:t>
      </w:r>
    </w:p>
    <w:p w14:paraId="5162BD2C" w14:textId="77777777" w:rsidR="0055388C" w:rsidRDefault="00000000">
      <w:pPr>
        <w:pStyle w:val="a9"/>
      </w:pPr>
      <w:bookmarkStart w:id="44" w:name="ref-Ishimaru2022b"/>
      <w:bookmarkEnd w:id="43"/>
      <w:r>
        <w:t>14. Ishimaru M, Taira K, Zaitsu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508EBB2" w14:textId="77777777" w:rsidR="0055388C" w:rsidRDefault="00000000">
      <w:pPr>
        <w:pStyle w:val="a9"/>
      </w:pPr>
      <w:bookmarkStart w:id="46" w:name="ref-Taira2021"/>
      <w:bookmarkEnd w:id="45"/>
      <w:r>
        <w:t>16. Taira K, Mori T, Ishimaru M, Iwagami M, Sakata N, Watanabe T, et al. Regional inequality in dental care utilization in Japan: An ecological study using the national database of health insurance claims. Lancet Reg Health West Pac. 2021;12:100170.</w:t>
      </w:r>
    </w:p>
    <w:p w14:paraId="6246C668" w14:textId="77777777" w:rsidR="0055388C" w:rsidRDefault="00000000">
      <w:pPr>
        <w:pStyle w:val="a9"/>
      </w:pPr>
      <w:bookmarkStart w:id="47" w:name="ref-MHLW_NDB2023"/>
      <w:bookmarkEnd w:id="46"/>
      <w:r>
        <w:t>17. Ministry of Health, Labour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19. Ministry of Health, Labour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20. Anselin L. Spatial econometrics: Methods and models. Dordrecht: Kluwer Academic Publishers; 1988.</w:t>
      </w:r>
    </w:p>
    <w:p w14:paraId="2C6F71E2" w14:textId="77777777" w:rsidR="0055388C" w:rsidRDefault="00000000">
      <w:pPr>
        <w:pStyle w:val="a9"/>
      </w:pPr>
      <w:bookmarkStart w:id="51" w:name="ref-Anselin1988"/>
      <w:bookmarkEnd w:id="50"/>
      <w:r>
        <w:t>21. LeSage JP, Pace RK. Introduction to spatial econometrics. Boca Raton: Chapman and Hall/CRC; 2009.</w:t>
      </w:r>
    </w:p>
    <w:p w14:paraId="4A70B342" w14:textId="77777777" w:rsidR="0055388C" w:rsidRDefault="00000000">
      <w:pPr>
        <w:pStyle w:val="a9"/>
      </w:pPr>
      <w:bookmarkStart w:id="52" w:name="ref-LeSage2009"/>
      <w:bookmarkEnd w:id="51"/>
      <w:r>
        <w:t>22. Anselin L. Local indicators of spatial association-LISA. Geogr Anal. 1995;27(2):93-115.</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lastRenderedPageBreak/>
        <w:t>25. Ibuka Y, Matsuda Y, Shoji K, Ishigaki T. Evaluation of regional variations in healthcare utilization. Jpn J Stat Data Sci. 2020;3(1):349-65.</w:t>
      </w:r>
    </w:p>
    <w:p w14:paraId="5B1A658C" w14:textId="77777777" w:rsidR="0055388C" w:rsidRDefault="00000000">
      <w:pPr>
        <w:pStyle w:val="a9"/>
      </w:pPr>
      <w:bookmarkStart w:id="56" w:name="ref-Seo2022"/>
      <w:bookmarkEnd w:id="55"/>
      <w:r>
        <w:t>26. Seo Y, Takikawa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27. Shirakawa Y. Perioperative team cooperation at Okayama University Hospital [in Japanese]. Nihon Geka Gakkai Zasshi. 2017;118(2):149-54.</w:t>
      </w:r>
    </w:p>
    <w:p w14:paraId="5CEEA1C8" w14:textId="77777777" w:rsidR="0055388C" w:rsidRDefault="00000000">
      <w:pPr>
        <w:pStyle w:val="a9"/>
      </w:pPr>
      <w:bookmarkStart w:id="58" w:name="ref-Kunitomi2025"/>
      <w:bookmarkEnd w:id="57"/>
      <w:r>
        <w:t>28. Kunitomi T, Miyagami T, Teranaka S, Matsumoto T, Yoshimatsu Y, Matsumoto S, et al. Current state and challenges of dental intervention in aspiration pneumonia management from the perspective of hospitalists: A cross-sectional survey in Japan. Int J Gen Med. 2025;18:6889-98.</w:t>
      </w:r>
    </w:p>
    <w:p w14:paraId="49C16094" w14:textId="77777777" w:rsidR="0055388C" w:rsidRDefault="00000000">
      <w:pPr>
        <w:pStyle w:val="a9"/>
      </w:pPr>
      <w:bookmarkStart w:id="59" w:name="ref-Shirakura2024"/>
      <w:bookmarkEnd w:id="58"/>
      <w:r>
        <w:t>29. Shirakura Y, Shobugawa Y, Saito R. Geographic variation in inpatient medical expenditure among older adults aged 75 years and above in Japan: A three-level multilevel analysis of nationwide data. Front Public Health. 2024;12:1306013.</w:t>
      </w:r>
    </w:p>
    <w:p w14:paraId="1AA2EF53" w14:textId="77777777" w:rsidR="0055388C" w:rsidRDefault="00000000">
      <w:pPr>
        <w:pStyle w:val="a9"/>
      </w:pPr>
      <w:bookmarkStart w:id="60" w:name="ref-Takazawa2026"/>
      <w:bookmarkEnd w:id="59"/>
      <w:r>
        <w:t>30. Takazawa I, Suzuki H, Sugimoto K, Kabasawa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32. Hashimura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33. Yamamoto T, Hanazato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34. Sato Y, Fukai K, Kunori Y, Yoshioka E, Saijo Y. Trends in dental expenditures in Japan with a universal health insurance system. PLoS One. 2023;18(10):e0292547.</w:t>
      </w:r>
    </w:p>
    <w:p w14:paraId="0FC11EDE" w14:textId="77777777" w:rsidR="0055388C" w:rsidRDefault="00000000">
      <w:pPr>
        <w:pStyle w:val="a9"/>
      </w:pPr>
      <w:bookmarkStart w:id="65" w:name="ref-Morgenstern1998"/>
      <w:bookmarkEnd w:id="64"/>
      <w:r>
        <w:t>35. Morgenstern H. Ecologic studies in epidemiology: Concepts, principles, and methods. Annu Rev Public Health. 1995;16:61-81. Available from: https://pubmed.ncbi.nlm.nih.gov/7639884/</w:t>
      </w:r>
    </w:p>
    <w:p w14:paraId="7EC9E64A" w14:textId="77777777" w:rsidR="0055388C" w:rsidRDefault="00000000">
      <w:pPr>
        <w:pStyle w:val="a9"/>
      </w:pPr>
      <w:bookmarkStart w:id="66" w:name="ref-Greenland2001"/>
      <w:bookmarkEnd w:id="65"/>
      <w:r>
        <w:lastRenderedPageBreak/>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31" style="width:0;height:1.5pt" o:hralign="center" o:hrstd="t" o:hr="t"/>
        </w:pict>
      </w:r>
    </w:p>
    <w:bookmarkEnd w:id="33"/>
    <w:p w14:paraId="392CAA28" w14:textId="77777777" w:rsidR="0055388C" w:rsidRDefault="00000000">
      <w:pPr>
        <w:pStyle w:val="1"/>
      </w:pPr>
      <w:r>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75EB0" w14:textId="77777777" w:rsidR="00AD6A64" w:rsidRDefault="00AD6A64" w:rsidP="00C82DA5">
      <w:pPr>
        <w:spacing w:after="0"/>
      </w:pPr>
      <w:r>
        <w:separator/>
      </w:r>
    </w:p>
  </w:endnote>
  <w:endnote w:type="continuationSeparator" w:id="0">
    <w:p w14:paraId="1AAD05B1" w14:textId="77777777" w:rsidR="00AD6A64" w:rsidRDefault="00AD6A64"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EEF0B" w14:textId="77777777" w:rsidR="00AD6A64" w:rsidRDefault="00AD6A64" w:rsidP="00C82DA5">
      <w:pPr>
        <w:spacing w:after="0"/>
      </w:pPr>
      <w:r>
        <w:separator/>
      </w:r>
    </w:p>
  </w:footnote>
  <w:footnote w:type="continuationSeparator" w:id="0">
    <w:p w14:paraId="77229FF6" w14:textId="77777777" w:rsidR="00AD6A64" w:rsidRDefault="00AD6A64"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C1394"/>
    <w:rsid w:val="00AD6A64"/>
    <w:rsid w:val="00B60117"/>
    <w:rsid w:val="00B61F97"/>
    <w:rsid w:val="00B72667"/>
    <w:rsid w:val="00C172D2"/>
    <w:rsid w:val="00C82DA5"/>
    <w:rsid w:val="00CC117D"/>
    <w:rsid w:val="00CE7776"/>
    <w:rsid w:val="00D50A62"/>
    <w:rsid w:val="00E012A6"/>
    <w:rsid w:val="00E46DD6"/>
    <w:rsid w:val="00E93B68"/>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22</Pages>
  <Words>5252</Words>
  <Characters>29940</Characters>
  <Application>Microsoft Office Word</Application>
  <DocSecurity>0</DocSecurity>
  <Lines>249</Lines>
  <Paragraphs>70</Paragraphs>
  <ScaleCrop>false</ScaleCrop>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21</cp:revision>
  <dcterms:created xsi:type="dcterms:W3CDTF">2026-06-15T21:38:00Z</dcterms:created>
  <dcterms:modified xsi:type="dcterms:W3CDTF">2026-06-24T09:54:00Z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