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pPr>
      <w:r>
        <w:t>Supplementary Material</w:t>
      </w:r>
    </w:p>
    <w:p w14:paraId="11CF1173" w14:textId="77777777" w:rsidR="00515C9D" w:rsidRDefault="00000000">
      <w:r>
        <w:rPr>
          <w:b/>
        </w:rPr>
        <w:t>Appendix</w:t>
      </w:r>
    </w:p>
    <w:p w14:paraId="4FDD13A3" w14:textId="77777777" w:rsidR="0055388C" w:rsidRDefault="00000000">
      <w:pPr>
        <w:pStyle w:val="FirstParagraph"/>
      </w:pPr>
      <w:r>
        <w:t>Supplementary Table S1. Selected Spatial Lag Model (SLM) results</w:t>
      </w:r>
    </w:p>
    <w:p w14:paraId="25529C6F" w14:textId="77777777" w:rsidR="0055388C" w:rsidRDefault="00000000">
      <w:pPr>
        <w:pStyle w:val="a0"/>
      </w:pPr>
      <w:r>
        <w:t>All model coefficients, the spatial lag parameter (ρ), and model fit statistics are reported. HC3 robust standard errors were not applied to the SLM (maximum likelihood estimation). Adjusted for aging rate, per-capita income, and population density.</w:t>
      </w:r>
    </w:p>
    <w:p w14:paraId="6D480971" w14:textId="77777777" w:rsidR="0055388C" w:rsidRDefault="00000000">
      <w:r>
        <w:pict w14:anchorId="19493DBD">
          <v:rect id="_x0000_i1034" style="width:0;height:1.5pt" o:hralign="center" o:hrstd="t" o:hr="t"/>
        </w:pict>
      </w:r>
    </w:p>
    <w:p w14:paraId="7F9F19F3" w14:textId="77777777" w:rsidR="00515C9D" w:rsidRDefault="00000000">
      <w:r>
        <w:rPr>
          <w:b/>
        </w:rPr>
        <w:t>Appendix Figures</w:t>
      </w:r>
    </w:p>
    <w:p w14:paraId="15B380AE" w14:textId="77777777" w:rsidR="0055388C" w:rsidRDefault="00000000">
      <w:pPr>
        <w:pStyle w:val="FirstParagraph"/>
      </w:pPr>
      <w:r>
        <w:t>Appendix Figure A1: Conceptual framework for need-driven versus supply-driven POFM implementation under universal health coverage.</w:t>
      </w:r>
    </w:p>
    <w:p w14:paraId="225C615D" w14:textId="77777777" w:rsidR="0055388C" w:rsidRDefault="00000000">
      <w:pPr>
        <w:pStyle w:val="FirstParagraph"/>
        <w:jc w:val="center"/>
      </w:pPr>
      <w:r>
        <w:rPr>
          <w:noProof/>
        </w:rPr>
        <w:drawing>
          <wp:inline distT="0" distB="0" distL="0" distR="0" wp14:anchorId="29D24039" wp14:editId="01F685E8">
            <wp:extent cx="5852160" cy="2833677"/>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_supply_need_pofm.png"/>
                    <pic:cNvPicPr/>
                  </pic:nvPicPr>
                  <pic:blipFill>
                    <a:blip r:embed="rId9"/>
                    <a:stretch>
                      <a:fillRect/>
                    </a:stretch>
                  </pic:blipFill>
                  <pic:spPr>
                    <a:xfrm>
                      <a:off x="0" y="0"/>
                      <a:ext cx="5852160" cy="2833677"/>
                    </a:xfrm>
                    <a:prstGeom prst="rect">
                      <a:avLst/>
                    </a:prstGeom>
                  </pic:spPr>
                </pic:pic>
              </a:graphicData>
            </a:graphic>
          </wp:inline>
        </w:drawing>
      </w:r>
    </w:p>
    <w:p w14:paraId="4D0FF192" w14:textId="77777777" w:rsidR="0055388C" w:rsidRPr="00B61F97" w:rsidRDefault="00000000">
      <w:pPr>
        <w:pStyle w:val="a0"/>
      </w:pPr>
      <w:r w:rsidRPr="00B61F97">
        <w:t>Appendix Figure A2: Scatter plot of prefectural dentist density (dentists per 100,000 population, 2022) vs. POFM density (B001-2 + B001-3 per 100,000 population, FY2023) across 47 Japanese prefectures. Red labels = High-High LISA clusters (Hyogo, Okayama, Saga); Blue labels = Low-Low LISA clusters (Hokkaido, Iwate, Okinawa).</w:t>
      </w:r>
    </w:p>
    <w:p w14:paraId="77B33E22" w14:textId="77777777" w:rsidR="0055388C" w:rsidRDefault="00000000">
      <w:pPr>
        <w:pStyle w:val="CaptionedFigure"/>
      </w:pPr>
      <w:r>
        <w:rPr>
          <w:noProof/>
        </w:rPr>
        <w:lastRenderedPageBreak/>
        <w:drawing>
          <wp:inline distT="0" distB="0" distL="0" distR="0" wp14:anchorId="697BB56C" wp14:editId="49EBED84">
            <wp:extent cx="4000500" cy="3097354"/>
            <wp:effectExtent l="0" t="0" r="0" b="0"/>
            <wp:docPr id="135" name="Picture" descr="Scatter plot of dentist density vs. POFM density"/>
            <wp:cNvGraphicFramePr/>
            <a:graphic xmlns:a="http://schemas.openxmlformats.org/drawingml/2006/main">
              <a:graphicData uri="http://schemas.openxmlformats.org/drawingml/2006/picture">
                <pic:pic xmlns:pic="http://schemas.openxmlformats.org/drawingml/2006/picture">
                  <pic:nvPicPr>
                    <pic:cNvPr id="136" name="Picture" descr="../results/figures/scatter_dentist_vs_dental.png"/>
                    <pic:cNvPicPr>
                      <a:picLocks noChangeAspect="1" noChangeArrowheads="1"/>
                    </pic:cNvPicPr>
                  </pic:nvPicPr>
                  <pic:blipFill>
                    <a:blip r:embed="rId10"/>
                    <a:stretch>
                      <a:fillRect/>
                    </a:stretch>
                  </pic:blipFill>
                  <pic:spPr bwMode="auto">
                    <a:xfrm>
                      <a:off x="0" y="0"/>
                      <a:ext cx="4000500" cy="3097354"/>
                    </a:xfrm>
                    <a:prstGeom prst="rect">
                      <a:avLst/>
                    </a:prstGeom>
                    <a:noFill/>
                    <a:ln w="9525">
                      <a:noFill/>
                      <a:headEnd/>
                      <a:tailEnd/>
                    </a:ln>
                  </pic:spPr>
                </pic:pic>
              </a:graphicData>
            </a:graphic>
          </wp:inline>
        </w:drawing>
      </w:r>
    </w:p>
    <w:p w14:paraId="3263A539" w14:textId="77777777" w:rsidR="0055388C" w:rsidRDefault="00000000">
      <w:pPr>
        <w:pStyle w:val="a0"/>
      </w:pPr>
      <w:r>
        <w:t>Appendix Figure A4: Scatter plot of cancer surgery density vs. POFM density by prefecture (N = 47). The dashed line indicates the OLS regression fit (β = 98.3, p = 0.510).</w:t>
      </w:r>
    </w:p>
    <w:p w14:paraId="33C653C0" w14:textId="77777777" w:rsidR="0055388C" w:rsidRDefault="00000000">
      <w:pPr>
        <w:pStyle w:val="CaptionedFigure"/>
      </w:pPr>
      <w:r>
        <w:rPr>
          <w:noProof/>
        </w:rPr>
        <w:drawing>
          <wp:inline distT="0" distB="0" distL="0" distR="0" wp14:anchorId="7B03C667" wp14:editId="5ADF5B5F">
            <wp:extent cx="4000500" cy="3083874"/>
            <wp:effectExtent l="0" t="0" r="0" b="0"/>
            <wp:docPr id="126" name="Picture" descr="Scatter plot of cancer surgery density vs. POFM density"/>
            <wp:cNvGraphicFramePr/>
            <a:graphic xmlns:a="http://schemas.openxmlformats.org/drawingml/2006/main">
              <a:graphicData uri="http://schemas.openxmlformats.org/drawingml/2006/picture">
                <pic:pic xmlns:pic="http://schemas.openxmlformats.org/drawingml/2006/picture">
                  <pic:nvPicPr>
                    <pic:cNvPr id="127" name="Picture" descr="../results/figures/scatter_surgery_vs_dental.png"/>
                    <pic:cNvPicPr>
                      <a:picLocks noChangeAspect="1" noChangeArrowheads="1"/>
                    </pic:cNvPicPr>
                  </pic:nvPicPr>
                  <pic:blipFill>
                    <a:blip r:embed="rId11"/>
                    <a:stretch>
                      <a:fillRect/>
                    </a:stretch>
                  </pic:blipFill>
                  <pic:spPr bwMode="auto">
                    <a:xfrm>
                      <a:off x="0" y="0"/>
                      <a:ext cx="4000500" cy="3083874"/>
                    </a:xfrm>
                    <a:prstGeom prst="rect">
                      <a:avLst/>
                    </a:prstGeom>
                    <a:noFill/>
                    <a:ln w="9525">
                      <a:noFill/>
                      <a:headEnd/>
                      <a:tailEnd/>
                    </a:ln>
                  </pic:spPr>
                </pic:pic>
              </a:graphicData>
            </a:graphic>
          </wp:inline>
        </w:drawing>
      </w:r>
    </w:p>
    <w:p w14:paraId="5A87B0A2" w14:textId="77777777" w:rsidR="0055388C" w:rsidRDefault="00000000">
      <w:pPr>
        <w:pStyle w:val="ImageCaption"/>
      </w:pPr>
      <w:r>
        <w:t>Scatter plot of cancer surgery density vs. POFM density</w:t>
      </w:r>
    </w:p>
    <w:p w14:paraId="2290266C" w14:textId="77777777" w:rsidR="0055388C" w:rsidRDefault="00000000">
      <w:pPr>
        <w:pStyle w:val="a0"/>
      </w:pPr>
      <w:r>
        <w:lastRenderedPageBreak/>
        <w:t>Appendix Figure A5: Forest plot of cancer surgery density regression coefficients across seven sensitivity analysis specifications. Bars represent 95% confidence intervals. Red = p&lt;0.05; Blue = p≥0.05.</w:t>
      </w:r>
    </w:p>
    <w:p w14:paraId="0F1EC279" w14:textId="77777777" w:rsidR="0055388C" w:rsidRDefault="00000000">
      <w:pPr>
        <w:pStyle w:val="CaptionedFigure"/>
      </w:pPr>
      <w:r>
        <w:rPr>
          <w:noProof/>
        </w:rPr>
        <w:drawing>
          <wp:inline distT="0" distB="0" distL="0" distR="0" wp14:anchorId="45C13263" wp14:editId="1FB6E8DE">
            <wp:extent cx="4267200" cy="2827739"/>
            <wp:effectExtent l="0" t="0" r="0" b="0"/>
            <wp:docPr id="129" name="Picture" descr="Forest plot of sensitivity analysis coefficients"/>
            <wp:cNvGraphicFramePr/>
            <a:graphic xmlns:a="http://schemas.openxmlformats.org/drawingml/2006/main">
              <a:graphicData uri="http://schemas.openxmlformats.org/drawingml/2006/picture">
                <pic:pic xmlns:pic="http://schemas.openxmlformats.org/drawingml/2006/picture">
                  <pic:nvPicPr>
                    <pic:cNvPr id="130" name="Picture" descr="../results/figures/forest_sensitivity.png"/>
                    <pic:cNvPicPr>
                      <a:picLocks noChangeAspect="1" noChangeArrowheads="1"/>
                    </pic:cNvPicPr>
                  </pic:nvPicPr>
                  <pic:blipFill>
                    <a:blip r:embed="rId12"/>
                    <a:stretch>
                      <a:fillRect/>
                    </a:stretch>
                  </pic:blipFill>
                  <pic:spPr bwMode="auto">
                    <a:xfrm>
                      <a:off x="0" y="0"/>
                      <a:ext cx="4267200" cy="2827739"/>
                    </a:xfrm>
                    <a:prstGeom prst="rect">
                      <a:avLst/>
                    </a:prstGeom>
                    <a:noFill/>
                    <a:ln w="9525">
                      <a:noFill/>
                      <a:headEnd/>
                      <a:tailEnd/>
                    </a:ln>
                  </pic:spPr>
                </pic:pic>
              </a:graphicData>
            </a:graphic>
          </wp:inline>
        </w:drawing>
      </w:r>
    </w:p>
    <w:p w14:paraId="2A174924" w14:textId="77777777" w:rsidR="0055388C" w:rsidRDefault="00000000">
      <w:pPr>
        <w:pStyle w:val="ImageCaption"/>
      </w:pPr>
      <w:r>
        <w:t>Forest plot of sensitivity analysis coefficients</w:t>
      </w:r>
    </w:p>
    <w:p w14:paraId="5A5DB1DC" w14:textId="77777777" w:rsidR="0055388C" w:rsidRDefault="00000000">
      <w:pPr>
        <w:pStyle w:val="1"/>
      </w:pPr>
      <w:r>
        <w:t>Supplementary Figures</w:t>
      </w:r>
    </w:p>
    <w:p w14:paraId="577D1F36" w14:textId="77777777" w:rsidR="0055388C" w:rsidRDefault="00000000">
      <w:pPr>
        <w:pStyle w:val="a0"/>
      </w:pPr>
      <w:r>
        <w:t>Supplementary Figure S1: Prefectural distribution of major cancer surgery density (16 K-codes per 100,000 population, FY2023).</w:t>
      </w:r>
    </w:p>
    <w:p w14:paraId="76232FBC" w14:textId="77777777" w:rsidR="0055388C" w:rsidRDefault="00000000">
      <w:pPr>
        <w:pStyle w:val="CaptionedFigure"/>
      </w:pPr>
      <w:r>
        <w:rPr>
          <w:noProof/>
        </w:rPr>
        <w:lastRenderedPageBreak/>
        <w:drawing>
          <wp:inline distT="0" distB="0" distL="0" distR="0" wp14:anchorId="47104B83" wp14:editId="572DC9A3">
            <wp:extent cx="4267200" cy="3710541"/>
            <wp:effectExtent l="0" t="0" r="0" b="0"/>
            <wp:docPr id="123" name="Picture" descr="Choropleth map of cancer surgery density by prefecture"/>
            <wp:cNvGraphicFramePr/>
            <a:graphic xmlns:a="http://schemas.openxmlformats.org/drawingml/2006/main">
              <a:graphicData uri="http://schemas.openxmlformats.org/drawingml/2006/picture">
                <pic:pic xmlns:pic="http://schemas.openxmlformats.org/drawingml/2006/picture">
                  <pic:nvPicPr>
                    <pic:cNvPr id="124" name="Picture" descr="../results/figures/choropleth_cancer_surgery_rate.png"/>
                    <pic:cNvPicPr>
                      <a:picLocks noChangeAspect="1" noChangeArrowheads="1"/>
                    </pic:cNvPicPr>
                  </pic:nvPicPr>
                  <pic:blipFill>
                    <a:blip r:embed="rId13"/>
                    <a:stretch>
                      <a:fillRect/>
                    </a:stretch>
                  </pic:blipFill>
                  <pic:spPr bwMode="auto">
                    <a:xfrm>
                      <a:off x="0" y="0"/>
                      <a:ext cx="4267200" cy="3710541"/>
                    </a:xfrm>
                    <a:prstGeom prst="rect">
                      <a:avLst/>
                    </a:prstGeom>
                    <a:noFill/>
                    <a:ln w="9525">
                      <a:noFill/>
                      <a:headEnd/>
                      <a:tailEnd/>
                    </a:ln>
                  </pic:spPr>
                </pic:pic>
              </a:graphicData>
            </a:graphic>
          </wp:inline>
        </w:drawing>
      </w:r>
    </w:p>
    <w:p w14:paraId="3EEB2653" w14:textId="77777777" w:rsidR="0055388C" w:rsidRDefault="00000000">
      <w:pPr>
        <w:pStyle w:val="ImageCaption"/>
      </w:pPr>
      <w:r>
        <w:t>Cancer surgery density map by prefecture</w:t>
      </w:r>
    </w:p>
    <w:sectPr w:rsidR="0055388C">
      <w:footnotePr>
        <w:numRestart w:val="eachSect"/>
      </w:footnotePr>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75EB0" w14:textId="77777777" w:rsidR="00AD6A64" w:rsidRDefault="00AD6A64" w:rsidP="00C82DA5">
      <w:pPr>
        <w:spacing w:after="0"/>
      </w:pPr>
      <w:r>
        <w:separator/>
      </w:r>
    </w:p>
  </w:endnote>
  <w:endnote w:type="continuationSeparator" w:id="0">
    <w:p w14:paraId="1AAD05B1" w14:textId="77777777" w:rsidR="00AD6A64" w:rsidRDefault="00AD6A64" w:rsidP="00C82D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EEF0B" w14:textId="77777777" w:rsidR="00AD6A64" w:rsidRDefault="00AD6A64" w:rsidP="00C82DA5">
      <w:pPr>
        <w:spacing w:after="0"/>
      </w:pPr>
      <w:r>
        <w:separator/>
      </w:r>
    </w:p>
  </w:footnote>
  <w:footnote w:type="continuationSeparator" w:id="0">
    <w:p w14:paraId="77229FF6" w14:textId="77777777" w:rsidR="00AD6A64" w:rsidRDefault="00AD6A64" w:rsidP="00C82DA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BA0CB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1A8B6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45009915">
    <w:abstractNumId w:val="0"/>
  </w:num>
  <w:num w:numId="2" w16cid:durableId="1561940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88C"/>
    <w:rsid w:val="000768DA"/>
    <w:rsid w:val="001215DF"/>
    <w:rsid w:val="00182249"/>
    <w:rsid w:val="001A3560"/>
    <w:rsid w:val="002930B3"/>
    <w:rsid w:val="0031271F"/>
    <w:rsid w:val="00327913"/>
    <w:rsid w:val="00337C0C"/>
    <w:rsid w:val="003C1EF6"/>
    <w:rsid w:val="003E14E5"/>
    <w:rsid w:val="004844F4"/>
    <w:rsid w:val="00491266"/>
    <w:rsid w:val="00503C94"/>
    <w:rsid w:val="00504C64"/>
    <w:rsid w:val="00515C9D"/>
    <w:rsid w:val="0055388C"/>
    <w:rsid w:val="005F29B9"/>
    <w:rsid w:val="006938A3"/>
    <w:rsid w:val="00843AD6"/>
    <w:rsid w:val="008E0C68"/>
    <w:rsid w:val="00951F32"/>
    <w:rsid w:val="00985A50"/>
    <w:rsid w:val="00A32CEB"/>
    <w:rsid w:val="00AC1394"/>
    <w:rsid w:val="00AD6A64"/>
    <w:rsid w:val="00B60117"/>
    <w:rsid w:val="00B61F97"/>
    <w:rsid w:val="00B72667"/>
    <w:rsid w:val="00C172D2"/>
    <w:rsid w:val="00C82DA5"/>
    <w:rsid w:val="00CC117D"/>
    <w:rsid w:val="00CE7776"/>
    <w:rsid w:val="00D50A62"/>
    <w:rsid w:val="00E012A6"/>
    <w:rsid w:val="00E46DD6"/>
    <w:rsid w:val="00E93B68"/>
    <w:rsid w:val="00EA41A2"/>
    <w:rsid w:val="00ED6A67"/>
    <w:rsid w:val="00EE44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4E002F"/>
  <w15:docId w15:val="{E4A2F185-6665-4EEE-B7FB-E4CD1DA0D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af1">
    <w:name w:val="header"/>
    <w:basedOn w:val="a"/>
    <w:link w:val="af2"/>
    <w:uiPriority w:val="99"/>
    <w:rsid w:val="00C82DA5"/>
    <w:pPr>
      <w:tabs>
        <w:tab w:val="center" w:pos="4252"/>
        <w:tab w:val="right" w:pos="8504"/>
      </w:tabs>
      <w:snapToGrid w:val="0"/>
    </w:pPr>
  </w:style>
  <w:style w:type="character" w:customStyle="1" w:styleId="af2">
    <w:name w:val="ヘッダー (文字)"/>
    <w:basedOn w:val="a1"/>
    <w:link w:val="af1"/>
    <w:uiPriority w:val="99"/>
    <w:rsid w:val="00C82DA5"/>
  </w:style>
  <w:style w:type="paragraph" w:styleId="af3">
    <w:name w:val="footer"/>
    <w:basedOn w:val="a"/>
    <w:link w:val="af4"/>
    <w:rsid w:val="00C82DA5"/>
    <w:pPr>
      <w:tabs>
        <w:tab w:val="center" w:pos="4252"/>
        <w:tab w:val="right" w:pos="8504"/>
      </w:tabs>
      <w:snapToGrid w:val="0"/>
    </w:pPr>
  </w:style>
  <w:style w:type="character" w:customStyle="1" w:styleId="af4">
    <w:name w:val="フッター (文字)"/>
    <w:basedOn w:val="a1"/>
    <w:link w:val="af3"/>
    <w:rsid w:val="00C82D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22</Pages>
  <Words>5252</Words>
  <Characters>29940</Characters>
  <Application>Microsoft Office Word</Application>
  <DocSecurity>0</DocSecurity>
  <Lines>249</Lines>
  <Paragraphs>70</Paragraphs>
  <ScaleCrop>false</ScaleCrop>
  <Company/>
  <LinksUpToDate>false</LinksUpToDate>
  <CharactersWithSpaces>35122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治輝 齋藤</dc:creator>
  <cp:keywords/>
  <cp:lastModifiedBy>治輝 齋藤</cp:lastModifiedBy>
  <cp:revision>21</cp:revision>
  <dcterms:created xsi:type="dcterms:W3CDTF">2026-06-15T21:38:00Z</dcterms:created>
  <dcterms:modified xsi:type="dcterms:W3CDTF">2026-06-24T09:54:00Z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vancouver.csl</vt:lpwstr>
  </property>
  <property fmtid="{D5CDD505-2E9C-101B-9397-08002B2CF9AE}" pid="9" name="date">
    <vt:lpwstr>2026-04-10</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