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B7049"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14:paraId="739B655E" w14:textId="77777777" w:rsidR="00515C9D" w:rsidRDefault="00000000">
      <w:bookmarkStart w:id="0" w:name="abstract"/>
      <w:r>
        <w:rPr>
          <w:b/>
        </w:rPr>
        <w:t>Highlights</w:t>
      </w:r>
    </w:p>
    <w:p w14:paraId="2B8CAFFA" w14:textId="77777777" w:rsidR="00515C9D" w:rsidRDefault="00000000">
      <w:r>
        <w:t>• POFM delivery varied 2.25-fold across 47 Japanese prefectures</w:t>
      </w:r>
    </w:p>
    <w:p w14:paraId="4F47C1CB" w14:textId="77777777" w:rsidR="00515C9D" w:rsidRDefault="00000000">
      <w:r>
        <w:t>• Cancer surgical demand was not associated with POFM (0/7 specifications)</w:t>
      </w:r>
    </w:p>
    <w:p w14:paraId="0EE25686" w14:textId="77777777" w:rsidR="00515C9D" w:rsidRDefault="00000000">
      <w:r>
        <w:t>• Dentist density was the strongest predictor of POFM (r = 0.617, p &lt; 0.0001)</w:t>
      </w:r>
    </w:p>
    <w:p w14:paraId="1C1E1AFD" w14:textId="77777777" w:rsidR="00515C9D" w:rsidRDefault="00000000">
      <w:r>
        <w:t>• Significant spatial clustering identified (Moran’s I = 0.210, p = 0.024)</w:t>
      </w:r>
    </w:p>
    <w:p w14:paraId="49FE1A40" w14:textId="77777777" w:rsidR="00515C9D" w:rsidRDefault="00000000">
      <w:r>
        <w:t>• Supply-side capacity, not surgical need, drives regional POFM inequity in Japan</w:t>
      </w:r>
    </w:p>
    <w:p w14:paraId="3441E7E3" w14:textId="77777777" w:rsidR="00515C9D" w:rsidRDefault="00515C9D"/>
    <w:p w14:paraId="5F69B2C0" w14:textId="77777777" w:rsidR="0055388C" w:rsidRDefault="00000000">
      <w:pPr>
        <w:pStyle w:val="1"/>
      </w:pPr>
      <w:r>
        <w:t>Abstract</w:t>
      </w:r>
    </w:p>
    <w:p w14:paraId="74FB4DEF" w14:textId="77777777" w:rsidR="0055388C" w:rsidRPr="00B61F97" w:rsidRDefault="00000000">
      <w:pPr>
        <w:pStyle w:val="FirstParagraph"/>
      </w:pPr>
      <w:r>
        <w:rPr>
          <w:b/>
          <w:bCs/>
        </w:rPr>
        <w:t xml:space="preserve">Background: </w:t>
      </w:r>
      <w:r w:rsidRPr="00B61F97">
        <w:t>Universal coverage should help align evidence-based care with clinical need, yet regional delivery may remain supply-sensitive. Perioperative oral functional management (POFM) is reimbursed in Japan, but whether provision reflects surgical need or delivery capacity remains unclear.</w:t>
      </w:r>
    </w:p>
    <w:p w14:paraId="67E9B006" w14:textId="77777777" w:rsidR="00515C9D" w:rsidRDefault="00000000">
      <w:r>
        <w:t xml:space="preserve">Objectives: To </w:t>
      </w:r>
      <w:proofErr w:type="spellStart"/>
      <w:r>
        <w:t>characterise</w:t>
      </w:r>
      <w:proofErr w:type="spellEnd"/>
      <w:r>
        <w:t xml:space="preserve"> prefectural variation in perioperative oral functional management (POFM) delivery across Japan, examine whether this variation was associated with cancer surgical demand or with dental workforce supply, and assess spatial clustering of POFM implementation.</w:t>
      </w:r>
    </w:p>
    <w:p w14:paraId="0B12CD18" w14:textId="77777777" w:rsidR="0055388C" w:rsidRPr="00B61F97" w:rsidRDefault="00000000">
      <w:pPr>
        <w:pStyle w:val="a0"/>
      </w:pPr>
      <w:r>
        <w:rPr>
          <w:b/>
          <w:bCs/>
        </w:rPr>
        <w:t>Methods:</w:t>
      </w:r>
      <w:r w:rsidRPr="00B61F97">
        <w:t xml:space="preserve"> We conducted a nationwide prefectural ecological study using the 10th NDB Open Data for fiscal year 2023. The outcome was POFM density, defined as annual claims for perioperative oral management fees per 100,000 population. The need-side exposure was major cancer surgery density based on 16 selected K-codes. We used OLS regression with HC3 robust standard errors, sensitivity analyses, Global Moran’s I, Lagrange Multiplier tests, and spatial regression.</w:t>
      </w:r>
    </w:p>
    <w:p w14:paraId="6B52CF4F" w14:textId="77777777" w:rsidR="0055388C" w:rsidRPr="00B61F97" w:rsidRDefault="00000000">
      <w:pPr>
        <w:pStyle w:val="a0"/>
      </w:pPr>
      <w:r>
        <w:rPr>
          <w:b/>
          <w:bCs/>
        </w:rPr>
        <w:t>Results:</w:t>
      </w:r>
      <w:r w:rsidRPr="00B61F97">
        <w:t xml:space="preserve"> Across 47 prefectures, POFM density ranged from 68,804 to 154,850 claims per 100,000 population, a 2.25-fold difference. Cancer surgery density was not significantly associated with POFM density in unadjusted or adjusted OLS models and was non-significant across all seven sensitivity specifications (0/7 significant). Dentist </w:t>
      </w:r>
      <w:r w:rsidRPr="00B61F97">
        <w:lastRenderedPageBreak/>
        <w:t>density showed the strongest bivariate association with POFM density (r = 0.617, p &lt; 0.0001). POFM density showed significant spatial autocorrelation (Moran’s I = 0.210, p = 0.024). The selected Spatial Lag Model yielded a significant spatial autoregressive coefficient (ρ = 0.354, p = 0.002), while cancer surgery density remained non-significant.</w:t>
      </w:r>
    </w:p>
    <w:p w14:paraId="62E7EF60" w14:textId="77777777" w:rsidR="0055388C" w:rsidRPr="00B61F97" w:rsidRDefault="00000000">
      <w:pPr>
        <w:pStyle w:val="a0"/>
      </w:pPr>
      <w:r>
        <w:rPr>
          <w:b/>
          <w:bCs/>
        </w:rPr>
        <w:t xml:space="preserve">Conclusions: </w:t>
      </w:r>
      <w:r w:rsidRPr="00B61F97">
        <w:t>POFM may represent a case study of supply-sensitive implementation under universal coverage. Formal reimbursement alone may be insufficient to ensure need-based delivery of evidence-based care; implementation capacity appears equally important. Reducing inequity may require pairing reimbursement with workforce, hospital-dental collaboration, and knowledge-transfer strategies.</w:t>
      </w:r>
    </w:p>
    <w:p w14:paraId="76D72271" w14:textId="77777777" w:rsidR="0055388C" w:rsidRPr="00B61F97" w:rsidRDefault="00000000">
      <w:pPr>
        <w:pStyle w:val="a0"/>
      </w:pPr>
      <w:r>
        <w:rPr>
          <w:b/>
          <w:bCs/>
        </w:rPr>
        <w:t xml:space="preserve">Keywords: </w:t>
      </w:r>
      <w:r w:rsidRPr="00B61F97">
        <w:t>perioperative oral care; supply-driven care; need-based care; universal health coverage; implementation capacity; NDB Open Data; ecological study; spatial autocorrelation; Japan</w:t>
      </w:r>
    </w:p>
    <w:p w14:paraId="365150D2" w14:textId="77777777" w:rsidR="0055388C" w:rsidRDefault="00000000">
      <w:r>
        <w:pict w14:anchorId="0E82CCFC">
          <v:rect id="_x0000_i1025" style="width:0;height:1.5pt" o:hralign="center" o:hrstd="t" o:hr="t"/>
        </w:pict>
      </w:r>
    </w:p>
    <w:p w14:paraId="68966739" w14:textId="77777777" w:rsidR="00515C9D" w:rsidRDefault="00515C9D"/>
    <w:p w14:paraId="6D02D4DD" w14:textId="77777777" w:rsidR="00515C9D" w:rsidRDefault="00000000">
      <w:r>
        <w:rPr>
          <w:b/>
        </w:rPr>
        <w:t>Research in Context</w:t>
      </w:r>
    </w:p>
    <w:p w14:paraId="20AD165A" w14:textId="77777777" w:rsidR="00515C9D" w:rsidRDefault="00000000">
      <w:r>
        <w:rPr>
          <w:b/>
        </w:rPr>
        <w:t>What is already known on this topic</w:t>
      </w:r>
    </w:p>
    <w:p w14:paraId="2B3F3C1C" w14:textId="77777777" w:rsidR="00515C9D" w:rsidRDefault="00000000">
      <w:r>
        <w:t xml:space="preserve">Universal health coverage aims to ensure that evidence-based care reaches patients according to clinical need. Japan incorporated perioperative oral functional management (POFM) into its national health insurance fee schedule in 2012, with further reimbursement expansion in 2020 and 2022. Prior studies have documented postoperative benefits of POFM at the patient and hospital level, but prefecture-level variation in POFM implementation had not been </w:t>
      </w:r>
      <w:proofErr w:type="spellStart"/>
      <w:r>
        <w:t>characterised</w:t>
      </w:r>
      <w:proofErr w:type="spellEnd"/>
      <w:r>
        <w:t>.</w:t>
      </w:r>
    </w:p>
    <w:p w14:paraId="33F1C79A" w14:textId="77777777" w:rsidR="00515C9D" w:rsidRDefault="00000000">
      <w:r>
        <w:rPr>
          <w:b/>
        </w:rPr>
        <w:t>What this study adds</w:t>
      </w:r>
    </w:p>
    <w:p w14:paraId="5D833915" w14:textId="77777777" w:rsidR="00515C9D" w:rsidRDefault="00000000">
      <w:r>
        <w:t>This nationwide prefectural ecological analysis of Japan’s NDB Open Data (fiscal year 2023) demonstrates a 2.25-fold variation in POFM claim density across 47 prefectures. Cancer surgical demand—the primary clinical need indicator—was not significantly associated with POFM provision in any of seven pre-specified sensitivity specifications. By contrast, dentist density showed the strongest bivariate association (r = 0.617), and significant positive spatial autocorrelation was identified (Moran’s I = 0.210, p = 0.024).</w:t>
      </w:r>
    </w:p>
    <w:p w14:paraId="0E31C82D" w14:textId="77777777" w:rsidR="00515C9D" w:rsidRDefault="00000000">
      <w:r>
        <w:rPr>
          <w:b/>
        </w:rPr>
        <w:t>How this study might affect research, practice or policy</w:t>
      </w:r>
    </w:p>
    <w:p w14:paraId="26D92F41" w14:textId="77777777" w:rsidR="00515C9D" w:rsidRDefault="00000000">
      <w:r>
        <w:t xml:space="preserve">These findings indicate that reimbursement alone does not guarantee need-aligned implementation of POFM. Dental workforce capacity, hospital–dental integration, and </w:t>
      </w:r>
      <w:r>
        <w:lastRenderedPageBreak/>
        <w:t>referral infrastructure appear to be equally important determinants. For countries introducing perioperative oral care reimbursement, parallel investment in implementation capacity may be essential to prevent supply-driven inequity.</w:t>
      </w:r>
    </w:p>
    <w:p w14:paraId="74F6A056" w14:textId="77777777" w:rsidR="00515C9D" w:rsidRDefault="00515C9D"/>
    <w:p w14:paraId="3471E746" w14:textId="77777777" w:rsidR="0055388C" w:rsidRDefault="00000000">
      <w:pPr>
        <w:pStyle w:val="1"/>
      </w:pPr>
      <w:bookmarkStart w:id="1" w:name="introduction"/>
      <w:bookmarkEnd w:id="0"/>
      <w:r>
        <w:t>1. Introduction</w:t>
      </w:r>
    </w:p>
    <w:p w14:paraId="10C22ECA" w14:textId="77777777" w:rsidR="0055388C" w:rsidRDefault="00000000">
      <w:pPr>
        <w:pStyle w:val="FirstParagraph"/>
      </w:pPr>
      <w:r>
        <w:t>Healthcare systems aim to allocate evidence-based care according to patient need. However, regional healthcare delivery often reflects provider availability, institutional capacity, and local practice patterns rather than need alone (1–4). This gap between need-driven allocation and supply-sensitive delivery has been central to the literature on unwarranted geographic variation in healthcare, but has been less often examined for dental-medical integration within universal health insurance systems.</w:t>
      </w:r>
    </w:p>
    <w:p w14:paraId="0489C45E" w14:textId="77777777" w:rsidR="0055388C" w:rsidRDefault="00000000">
      <w:pPr>
        <w:pStyle w:val="a0"/>
      </w:pPr>
      <w:r>
        <w:t>Perioperative oral functional management (POFM) is an evidence-based practice that reduces postoperative complications such as aspiration pneumonia, surgical site infections, and mucositis in patients undergoing major surgery, radiotherapy, or chemotherapy (5–11).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343EFA7A" w14:textId="77777777" w:rsidR="0055388C" w:rsidRDefault="00000000">
      <w:pPr>
        <w:pStyle w:val="a0"/>
      </w:pPr>
      <w:r>
        <w:t>In practice, however, POFM delivery may depend not only on the number of eligible surgical patients but also on whether local health systems have the dental workforce, hospital dental departments, referral pathways, and multidisciplinary routines needed to deliver the service (13–16). This distinction is important because universal coverage creates formal eligibility, but implementation capacity determines whether evidence-based care actually reaches patients.</w:t>
      </w:r>
    </w:p>
    <w:p w14:paraId="6F1BFA3A"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1F5B7018" w14:textId="77777777" w:rsidR="0055388C" w:rsidRDefault="00000000">
      <w:r>
        <w:pict w14:anchorId="4AFE9EDC">
          <v:rect id="_x0000_i1026" style="width:0;height:1.5pt" o:hralign="center" o:hrstd="t" o:hr="t"/>
        </w:pict>
      </w:r>
    </w:p>
    <w:p w14:paraId="11E80749" w14:textId="77777777" w:rsidR="0055388C" w:rsidRDefault="00000000">
      <w:pPr>
        <w:pStyle w:val="1"/>
      </w:pPr>
      <w:bookmarkStart w:id="2" w:name="methods"/>
      <w:bookmarkEnd w:id="1"/>
      <w:r>
        <w:lastRenderedPageBreak/>
        <w:t>2. Methods</w:t>
      </w:r>
    </w:p>
    <w:p w14:paraId="0D6C48B3" w14:textId="77777777" w:rsidR="0055388C" w:rsidRDefault="00000000">
      <w:pPr>
        <w:pStyle w:val="2"/>
      </w:pPr>
      <w:bookmarkStart w:id="3" w:name="study-design-and-setting"/>
      <w:r>
        <w:t>2.1 Study Design and Setting</w:t>
      </w:r>
    </w:p>
    <w:p w14:paraId="0E2DB1F4"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0A109697" w14:textId="77777777" w:rsidR="0055388C" w:rsidRDefault="00000000">
      <w:pPr>
        <w:pStyle w:val="2"/>
      </w:pPr>
      <w:bookmarkStart w:id="4" w:name="data-sources"/>
      <w:bookmarkEnd w:id="3"/>
      <w:r>
        <w:t>2.2 Data Sources</w:t>
      </w:r>
    </w:p>
    <w:p w14:paraId="396DD421" w14:textId="77777777" w:rsidR="0055388C" w:rsidRDefault="00000000">
      <w:pPr>
        <w:pStyle w:val="3"/>
      </w:pPr>
      <w:bookmarkStart w:id="5" w:name="primary-outcome-pofm-density"/>
      <w:r>
        <w:t>2.2.1 Primary Outcome: POFM Density</w:t>
      </w:r>
    </w:p>
    <w:p w14:paraId="456FD572" w14:textId="77777777" w:rsidR="0055388C" w:rsidRDefault="00000000">
      <w:pPr>
        <w:pStyle w:val="FirstParagraph"/>
      </w:pPr>
      <w:r>
        <w:t>The primary outcome was perioperative oral management density (POFM density), defined as:</w:t>
      </w:r>
    </w:p>
    <w:p w14:paraId="6E5C5FF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68DB4420" w14:textId="77777777" w:rsidR="0055388C" w:rsidRDefault="00000000">
      <w:pPr>
        <w:pStyle w:val="FirstParagraph"/>
      </w:pPr>
      <w:r>
        <w:t xml:space="preserve">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w:t>
      </w:r>
      <w:proofErr w:type="spellStart"/>
      <w:r>
        <w:t>utilisation</w:t>
      </w:r>
      <w:proofErr w:type="spellEnd"/>
      <w:r>
        <w:t xml:space="preserve"> intensity across all POFM-eligible patients (including cancer surgery, chemotherapy, and radiation therapy patients) in each prefecture.</w:t>
      </w:r>
    </w:p>
    <w:p w14:paraId="3ED169F3" w14:textId="77777777" w:rsidR="0055388C" w:rsidRDefault="00000000">
      <w:pPr>
        <w:pStyle w:val="3"/>
      </w:pPr>
      <w:bookmarkStart w:id="6" w:name="X0eb28d1810381ce2e68c9ee95092723629f42a8"/>
      <w:bookmarkEnd w:id="5"/>
      <w:r>
        <w:t>2.2.2 Exposure Variable: Major Cancer Surgery Density</w:t>
      </w:r>
    </w:p>
    <w:p w14:paraId="02DA5F74" w14:textId="77777777" w:rsidR="0055388C" w:rsidRDefault="00000000">
      <w:pPr>
        <w:pStyle w:val="FirstParagraph"/>
      </w:pPr>
      <w:r>
        <w:t>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(5,7–11). Because POFM eligibility also extends to chemotherapy and radiotherapy patients, cancer surgery density should be regarded as a pragmatic demand-side proxy rather than a comprehensive measure of total POFM-eligible need.</w:t>
      </w:r>
    </w:p>
    <w:p w14:paraId="0E8CA642" w14:textId="77777777" w:rsidR="0055388C" w:rsidRDefault="00000000">
      <w:pPr>
        <w:pStyle w:val="3"/>
      </w:pPr>
      <w:bookmarkStart w:id="7" w:name="covariates"/>
      <w:bookmarkEnd w:id="6"/>
      <w:r>
        <w:t>2.2.3 Covariates</w:t>
      </w:r>
    </w:p>
    <w:p w14:paraId="44D2DF89"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68D66608"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041523E4" w14:textId="77777777" w:rsidR="0055388C" w:rsidRPr="00B61F97" w:rsidRDefault="00000000">
      <w:pPr>
        <w:pStyle w:val="Compact"/>
        <w:numPr>
          <w:ilvl w:val="0"/>
          <w:numId w:val="2"/>
        </w:numPr>
      </w:pPr>
      <w:r w:rsidRPr="00B61F97">
        <w:t>Population density: Persons per km², from the same prefectural statistics</w:t>
      </w:r>
    </w:p>
    <w:p w14:paraId="3A0E9348"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5C350680" w14:textId="77777777" w:rsidR="0055388C" w:rsidRPr="00B61F97" w:rsidRDefault="00000000">
      <w:pPr>
        <w:pStyle w:val="Compact"/>
        <w:numPr>
          <w:ilvl w:val="0"/>
          <w:numId w:val="2"/>
        </w:numPr>
      </w:pPr>
      <w:r w:rsidRPr="00B61F97">
        <w:t xml:space="preserve">Dentists per 100,000 population (sensitivity analysis only): Calendar year 2022, derived from the Survey of Physicians, Dentists and Pharmacists (Ministry of Health, </w:t>
      </w:r>
      <w:proofErr w:type="spellStart"/>
      <w:r w:rsidRPr="00B61F97">
        <w:t>Labour</w:t>
      </w:r>
      <w:proofErr w:type="spellEnd"/>
      <w:r w:rsidRPr="00B61F97">
        <w:t xml:space="preserve"> and Welfare) [19], capturing the density of dentists working in medical facilities (hospitals and clinics)</w:t>
      </w:r>
    </w:p>
    <w:p w14:paraId="79473211" w14:textId="77777777" w:rsidR="0055388C" w:rsidRDefault="00000000">
      <w:pPr>
        <w:pStyle w:val="2"/>
      </w:pPr>
      <w:bookmarkStart w:id="8" w:name="statistical-analysis"/>
      <w:bookmarkEnd w:id="4"/>
      <w:bookmarkEnd w:id="7"/>
      <w:r>
        <w:t>2.3 Statistical Analysis</w:t>
      </w:r>
    </w:p>
    <w:p w14:paraId="3B58A0A6" w14:textId="77777777" w:rsidR="0055388C" w:rsidRDefault="00000000">
      <w:pPr>
        <w:pStyle w:val="3"/>
      </w:pPr>
      <w:bookmarkStart w:id="9" w:name="primary-analysis"/>
      <w:r>
        <w:t>2.3.1 Primary Analysis</w:t>
      </w:r>
    </w:p>
    <w:p w14:paraId="5217DE7D"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78BF479C"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5D2B2295" w14:textId="77777777" w:rsidR="0055388C" w:rsidRDefault="00000000">
      <w:pPr>
        <w:pStyle w:val="3"/>
      </w:pPr>
      <w:bookmarkStart w:id="10" w:name="sensitivity-analysis"/>
      <w:bookmarkEnd w:id="9"/>
      <w:r>
        <w:t>2.3.2 Sensitivity Analysis</w:t>
      </w:r>
    </w:p>
    <w:p w14:paraId="5ADA9228"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0E25F52E" w14:textId="77777777" w:rsidR="0055388C" w:rsidRDefault="00000000">
      <w:pPr>
        <w:pStyle w:val="3"/>
      </w:pPr>
      <w:bookmarkStart w:id="11" w:name="spatial-analysis"/>
      <w:bookmarkEnd w:id="10"/>
      <w:r>
        <w:t>2.3.3 Spatial Analysis</w:t>
      </w:r>
    </w:p>
    <w:p w14:paraId="613BA7B9" w14:textId="77777777" w:rsidR="0055388C" w:rsidRDefault="00000000">
      <w:pPr>
        <w:pStyle w:val="FirstParagraph"/>
      </w:pPr>
      <w:r>
        <w:t xml:space="preserve">Global Moran’s I tested spatial autocorrelation in POFM density. Lagrange Multiplier tests guided spatial model selection. A Spatial Lag Model (SLM) was selected when </w:t>
      </w:r>
      <w:r>
        <w:lastRenderedPageBreak/>
        <w:t>spatial lag dependence was supported [21,22]. Local Moran’s I (LISA) identified High-High and Low-Low clusters [20].</w:t>
      </w:r>
    </w:p>
    <w:p w14:paraId="489E3F05"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[20].</w:t>
      </w:r>
    </w:p>
    <w:p w14:paraId="79E48259" w14:textId="77777777" w:rsidR="0055388C" w:rsidRDefault="00000000">
      <w:pPr>
        <w:pStyle w:val="3"/>
      </w:pPr>
      <w:bookmarkStart w:id="12" w:name="post-hoc-statistical-power"/>
      <w:bookmarkEnd w:id="11"/>
      <w:r>
        <w:t>2.3.4 Post-hoc Statistical Power</w:t>
      </w:r>
    </w:p>
    <w:p w14:paraId="4E6980E0"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4081E49F" w14:textId="77777777" w:rsidR="0055388C" w:rsidRDefault="00000000">
      <w:pPr>
        <w:pStyle w:val="a0"/>
      </w:pPr>
      <w:r>
        <w:t xml:space="preserve">All analyses were performed in Python 3.x using pandas, </w:t>
      </w:r>
      <w:proofErr w:type="spellStart"/>
      <w:r>
        <w:t>statsmodels</w:t>
      </w:r>
      <w:proofErr w:type="spellEnd"/>
      <w:r>
        <w:t xml:space="preserve">, </w:t>
      </w:r>
      <w:proofErr w:type="spellStart"/>
      <w:r>
        <w:t>geopandas</w:t>
      </w:r>
      <w:proofErr w:type="spellEnd"/>
      <w:r>
        <w:t xml:space="preserve">, </w:t>
      </w:r>
      <w:proofErr w:type="spellStart"/>
      <w:r>
        <w:t>libpysal</w:t>
      </w:r>
      <w:proofErr w:type="spellEnd"/>
      <w:r>
        <w:t xml:space="preserve">, </w:t>
      </w:r>
      <w:proofErr w:type="spellStart"/>
      <w:r>
        <w:t>esda</w:t>
      </w:r>
      <w:proofErr w:type="spellEnd"/>
      <w:r>
        <w:t xml:space="preserve">, and </w:t>
      </w:r>
      <w:proofErr w:type="spellStart"/>
      <w:r>
        <w:t>spreg</w:t>
      </w:r>
      <w:proofErr w:type="spellEnd"/>
      <w:r>
        <w:t>.</w:t>
      </w:r>
    </w:p>
    <w:p w14:paraId="522C7A08" w14:textId="77777777" w:rsidR="0055388C" w:rsidRDefault="00000000">
      <w:r>
        <w:pict w14:anchorId="25214A6C">
          <v:rect id="_x0000_i1027" style="width:0;height:1.5pt" o:hralign="center" o:hrstd="t" o:hr="t"/>
        </w:pict>
      </w:r>
    </w:p>
    <w:p w14:paraId="0F526FAF" w14:textId="77777777" w:rsidR="0055388C" w:rsidRDefault="00000000">
      <w:pPr>
        <w:pStyle w:val="1"/>
      </w:pPr>
      <w:bookmarkStart w:id="13" w:name="results"/>
      <w:bookmarkEnd w:id="2"/>
      <w:bookmarkEnd w:id="8"/>
      <w:bookmarkEnd w:id="12"/>
      <w:r>
        <w:t>3. Results</w:t>
      </w:r>
    </w:p>
    <w:p w14:paraId="689339D4" w14:textId="77777777" w:rsidR="0055388C" w:rsidRDefault="00000000">
      <w:pPr>
        <w:pStyle w:val="2"/>
      </w:pPr>
      <w:bookmarkStart w:id="14" w:name="descriptive-statistics"/>
      <w:r>
        <w:t>3.1 Descriptive Statistics</w:t>
      </w:r>
    </w:p>
    <w:p w14:paraId="731E6F20"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719A1B27" w14:textId="77777777" w:rsidR="0055388C" w:rsidRDefault="00000000">
      <w:pPr>
        <w:pStyle w:val="a0"/>
      </w:pPr>
      <w:r>
        <w:rPr>
          <w:i/>
          <w:iCs/>
        </w:rPr>
        <w:t>(See Table 1)</w:t>
      </w:r>
    </w:p>
    <w:p w14:paraId="4010A32D" w14:textId="77777777" w:rsidR="0055388C" w:rsidRDefault="00000000">
      <w:pPr>
        <w:pStyle w:val="2"/>
      </w:pPr>
      <w:bookmarkStart w:id="15" w:name="Xaea9b64a92838ee461e6d923ac0ce37f9f5fbd4"/>
      <w:bookmarkEnd w:id="14"/>
      <w:r>
        <w:t>3.2 Spatial Distribution of POFM and Cancer Surgery Density</w:t>
      </w:r>
    </w:p>
    <w:p w14:paraId="5950C080" w14:textId="77777777" w:rsidR="0055388C" w:rsidRDefault="00000000">
      <w:pPr>
        <w:pStyle w:val="FirstParagraph"/>
      </w:pPr>
      <w:r>
        <w:t>The POFM density map (Figure 3) showed clustering, with higher densities in Tokai and western Japan and lower densities in Hokkaido and parts of Tohoku. The cancer surgery density map (Supplementary Figure S1) showed a different pattern, with the highest surgical volumes in urban prefectures such as Tokyo, Osaka, and Aichi.</w:t>
      </w:r>
    </w:p>
    <w:p w14:paraId="09F5CF76" w14:textId="77777777" w:rsidR="0055388C" w:rsidRDefault="00000000">
      <w:pPr>
        <w:pStyle w:val="a0"/>
      </w:pPr>
      <w:r>
        <w:t>(See Figure 3 and Appendix Figure A6)</w:t>
      </w:r>
    </w:p>
    <w:p w14:paraId="362496FE" w14:textId="77777777" w:rsidR="0055388C" w:rsidRDefault="00000000">
      <w:pPr>
        <w:pStyle w:val="2"/>
      </w:pPr>
      <w:bookmarkStart w:id="16" w:name="Xda1057937d0ed8cc33f4b376fb12b3e67d47e70"/>
      <w:bookmarkEnd w:id="15"/>
      <w:r>
        <w:lastRenderedPageBreak/>
        <w:t>3.3 Association Between Cancer Surgery Density and POFM Density</w:t>
      </w:r>
    </w:p>
    <w:p w14:paraId="34C15FCC" w14:textId="77777777" w:rsidR="0055388C" w:rsidRDefault="00000000">
      <w:pPr>
        <w:pStyle w:val="FirstParagraph"/>
      </w:pPr>
      <w:r>
        <w:t>The scatter plot (Figure 4) shows no clear linear association between cancer surgery density and POFM density across prefectures.</w:t>
      </w:r>
    </w:p>
    <w:p w14:paraId="7984E08F" w14:textId="77777777" w:rsidR="0055388C" w:rsidRDefault="00000000">
      <w:pPr>
        <w:pStyle w:val="a0"/>
      </w:pPr>
      <w:r>
        <w:t>(See Appendix Figure A4)</w:t>
      </w:r>
    </w:p>
    <w:p w14:paraId="79A7CAC7" w14:textId="77777777" w:rsidR="0055388C" w:rsidRDefault="00000000">
      <w:pPr>
        <w:pStyle w:val="a0"/>
      </w:pPr>
      <w:r>
        <w:rPr>
          <w:i/>
          <w:iCs/>
        </w:rPr>
        <w:t>(See Table 2)</w:t>
      </w:r>
    </w:p>
    <w:p w14:paraId="351B25CF"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6D86573B" w14:textId="77777777" w:rsidR="0055388C" w:rsidRDefault="00000000">
      <w:pPr>
        <w:pStyle w:val="2"/>
      </w:pPr>
      <w:bookmarkStart w:id="17" w:name="sensitivity-analysis-1"/>
      <w:bookmarkEnd w:id="16"/>
      <w:r>
        <w:t>3.4 Sensitivity Analysis</w:t>
      </w:r>
    </w:p>
    <w:p w14:paraId="55CD54E3" w14:textId="77777777" w:rsidR="0055388C" w:rsidRDefault="00000000">
      <w:pPr>
        <w:pStyle w:val="FirstParagraph"/>
      </w:pPr>
      <w:r>
        <w:t xml:space="preserve">The forest plot (Figure 5) </w:t>
      </w:r>
      <w:proofErr w:type="spellStart"/>
      <w:r>
        <w:t>summarises</w:t>
      </w:r>
      <w:proofErr w:type="spellEnd"/>
      <w:r>
        <w:t xml:space="preserve">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p>
    <w:p w14:paraId="413E7C61" w14:textId="77777777" w:rsidR="0055388C" w:rsidRDefault="00000000">
      <w:pPr>
        <w:pStyle w:val="a0"/>
      </w:pPr>
      <w:r>
        <w:t>(See Appendix Figure A5)</w:t>
      </w:r>
    </w:p>
    <w:p w14:paraId="15366F01" w14:textId="77777777" w:rsidR="0055388C" w:rsidRDefault="00000000">
      <w:pPr>
        <w:pStyle w:val="2"/>
      </w:pPr>
      <w:bookmarkStart w:id="18" w:name="Xf17e011490ba64478f50f7aa3a5783be3d55067"/>
      <w:bookmarkEnd w:id="17"/>
      <w:r>
        <w:t>3.5 Spatial Autocorrelation and Spatial Regression</w:t>
      </w:r>
    </w:p>
    <w:p w14:paraId="644D4411" w14:textId="77777777" w:rsidR="0055388C" w:rsidRDefault="00000000">
      <w:pPr>
        <w:pStyle w:val="FirstParagraph"/>
      </w:pPr>
      <w:r>
        <w:t xml:space="preserve">Global Moran’s I for POFM density was I = 0.210 (p = 0.024), indicating positive spatial autocorrelation. Two prefectures lacked Queen contiguity </w:t>
      </w:r>
      <w:proofErr w:type="spellStart"/>
      <w:r>
        <w:t>neighbours</w:t>
      </w:r>
      <w:proofErr w:type="spellEnd"/>
      <w:r>
        <w:t xml:space="preserve"> and were assigned median </w:t>
      </w:r>
      <w:proofErr w:type="spellStart"/>
      <w:r>
        <w:t>neighbourhood</w:t>
      </w:r>
      <w:proofErr w:type="spellEnd"/>
      <w:r>
        <w:t xml:space="preserve"> weights.</w:t>
      </w:r>
    </w:p>
    <w:p w14:paraId="03391DB1"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4134B6CA" w14:textId="77777777" w:rsidR="0055388C" w:rsidRDefault="00000000">
      <w:pPr>
        <w:pStyle w:val="a0"/>
      </w:pPr>
      <w:r>
        <w:t>The SLM produced a significant spatial autoregressive coefficient (ρ = 0.354, z = 3.14, p = 0.002). Cancer surgery density remained non-significant (β = 114.2, z = 0.79, p = 0.431). Model fit improved relative to OLS (pseudo-R² = 0.350; AIC 1081.1 vs. 1087.1; Supplementary Table S1).</w:t>
      </w:r>
    </w:p>
    <w:p w14:paraId="1E5532A9" w14:textId="77777777" w:rsidR="0055388C" w:rsidRDefault="00000000">
      <w:pPr>
        <w:pStyle w:val="a0"/>
      </w:pPr>
      <w:r>
        <w:t>Selected spatial lag model coefficients are provided in Supplementary Table S1.</w:t>
      </w:r>
    </w:p>
    <w:p w14:paraId="45854E9E" w14:textId="77777777" w:rsidR="0055388C" w:rsidRDefault="00000000">
      <w:pPr>
        <w:pStyle w:val="a0"/>
      </w:pPr>
      <w:r>
        <w:t>LISA identified three High-High clusters in western Japan (Hyogo, Okayama, Saga) and three Low-Low clusters (Hokkaido, Iwate, Okinawa; Figure 6). No High-Low or significant Low-High clusters were detected.</w:t>
      </w:r>
    </w:p>
    <w:p w14:paraId="2625D958" w14:textId="77777777" w:rsidR="0055388C" w:rsidRDefault="00000000">
      <w:pPr>
        <w:pStyle w:val="a0"/>
      </w:pPr>
      <w:r>
        <w:lastRenderedPageBreak/>
        <w:t>(See Figure 6)</w:t>
      </w:r>
    </w:p>
    <w:p w14:paraId="150FC58F" w14:textId="77777777" w:rsidR="0055388C" w:rsidRDefault="00000000">
      <w:r>
        <w:pict w14:anchorId="0930C550">
          <v:rect id="_x0000_i1028" style="width:0;height:1.5pt" o:hralign="center" o:hrstd="t" o:hr="t"/>
        </w:pict>
      </w:r>
    </w:p>
    <w:p w14:paraId="191AC875" w14:textId="77777777" w:rsidR="0055388C" w:rsidRDefault="00000000">
      <w:pPr>
        <w:pStyle w:val="1"/>
      </w:pPr>
      <w:bookmarkStart w:id="19" w:name="discussion"/>
      <w:bookmarkEnd w:id="13"/>
      <w:bookmarkEnd w:id="18"/>
      <w:r>
        <w:t>4. Discussion</w:t>
      </w:r>
    </w:p>
    <w:p w14:paraId="3388EB40" w14:textId="77777777" w:rsidR="0055388C" w:rsidRDefault="00000000">
      <w:pPr>
        <w:pStyle w:val="2"/>
      </w:pPr>
      <w:bookmarkStart w:id="20" w:name="summary-of-findings"/>
      <w:r>
        <w:t>4.1 Summary of Findings</w:t>
      </w:r>
    </w:p>
    <w:p w14:paraId="26B5B950"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492FB58" w14:textId="77777777" w:rsidR="0055388C" w:rsidRDefault="00000000">
      <w:pPr>
        <w:pStyle w:val="2"/>
      </w:pPr>
      <w:bookmarkStart w:id="21" w:name="X0e0375f1f85cf4a79257867a1fdb80c684492f3"/>
      <w:bookmarkEnd w:id="20"/>
      <w:r>
        <w:t>4.2 Healthcare Reimbursement Does Not Equal Healthcare Implementation</w:t>
      </w:r>
    </w:p>
    <w:p w14:paraId="35C12B2C" w14:textId="77777777" w:rsidR="0055388C" w:rsidRDefault="00000000">
      <w:pPr>
        <w:pStyle w:val="FirstParagraph"/>
      </w:pPr>
      <w:r>
        <w:t>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(1-4). POFM may therefore serve as a signal of whether regional systems can implement an evidence-based perioperative service.</w:t>
      </w:r>
    </w:p>
    <w:p w14:paraId="4EA20668"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38DCB24D" w14:textId="77777777" w:rsidR="0055388C" w:rsidRDefault="00000000">
      <w:pPr>
        <w:pStyle w:val="a0"/>
      </w:pPr>
      <w:r>
        <w:t>Even so, the observed pattern is difficult to explain by need alone. Supply-side capacity, including hospital dental departments, trained POFM providers, referral pathways, and multidisciplinary perioperative routines, may strongly influence local uptake (13-15).</w:t>
      </w:r>
    </w:p>
    <w:p w14:paraId="05B10ABE" w14:textId="77777777" w:rsidR="0055388C" w:rsidRDefault="00000000">
      <w:pPr>
        <w:pStyle w:val="a0"/>
      </w:pPr>
      <w:r>
        <w:t xml:space="preserve">Historical implementation momentum may also matter. Early-adopting prefectures or university hospitals may have maintained higher </w:t>
      </w:r>
      <w:proofErr w:type="spellStart"/>
      <w:r>
        <w:t>utilisation</w:t>
      </w:r>
      <w:proofErr w:type="spellEnd"/>
      <w:r>
        <w:t xml:space="preserve"> through accumulated expertise and referral routines, consistent with diffusion of healthcare innovations [24,25].</w:t>
      </w:r>
    </w:p>
    <w:p w14:paraId="73F5DB89" w14:textId="77777777" w:rsidR="0055388C" w:rsidRDefault="00000000">
      <w:pPr>
        <w:pStyle w:val="2"/>
      </w:pPr>
      <w:bookmarkStart w:id="22" w:name="spatial-regression-and-lisa-clustering"/>
      <w:bookmarkEnd w:id="21"/>
      <w:r>
        <w:t>4.3 Spatial Diffusion of Supply-Driven Implementation</w:t>
      </w:r>
    </w:p>
    <w:p w14:paraId="39F3FFAB" w14:textId="77777777" w:rsidR="0055388C" w:rsidRDefault="00000000">
      <w:pPr>
        <w:pStyle w:val="FirstParagraph"/>
      </w:pPr>
      <w:r>
        <w:t xml:space="preserve">The significant spatial autoregressive coefficient (ρ = 0.354, p = 0.002) indicates that POFM uptake was spatially patterned. This is compatible with regional diffusion </w:t>
      </w:r>
      <w:r>
        <w:lastRenderedPageBreak/>
        <w:t>through professional networks, dental school outreach, and shared hospital dentistry staff pools, although these mechanisms were not directly measured [14,16,25,26].</w:t>
      </w:r>
    </w:p>
    <w:p w14:paraId="60A42859" w14:textId="77777777" w:rsidR="0055388C" w:rsidRDefault="00000000">
      <w:pPr>
        <w:pStyle w:val="a0"/>
      </w:pPr>
      <w:r>
        <w:t xml:space="preserve">The SLM fit better than OLS (ΔAIC = -6.0; pseudo-R² = 0.350 vs. OLS R² = 0.197), supporting the importance of spatial dependence in prefecture-level </w:t>
      </w:r>
      <w:proofErr w:type="spellStart"/>
      <w:r>
        <w:t>utilisation</w:t>
      </w:r>
      <w:proofErr w:type="spellEnd"/>
      <w:r>
        <w:t xml:space="preserve"> analyses [22]. Cancer surgery density remained non-significant in the SLM, again indicating that this demand proxy alone did not explain POFM provision.</w:t>
      </w:r>
    </w:p>
    <w:p w14:paraId="14ACC762" w14:textId="77777777" w:rsidR="0055388C" w:rsidRDefault="00000000">
      <w:pPr>
        <w:pStyle w:val="a0"/>
      </w:pPr>
      <w:r>
        <w:t xml:space="preserve">LISA </w:t>
      </w:r>
      <w:proofErr w:type="spellStart"/>
      <w:r>
        <w:t>localised</w:t>
      </w:r>
      <w:proofErr w:type="spellEnd"/>
      <w:r>
        <w:t xml:space="preserve"> the spatial signal to HH clusters in Hyogo, Okayama, and Saga, and LL clusters in Hokkaido, Iwate, and Okinawa (Figure 6). These patterns are compatible with established medical-dental collaboration in some western regions and more constrained healthcare access in peripheral areas (16,25,27-29).</w:t>
      </w:r>
    </w:p>
    <w:p w14:paraId="4369C767" w14:textId="77777777" w:rsidR="0055388C" w:rsidRDefault="00000000">
      <w:pPr>
        <w:pStyle w:val="2"/>
      </w:pPr>
      <w:bookmarkStart w:id="23" w:name="X27902cb60bc071ff410ed64cb6a261fb90dbf71"/>
      <w:bookmarkEnd w:id="22"/>
      <w:r>
        <w:t>4.4 Supply-Side Determinants of Need-Based POFM Delivery</w:t>
      </w:r>
    </w:p>
    <w:p w14:paraId="4C139B3A" w14:textId="77777777" w:rsidR="0055388C" w:rsidRDefault="00000000">
      <w:pPr>
        <w:pStyle w:val="FirstParagraph"/>
      </w:pPr>
      <w:r>
        <w:t>The findings point to supply-side capacity as a plausible driver of POFM provision (Figure 1). Three mechanisms are relevant.</w:t>
      </w:r>
    </w:p>
    <w:p w14:paraId="2736CD9F" w14:textId="77777777" w:rsidR="0055388C" w:rsidRDefault="00000000">
      <w:pPr>
        <w:pStyle w:val="a0"/>
      </w:pPr>
      <w:r>
        <w:t>First, dental workforce capacity is central. Dentist density showed the strongest bivariate association with POFM density (r = 0.617, p &lt; 0.0001; Figure 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(13-16,30-33).</w:t>
      </w:r>
    </w:p>
    <w:p w14:paraId="7C7B2686" w14:textId="77777777" w:rsidR="0055388C" w:rsidRDefault="00000000">
      <w:pPr>
        <w:pStyle w:val="a0"/>
      </w:pPr>
      <w:r>
        <w:rPr>
          <w:i/>
          <w:iCs/>
        </w:rPr>
        <w:t>(See Appendix Figure A2)</w:t>
      </w:r>
    </w:p>
    <w:p w14:paraId="1B81D3C0" w14:textId="77777777" w:rsidR="0055388C" w:rsidRDefault="00000000">
      <w:pPr>
        <w:pStyle w:val="a0"/>
      </w:pPr>
      <w:r>
        <w:t xml:space="preserve">Second, multidisciplinary infrastructure, including oral medicine specialists, dental representation in cancer care, and </w:t>
      </w:r>
      <w:proofErr w:type="spellStart"/>
      <w:r>
        <w:t>standardised</w:t>
      </w:r>
      <w:proofErr w:type="spellEnd"/>
      <w:r>
        <w:t xml:space="preserve"> referral protocols, can facilitate POFM implementation even where surgical caseload is not high [16,28].</w:t>
      </w:r>
    </w:p>
    <w:p w14:paraId="5EA523F8" w14:textId="77777777" w:rsidR="0055388C" w:rsidRDefault="00000000">
      <w:pPr>
        <w:pStyle w:val="a0"/>
      </w:pPr>
      <w:r>
        <w:t>Third, implementation lags may follow fee-schedule revisions. Expanded reimbursement requires institutional registration, credentialled personnel, and functioning referral routes; these requirements may diffuse unevenly across regions [12,24,34].</w:t>
      </w:r>
    </w:p>
    <w:p w14:paraId="0061DC48" w14:textId="77777777" w:rsidR="0055388C" w:rsidRDefault="00000000">
      <w:pPr>
        <w:pStyle w:val="2"/>
      </w:pPr>
      <w:bookmarkStart w:id="24" w:name="comparison-with-prior-studies"/>
      <w:bookmarkEnd w:id="23"/>
      <w:r>
        <w:t xml:space="preserve">4.5 Comparison </w:t>
      </w:r>
      <w:proofErr w:type="gramStart"/>
      <w:r>
        <w:t>With</w:t>
      </w:r>
      <w:proofErr w:type="gramEnd"/>
      <w:r>
        <w:t xml:space="preserve"> Prior Studies and Health Policy Implications</w:t>
      </w:r>
    </w:p>
    <w:p w14:paraId="454C5AF2" w14:textId="77777777" w:rsidR="0055388C" w:rsidRDefault="00000000">
      <w:pPr>
        <w:pStyle w:val="FirstParagraph"/>
      </w:pPr>
      <w:r>
        <w:t>Prior Japanese studies have examined POFM mainly at the hospital or patient level and documented postoperative benefits (5,7-10). This study adds a macro-level health services perspective: even nationally reimbursed evidence-based care may remain supply-sensitive. POFM may therefore function as a case study of supply-driven implementation within universal health insurance.</w:t>
      </w:r>
    </w:p>
    <w:p w14:paraId="1D49D6E0" w14:textId="77777777" w:rsidR="0055388C" w:rsidRDefault="00000000">
      <w:pPr>
        <w:pStyle w:val="FirstParagraph"/>
      </w:pPr>
      <w:r>
        <w:lastRenderedPageBreak/>
        <w:t>The implications may extend beyond perioperative oral care. Other multidisciplinary services requiring cross-professional coordination may similarly depend on local implementation capacity rather than clinical need alone.</w:t>
      </w:r>
    </w:p>
    <w:p w14:paraId="34C512E3" w14:textId="77777777" w:rsidR="0055388C" w:rsidRDefault="00000000">
      <w:pPr>
        <w:pStyle w:val="2"/>
      </w:pPr>
      <w:bookmarkStart w:id="25" w:name="strengths-and-limitations"/>
      <w:bookmarkEnd w:id="24"/>
      <w:r>
        <w:t>4.6 Strengths and Limitations</w:t>
      </w:r>
    </w:p>
    <w:p w14:paraId="07725B32"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492140A4" w14:textId="77777777" w:rsidR="0055388C" w:rsidRPr="00B61F97" w:rsidRDefault="00000000">
      <w:pPr>
        <w:pStyle w:val="a0"/>
      </w:pPr>
      <w:r w:rsidRPr="00B61F97">
        <w:t xml:space="preserve">Limitations: First, ecological analyses cannot support individual-level inference [35,36]. Second, POFM claim density captures </w:t>
      </w:r>
      <w:proofErr w:type="spellStart"/>
      <w:r w:rsidRPr="00B61F97">
        <w:t>utilisation</w:t>
      </w:r>
      <w:proofErr w:type="spellEnd"/>
      <w:r w:rsidRPr="00B61F97">
        <w:t xml:space="preserve">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w:t>
      </w:r>
      <w:proofErr w:type="spellStart"/>
      <w:r w:rsidRPr="00B61F97">
        <w:t>neighbourhood</w:t>
      </w:r>
      <w:proofErr w:type="spellEnd"/>
      <w:r w:rsidRPr="00B61F97">
        <w:t xml:space="preserve"> weights for two island prefectures may marginally influence spatial estimates.</w:t>
      </w:r>
    </w:p>
    <w:p w14:paraId="1BB9A541" w14:textId="77777777" w:rsidR="0055388C" w:rsidRDefault="00000000">
      <w:pPr>
        <w:pStyle w:val="2"/>
      </w:pPr>
      <w:bookmarkStart w:id="26" w:name="policy-implications"/>
      <w:bookmarkEnd w:id="25"/>
      <w:r>
        <w:t>4.7 Policy Implications: Coverage Alone Does Not Ensure Equitable Implementation</w:t>
      </w:r>
    </w:p>
    <w:p w14:paraId="3C0561A4" w14:textId="77777777" w:rsidR="0055388C" w:rsidRDefault="00000000">
      <w:pPr>
        <w:pStyle w:val="FirstParagraph"/>
      </w:pPr>
      <w:r>
        <w:t>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implementation capacity remains heterogeneous. Monitoring claims-based regional variation can identify evidence-based services that are formally covered but not yet delivered in a need-aligned manner.</w:t>
      </w:r>
    </w:p>
    <w:p w14:paraId="357F9ECE" w14:textId="77777777"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(5–11), reimbursement may increasingly be adopted internationally. However, this study suggests that coverage alone may be insufficient: parallel investment in dental workforce development, hospital-dental integration, referral pathway infrastructure, and multidisciplinary care </w:t>
      </w:r>
      <w:r>
        <w:lastRenderedPageBreak/>
        <w:t>routines may be equally necessary to translate formal eligibility into equitable access to evidence-based perioperative care.</w:t>
      </w:r>
    </w:p>
    <w:p w14:paraId="7BFC1096" w14:textId="77777777" w:rsidR="0055388C" w:rsidRDefault="00000000">
      <w:pPr>
        <w:pStyle w:val="2"/>
      </w:pPr>
      <w:bookmarkStart w:id="27" w:name="conclusions"/>
      <w:bookmarkEnd w:id="26"/>
      <w:r>
        <w:t>4.8 Conclusions</w:t>
      </w:r>
    </w:p>
    <w:p w14:paraId="10153CD6"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19CB986A" w14:textId="77777777" w:rsidR="0055388C" w:rsidRDefault="00000000">
      <w:r>
        <w:pict w14:anchorId="2F0E4AC1">
          <v:rect id="_x0000_i1029" style="width:0;height:1.5pt" o:hralign="center" o:hrstd="t" o:hr="t"/>
        </w:pict>
      </w:r>
    </w:p>
    <w:p w14:paraId="32A2D69A" w14:textId="77777777" w:rsidR="0055388C" w:rsidRDefault="00000000">
      <w:pPr>
        <w:pStyle w:val="1"/>
      </w:pPr>
      <w:bookmarkStart w:id="28" w:name="acknowledgments"/>
      <w:bookmarkEnd w:id="19"/>
      <w:bookmarkEnd w:id="27"/>
      <w:r>
        <w:t>Acknowledgments</w:t>
      </w:r>
    </w:p>
    <w:p w14:paraId="2C0F9F59" w14:textId="77777777" w:rsidR="0055388C" w:rsidRDefault="00000000">
      <w:pPr>
        <w:pStyle w:val="FirstParagraph"/>
      </w:pPr>
      <w:r>
        <w:t xml:space="preserve">The authors thank the Ministry of Health, </w:t>
      </w:r>
      <w:proofErr w:type="spellStart"/>
      <w:r>
        <w:t>Labour</w:t>
      </w:r>
      <w:proofErr w:type="spellEnd"/>
      <w:r>
        <w:t xml:space="preserve"> and Welfare of Japan for providing access to the NDB Open Data. All data used are publicly available aggregate statistics.</w:t>
      </w:r>
    </w:p>
    <w:p w14:paraId="6E60E528" w14:textId="77777777" w:rsidR="0055388C" w:rsidRDefault="00000000">
      <w:pPr>
        <w:pStyle w:val="1"/>
      </w:pPr>
      <w:bookmarkStart w:id="29" w:name="conflicts-of-interest"/>
      <w:bookmarkEnd w:id="28"/>
      <w:r>
        <w:t>Conflicts of Interest</w:t>
      </w:r>
    </w:p>
    <w:p w14:paraId="164428D8" w14:textId="77777777" w:rsidR="0055388C" w:rsidRDefault="00000000">
      <w:pPr>
        <w:pStyle w:val="FirstParagraph"/>
      </w:pPr>
      <w:r>
        <w:t>The authors declare no conflicts of interest.</w:t>
      </w:r>
    </w:p>
    <w:p w14:paraId="4FDF9CF1" w14:textId="77777777" w:rsidR="0055388C" w:rsidRDefault="00000000">
      <w:pPr>
        <w:pStyle w:val="1"/>
      </w:pPr>
      <w:bookmarkStart w:id="30" w:name="data-availability"/>
      <w:bookmarkEnd w:id="29"/>
      <w:r>
        <w:t>Data Availability</w:t>
      </w:r>
    </w:p>
    <w:p w14:paraId="5094A56A" w14:textId="77777777" w:rsidR="0055388C" w:rsidRDefault="00000000">
      <w:pPr>
        <w:pStyle w:val="FirstParagraph"/>
      </w:pPr>
      <w:r>
        <w:t>The NDB Open Data used in this analysis are publicly available from the Ministry of Health, Labour and Welfare of Japan (https://www.mhlw.go.jp/stf/seisakunitsuite/bunya/0000177182.html). Analysis code is archived on Zenodo (https://doi.org/10.5281/zenodo.20756030). A public GitHub repository link will be provided upon acceptance.</w:t>
      </w:r>
    </w:p>
    <w:p w14:paraId="719AA181" w14:textId="77777777" w:rsidR="0055388C" w:rsidRDefault="00000000">
      <w:pPr>
        <w:pStyle w:val="1"/>
      </w:pPr>
      <w:bookmarkStart w:id="31" w:name="author-contributions"/>
      <w:bookmarkEnd w:id="30"/>
      <w:r>
        <w:t>[Author contributions are provided on the separate title page for double-anonymized peer review.]</w:t>
      </w:r>
    </w:p>
    <w:p w14:paraId="395A1AEA" w14:textId="51F38DE4" w:rsidR="00EA41A2" w:rsidRPr="00EA41A2" w:rsidRDefault="00EA41A2" w:rsidP="00EA41A2">
      <w:pPr>
        <w:pStyle w:val="FirstParagraph"/>
        <w:rPr>
          <w:rFonts w:asciiTheme="majorHAnsi" w:hAnsiTheme="majorHAnsi" w:cstheme="majorHAnsi"/>
        </w:rPr>
      </w:pPr>
      <w:r>
        <w:rPr>
          <w:rFonts w:asciiTheme="majorHAnsi" w:hAnsiTheme="majorHAnsi" w:cstheme="majorHAnsi" w:hint="eastAsia"/>
          <w:lang w:eastAsia="ja-JP"/>
        </w:rPr>
      </w:r>
      <w:r w:rsidRPr="00EA41A2">
        <w:rPr>
          <w:rFonts w:asciiTheme="majorHAnsi" w:hAnsiTheme="majorHAnsi" w:cstheme="majorHAnsi"/>
        </w:rPr>
      </w:r>
    </w:p>
    <w:p w14:paraId="754D80FB" w14:textId="6BED8DF3" w:rsidR="00EA41A2" w:rsidRPr="00EA41A2" w:rsidRDefault="00EA41A2" w:rsidP="00EA41A2">
      <w:pPr>
        <w:pStyle w:val="a0"/>
        <w:rPr>
          <w:rFonts w:hint="eastAsia"/>
          <w:lang w:eastAsia="ja-JP"/>
        </w:rPr>
      </w:pPr>
      <w:r>
        <w:rPr>
          <w:rFonts w:hint="eastAsia"/>
          <w:lang w:eastAsia="ja-JP"/>
        </w:rPr>
      </w:r>
      <w:r w:rsidRPr="00EA41A2"/>
    </w:p>
    <w:p w14:paraId="2BEECAC9" w14:textId="77777777" w:rsidR="00A32CEB" w:rsidRDefault="00A32CEB" w:rsidP="00A32CEB">
      <w:pPr>
        <w:pStyle w:val="1"/>
        <w:rPr>
          <w:lang w:eastAsia="ja-JP"/>
        </w:rPr>
      </w:pPr>
      <w:bookmarkStart w:id="32" w:name="funding"/>
      <w:bookmarkEnd w:id="31"/>
      <w:r>
        <w:lastRenderedPageBreak/>
        <w:t>Funding</w:t>
      </w:r>
    </w:p>
    <w:p w14:paraId="02E63D57" w14:textId="77777777" w:rsidR="00A32CEB" w:rsidRPr="00A47AEE" w:rsidRDefault="00A32CEB" w:rsidP="00A32CEB">
      <w:pPr>
        <w:rPr>
          <w:lang w:eastAsia="ja-JP"/>
        </w:rPr>
      </w:pPr>
      <w:r w:rsidRPr="00F70518">
        <w:t>None declared.</w:t>
      </w:r>
    </w:p>
    <w:p w14:paraId="55CBEE8C" w14:textId="77777777" w:rsidR="00A32CEB" w:rsidRDefault="00A32CEB" w:rsidP="00A32CEB">
      <w:pPr>
        <w:pStyle w:val="1"/>
        <w:rPr>
          <w:lang w:eastAsia="ja-JP"/>
        </w:rPr>
      </w:pPr>
      <w:r w:rsidRPr="00921003">
        <w:t>Declaration of Generative AI and AI-Assisted Technologies in the Manuscript Preparation Process</w:t>
      </w:r>
    </w:p>
    <w:p w14:paraId="33B5B70F" w14:textId="0B8B56B1" w:rsidR="0055388C" w:rsidRDefault="00A32CEB" w:rsidP="00A32CEB">
      <w:r w:rsidRPr="00921003">
        <w:rPr>
          <w:lang w:eastAsia="ja-JP"/>
        </w:rPr>
        <w:t>During the preparation and writing of this work, the authors used AI-assisted tools to support manuscript drafting and statistical analysis scripting. Cursor 3.0 (</w:t>
      </w:r>
      <w:proofErr w:type="spellStart"/>
      <w:r w:rsidRPr="00921003">
        <w:rPr>
          <w:lang w:eastAsia="ja-JP"/>
        </w:rPr>
        <w:t>Anysphere</w:t>
      </w:r>
      <w:proofErr w:type="spellEnd"/>
      <w:r w:rsidRPr="00921003">
        <w:rPr>
          <w:lang w:eastAsia="ja-JP"/>
        </w:rPr>
        <w:t xml:space="preserv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5256ACE6">
          <v:rect id="_x0000_i1051" style="width:0;height:1.5pt" o:hralign="center" o:hrstd="t" o:hr="t"/>
        </w:pict>
      </w:r>
    </w:p>
    <w:p w14:paraId="5D3C812E" w14:textId="77777777" w:rsidR="0055388C" w:rsidRDefault="00000000">
      <w:pPr>
        <w:pStyle w:val="1"/>
      </w:pPr>
      <w:bookmarkStart w:id="33" w:name="references"/>
      <w:bookmarkEnd w:id="32"/>
      <w:r>
        <w:t>References</w:t>
      </w:r>
    </w:p>
    <w:p w14:paraId="7534AD88" w14:textId="77777777" w:rsidR="0055388C" w:rsidRDefault="00000000">
      <w:pPr>
        <w:pStyle w:val="a9"/>
      </w:pPr>
      <w:r>
        <w:t xml:space="preserve">1. Wennberg JE, </w:t>
      </w:r>
      <w:proofErr w:type="spellStart"/>
      <w:r>
        <w:t>Gittelsohn</w:t>
      </w:r>
      <w:proofErr w:type="spellEnd"/>
      <w:r>
        <w:t xml:space="preserve"> A. Small area variations in health care delivery. Science. 1973;182(4117):1102-8. doi:10.1126/science.182.4117.1102.</w:t>
      </w:r>
    </w:p>
    <w:p w14:paraId="00F222DC" w14:textId="77777777" w:rsidR="0055388C" w:rsidRDefault="00000000">
      <w:pPr>
        <w:pStyle w:val="a9"/>
      </w:pPr>
      <w:r>
        <w:t xml:space="preserve">2. Wennberg JE, Fisher ES, Skinner JS. Geography and the debate over Medicare reform. Health Aff (Millwood). </w:t>
      </w:r>
      <w:proofErr w:type="gramStart"/>
      <w:r>
        <w:t>2002;Suppl</w:t>
      </w:r>
      <w:proofErr w:type="gramEnd"/>
      <w:r>
        <w:t xml:space="preserve"> Web </w:t>
      </w:r>
      <w:proofErr w:type="gramStart"/>
      <w:r>
        <w:t>Exclusives:W</w:t>
      </w:r>
      <w:proofErr w:type="gramEnd"/>
      <w:r>
        <w:t>96-114. doi:10.1377/</w:t>
      </w:r>
      <w:proofErr w:type="gramStart"/>
      <w:r>
        <w:t>hlthaff.w</w:t>
      </w:r>
      <w:proofErr w:type="gramEnd"/>
      <w:r>
        <w:t>2.96.</w:t>
      </w:r>
    </w:p>
    <w:p w14:paraId="64300D7D" w14:textId="77777777" w:rsidR="0055388C" w:rsidRDefault="00000000">
      <w:pPr>
        <w:pStyle w:val="a9"/>
      </w:pPr>
      <w:r>
        <w:t>3. Fisher ES, Wennberg DE, Stukel TA, Gottlieb DJ, Lucas FL, Pinder EL. The implications of regional variations in Medicare spending. Part 1: The content, quality, and accessibility of care. Ann Intern Med. 2003;138(4):273-87. doi:10.7326/0003-4819-138-4-200302180-00006.</w:t>
      </w:r>
    </w:p>
    <w:p w14:paraId="22825DC3" w14:textId="77777777" w:rsidR="0055388C" w:rsidRDefault="00000000">
      <w:pPr>
        <w:pStyle w:val="a9"/>
      </w:pPr>
      <w:r>
        <w:t>4. Wennberg JE. Time to tackle unwarranted variations in practice. BMJ. 2011;</w:t>
      </w:r>
      <w:proofErr w:type="gramStart"/>
      <w:r>
        <w:t>342:d</w:t>
      </w:r>
      <w:proofErr w:type="gramEnd"/>
      <w:r>
        <w:t>1513. doi:10.1136/</w:t>
      </w:r>
      <w:proofErr w:type="gramStart"/>
      <w:r>
        <w:t>bmj.d</w:t>
      </w:r>
      <w:proofErr w:type="gramEnd"/>
      <w:r>
        <w:t>1513.</w:t>
      </w:r>
    </w:p>
    <w:p w14:paraId="7E53CF9D" w14:textId="77777777" w:rsidR="0055388C" w:rsidRDefault="00000000">
      <w:pPr>
        <w:pStyle w:val="a9"/>
      </w:pPr>
      <w:bookmarkStart w:id="34" w:name="ref-Ishimaru2018"/>
      <w:bookmarkStart w:id="35" w:name="refs"/>
      <w:r>
        <w:t>5. Ishimaru M, Matsui H, Ono S, Hagiwara Y, Morita K, Yasunaga H. Preoperative oral care and effect on postoperative complications after major cancer surgery. Br J Surg. 2018;105(12):1688-96. Available from: https://pubmed.ncbi.nlm.nih.gov/30088267/</w:t>
      </w:r>
    </w:p>
    <w:p w14:paraId="7050A8B4" w14:textId="77777777" w:rsidR="0055388C" w:rsidRDefault="00000000">
      <w:pPr>
        <w:pStyle w:val="a9"/>
      </w:pPr>
      <w:bookmarkStart w:id="36" w:name="ref-CamusJansson2023"/>
      <w:bookmarkEnd w:id="34"/>
      <w:r>
        <w:lastRenderedPageBreak/>
        <w:t xml:space="preserve">6. Camus-Jansson F, Longueira-Diaz N, Salinas-Diaz B, </w:t>
      </w:r>
      <w:proofErr w:type="spellStart"/>
      <w:r>
        <w:t>Granic-Chinchon</w:t>
      </w:r>
      <w:proofErr w:type="spellEnd"/>
      <w:r>
        <w:t xml:space="preserve"> A, Cueto-Urbina W, Parra-Parra M, et al. Preoperative oral practices and incidence of postoperative complications in hospital medical-surgical procedures: A meta-analysis. Med Oral </w:t>
      </w:r>
      <w:proofErr w:type="spellStart"/>
      <w:r>
        <w:t>Patol</w:t>
      </w:r>
      <w:proofErr w:type="spellEnd"/>
      <w:r>
        <w:t xml:space="preserve"> Oral Cir Bucal. 2023;28(3</w:t>
      </w:r>
      <w:proofErr w:type="gramStart"/>
      <w:r>
        <w:t>):e</w:t>
      </w:r>
      <w:proofErr w:type="gramEnd"/>
      <w:r>
        <w:t>217-28. Available from: https://pubmed.ncbi.nlm.nih.gov/37026607/</w:t>
      </w:r>
    </w:p>
    <w:p w14:paraId="6164E62B" w14:textId="77777777" w:rsidR="0055388C" w:rsidRDefault="00000000">
      <w:pPr>
        <w:pStyle w:val="a9"/>
      </w:pPr>
      <w:bookmarkStart w:id="37" w:name="ref-Shin2019"/>
      <w:bookmarkEnd w:id="36"/>
      <w:r>
        <w:t xml:space="preserve">7. Shin JH, </w:t>
      </w:r>
      <w:proofErr w:type="spellStart"/>
      <w:r>
        <w:t>Kunisawa</w:t>
      </w:r>
      <w:proofErr w:type="spellEnd"/>
      <w:r>
        <w:t xml:space="preserve"> S, Fushimi K, </w:t>
      </w:r>
      <w:proofErr w:type="spellStart"/>
      <w:r>
        <w:t>Imanaka</w:t>
      </w:r>
      <w:proofErr w:type="spellEnd"/>
      <w:r>
        <w:t xml:space="preserve"> Y. Effects of preoperative oral management by dentists on postoperative outcomes following esophagectomy: Multilevel propensity score matching and weighting analyses using the Japanese inpatient database. Medicine (Baltimore). 2019;98(17</w:t>
      </w:r>
      <w:proofErr w:type="gramStart"/>
      <w:r>
        <w:t>):e</w:t>
      </w:r>
      <w:proofErr w:type="gramEnd"/>
      <w:r>
        <w:t>15376. Available from: https://pubmed.ncbi.nlm.nih.gov/31027127/</w:t>
      </w:r>
    </w:p>
    <w:p w14:paraId="76DEE54C" w14:textId="77777777" w:rsidR="0055388C" w:rsidRDefault="00000000">
      <w:pPr>
        <w:pStyle w:val="a9"/>
      </w:pPr>
      <w:bookmarkStart w:id="38" w:name="ref-Soutome2017"/>
      <w:bookmarkEnd w:id="37"/>
      <w:r>
        <w:t xml:space="preserve">8. </w:t>
      </w:r>
      <w:proofErr w:type="spellStart"/>
      <w:r>
        <w:t>Soutome</w:t>
      </w:r>
      <w:proofErr w:type="spellEnd"/>
      <w:r>
        <w:t xml:space="preserve"> S, </w:t>
      </w:r>
      <w:proofErr w:type="spellStart"/>
      <w:r>
        <w:t>Yanamoto</w:t>
      </w:r>
      <w:proofErr w:type="spellEnd"/>
      <w:r>
        <w:t xml:space="preserve"> S, </w:t>
      </w:r>
      <w:proofErr w:type="spellStart"/>
      <w:r>
        <w:t>Funahara</w:t>
      </w:r>
      <w:proofErr w:type="spellEnd"/>
      <w:r>
        <w:t xml:space="preserve"> M, Hasegawa T, Komori T, Yamada SI, et al. Effect of perioperative oral care on prevention of postoperative pneumonia associated with esophageal cancer surgery: A multicenter case-control study with propensity score matching analysis. Medicine (Baltimore). 2017;96(33</w:t>
      </w:r>
      <w:proofErr w:type="gramStart"/>
      <w:r>
        <w:t>):e</w:t>
      </w:r>
      <w:proofErr w:type="gramEnd"/>
      <w:r>
        <w:t>7436. Available from: https://pubmed.ncbi.nlm.nih.gov/28816937/</w:t>
      </w:r>
    </w:p>
    <w:p w14:paraId="600F811B" w14:textId="77777777" w:rsidR="0055388C" w:rsidRDefault="00000000">
      <w:pPr>
        <w:pStyle w:val="a9"/>
      </w:pPr>
      <w:bookmarkStart w:id="39" w:name="ref-Iwata2019"/>
      <w:bookmarkEnd w:id="38"/>
      <w:r>
        <w:t xml:space="preserve">9. Iwata E, Hasegawa T, Yamada SI, Kawashita Y, Yoshimatsu M, Mizutani T, et al. Effects of perioperative oral care on prevention of postoperative pneumonia after lung resection: Multicenter retrospective study with propensity </w:t>
      </w:r>
      <w:proofErr w:type="gramStart"/>
      <w:r>
        <w:t>score</w:t>
      </w:r>
      <w:proofErr w:type="gramEnd"/>
      <w:r>
        <w:t xml:space="preserve"> matching analysis. Surgery. 2019;165(5):1003-7. Available from: https://pubmed.ncbi.nlm.nih.gov/30765141/</w:t>
      </w:r>
    </w:p>
    <w:p w14:paraId="4DD8C33F" w14:textId="77777777" w:rsidR="0055388C" w:rsidRDefault="00000000">
      <w:pPr>
        <w:pStyle w:val="a9"/>
      </w:pPr>
      <w:bookmarkStart w:id="40" w:name="ref-Nobuhara2018"/>
      <w:bookmarkEnd w:id="39"/>
      <w:r>
        <w:t xml:space="preserve">10. </w:t>
      </w:r>
      <w:proofErr w:type="spellStart"/>
      <w:r>
        <w:t>Nobuhara</w:t>
      </w:r>
      <w:proofErr w:type="spellEnd"/>
      <w:r>
        <w:t xml:space="preserve"> H, </w:t>
      </w:r>
      <w:proofErr w:type="spellStart"/>
      <w:r>
        <w:t>Yanamoto</w:t>
      </w:r>
      <w:proofErr w:type="spellEnd"/>
      <w:r>
        <w:t xml:space="preserve"> S, </w:t>
      </w:r>
      <w:proofErr w:type="spellStart"/>
      <w:r>
        <w:t>Funahara</w:t>
      </w:r>
      <w:proofErr w:type="spellEnd"/>
      <w:r>
        <w:t xml:space="preserve"> M, </w:t>
      </w:r>
      <w:proofErr w:type="spellStart"/>
      <w:r>
        <w:t>Matsugu</w:t>
      </w:r>
      <w:proofErr w:type="spellEnd"/>
      <w:r>
        <w:t xml:space="preserve"> Y, Hayashida S, </w:t>
      </w:r>
      <w:proofErr w:type="spellStart"/>
      <w:r>
        <w:t>Soutome</w:t>
      </w:r>
      <w:proofErr w:type="spellEnd"/>
      <w:r>
        <w:t xml:space="preserve"> S, et al. Effect of perioperative oral management on the prevention of surgical site infection after colorectal cancer surgery: A multicenter retrospective analysis of 698 patients via analysis of covariance using propensity score. Medicine (Baltimore). 2018;97(40</w:t>
      </w:r>
      <w:proofErr w:type="gramStart"/>
      <w:r>
        <w:t>):e</w:t>
      </w:r>
      <w:proofErr w:type="gramEnd"/>
      <w:r>
        <w:t>12545. Available from: https://pubmed.ncbi.nlm.nih.gov/30290611/</w:t>
      </w:r>
    </w:p>
    <w:p w14:paraId="0FC72AF2" w14:textId="77777777" w:rsidR="0055388C" w:rsidRDefault="00000000">
      <w:pPr>
        <w:pStyle w:val="a9"/>
      </w:pPr>
      <w:bookmarkStart w:id="41" w:name="ref-Duan2025"/>
      <w:bookmarkEnd w:id="40"/>
      <w:r>
        <w:t>11. Duan L, Li D, Li Z, Luo W, Chu X. Effect of perioperative oral care on postoperative pneumonia in thoracic surgery patients: A systematic review and meta-analysis. Sci Rep. 2025 Dec 5;16(1):951. doi:10.1038/s41598-025-30492-6.</w:t>
      </w:r>
    </w:p>
    <w:p w14:paraId="66C73E55" w14:textId="77777777" w:rsidR="0055388C" w:rsidRDefault="00000000">
      <w:pPr>
        <w:pStyle w:val="a9"/>
      </w:pPr>
      <w:bookmarkStart w:id="42" w:name="ref-MHLW2022"/>
      <w:bookmarkEnd w:id="41"/>
      <w:r>
        <w:t xml:space="preserve">12. Ministry of Health, </w:t>
      </w:r>
      <w:proofErr w:type="spellStart"/>
      <w:r>
        <w:t>Labour</w:t>
      </w:r>
      <w:proofErr w:type="spellEnd"/>
      <w:r>
        <w:t xml:space="preserve"> and Welfare. Medical fee schedule revision for fiscal year 2022 (Reiwa 4). 2022. Available from: https://www.mhlw.go.jp/stf/seisakunitsuite/bunya/0000188411_00037.html</w:t>
      </w:r>
    </w:p>
    <w:p w14:paraId="04AF3A78" w14:textId="77777777" w:rsidR="0055388C" w:rsidRDefault="00000000">
      <w:pPr>
        <w:pStyle w:val="a9"/>
      </w:pPr>
      <w:bookmarkStart w:id="43" w:name="ref-Kodama2021"/>
      <w:bookmarkEnd w:id="42"/>
      <w:r>
        <w:t>13. Kodama T, Ida Y, Oshima K, Miura H. Are public oral care services evenly distributed? Nation-wide assessment of the provision of oral care in Japan using the national database of health insurance claims. Int J Environ Res Public Health. 2021;18(20):10850.</w:t>
      </w:r>
    </w:p>
    <w:p w14:paraId="5162BD2C" w14:textId="77777777" w:rsidR="0055388C" w:rsidRDefault="00000000">
      <w:pPr>
        <w:pStyle w:val="a9"/>
      </w:pPr>
      <w:bookmarkStart w:id="44" w:name="ref-Ishimaru2022b"/>
      <w:bookmarkEnd w:id="43"/>
      <w:r>
        <w:lastRenderedPageBreak/>
        <w:t xml:space="preserve">14. Ishimaru M, Taira K, </w:t>
      </w:r>
      <w:proofErr w:type="spellStart"/>
      <w:r>
        <w:t>Zaitsu</w:t>
      </w:r>
      <w:proofErr w:type="spellEnd"/>
      <w:r>
        <w:t xml:space="preserve"> T, Inoue Y, Kino S, Takahashi H, et al. Characteristics of hospitals employing dentists, and utilization of dental care services for hospitalized patients in Japan: A nationwide cross-sectional study. Int J Environ Res Public Health. 2022;19(11):6448.</w:t>
      </w:r>
    </w:p>
    <w:p w14:paraId="540027EF" w14:textId="77777777" w:rsidR="0055388C" w:rsidRDefault="00000000">
      <w:pPr>
        <w:pStyle w:val="a9"/>
      </w:pPr>
      <w:bookmarkStart w:id="45" w:name="ref-Nomura2021"/>
      <w:bookmarkEnd w:id="44"/>
      <w:r>
        <w:t xml:space="preserve">15. Nomura Y, Ohara Y, Yamamoto Y, Okada A, Hosoya N, Hanada N, et al. Dental hygienists’ practice in perioperative oral care management according to the Japanese dental </w:t>
      </w:r>
      <w:proofErr w:type="gramStart"/>
      <w:r>
        <w:t>hygienists</w:t>
      </w:r>
      <w:proofErr w:type="gramEnd"/>
      <w:r>
        <w:t xml:space="preserve"> survey 2019. Int J Environ Res Public Health. 2021;18(1):114. Available from: https://pubmed.ncbi.nlm.nih.gov/33375276/</w:t>
      </w:r>
    </w:p>
    <w:p w14:paraId="2508EBB2" w14:textId="77777777" w:rsidR="0055388C" w:rsidRDefault="00000000">
      <w:pPr>
        <w:pStyle w:val="a9"/>
      </w:pPr>
      <w:bookmarkStart w:id="46" w:name="ref-Taira2021"/>
      <w:bookmarkEnd w:id="45"/>
      <w:r>
        <w:t xml:space="preserve">16. Taira K, Mori T, Ishimaru M, </w:t>
      </w:r>
      <w:proofErr w:type="spellStart"/>
      <w:r>
        <w:t>Iwagami</w:t>
      </w:r>
      <w:proofErr w:type="spellEnd"/>
      <w:r>
        <w:t xml:space="preserve"> M, Sakata N, Watanabe T, et al. </w:t>
      </w:r>
      <w:proofErr w:type="gramStart"/>
      <w:r>
        <w:t>Regional</w:t>
      </w:r>
      <w:proofErr w:type="gramEnd"/>
      <w:r>
        <w:t xml:space="preserve"> inequality in dental care utilization in Japan: An ecological study using the national database of health insurance claims. Lancet Reg Health West Pac. </w:t>
      </w:r>
      <w:proofErr w:type="gramStart"/>
      <w:r>
        <w:t>2021;12:100170</w:t>
      </w:r>
      <w:proofErr w:type="gramEnd"/>
      <w:r>
        <w:t>.</w:t>
      </w:r>
    </w:p>
    <w:p w14:paraId="6246C668" w14:textId="77777777" w:rsidR="0055388C" w:rsidRDefault="00000000">
      <w:pPr>
        <w:pStyle w:val="a9"/>
      </w:pPr>
      <w:bookmarkStart w:id="47" w:name="ref-MHLW_NDB2023"/>
      <w:bookmarkEnd w:id="46"/>
      <w:r>
        <w:t xml:space="preserve">17. Ministry of Health, </w:t>
      </w:r>
      <w:proofErr w:type="spellStart"/>
      <w:r>
        <w:t>Labour</w:t>
      </w:r>
      <w:proofErr w:type="spellEnd"/>
      <w:r>
        <w:t xml:space="preserve"> and Welfare. National Database of Health Insurance Claims and Specific Health Checkups Open Data: 10th release. 2024. Available from: https://www.mhlw.go.jp/stf/seisakunitsuite/bunya/0000177182.html</w:t>
      </w:r>
    </w:p>
    <w:p w14:paraId="50366D34" w14:textId="77777777" w:rsidR="0055388C" w:rsidRDefault="00000000">
      <w:pPr>
        <w:pStyle w:val="a9"/>
      </w:pPr>
      <w:bookmarkStart w:id="48" w:name="ref-Sato2024NDB"/>
      <w:bookmarkEnd w:id="47"/>
      <w:r>
        <w:t>18. Sato S, Yasunaga H. A review of studies using Japanese nationwide administrative claims databases. Ann Clin Epidemiol. 2023;5(2):58-64. Available from: https://pubmed.ncbi.nlm.nih.gov/38505730/</w:t>
      </w:r>
    </w:p>
    <w:p w14:paraId="53085388" w14:textId="77777777" w:rsidR="0055388C" w:rsidRDefault="00000000">
      <w:pPr>
        <w:pStyle w:val="a9"/>
      </w:pPr>
      <w:bookmarkStart w:id="49" w:name="ref-MHLW_DentistSurvey2022"/>
      <w:bookmarkEnd w:id="48"/>
      <w:r>
        <w:t xml:space="preserve">19. Ministry of Health, </w:t>
      </w:r>
      <w:proofErr w:type="spellStart"/>
      <w:r>
        <w:t>Labour</w:t>
      </w:r>
      <w:proofErr w:type="spellEnd"/>
      <w:r>
        <w:t xml:space="preserve"> and Welfare. Survey of physicians, dentists and pharmacists: Reiwa 4 (2022). 2023. Available from: https://www.mhlw.go.jp/toukei/saikin/hw/ishi/22/index.html</w:t>
      </w:r>
    </w:p>
    <w:p w14:paraId="01797AFA" w14:textId="77777777" w:rsidR="0055388C" w:rsidRDefault="00000000">
      <w:pPr>
        <w:pStyle w:val="a9"/>
      </w:pPr>
      <w:bookmarkStart w:id="50" w:name="ref-Anselin1995"/>
      <w:bookmarkEnd w:id="49"/>
      <w:r>
        <w:t xml:space="preserve">20. </w:t>
      </w:r>
      <w:proofErr w:type="spellStart"/>
      <w:r>
        <w:t>Anselin</w:t>
      </w:r>
      <w:proofErr w:type="spellEnd"/>
      <w:r>
        <w:t xml:space="preserve"> L. Local indicators of spatial association-LISA. </w:t>
      </w:r>
      <w:proofErr w:type="spellStart"/>
      <w:r>
        <w:t>Geogr</w:t>
      </w:r>
      <w:proofErr w:type="spellEnd"/>
      <w:r>
        <w:t xml:space="preserve"> Anal. 1995;27(2):93-115.</w:t>
      </w:r>
    </w:p>
    <w:p w14:paraId="2C6F71E2" w14:textId="77777777" w:rsidR="0055388C" w:rsidRDefault="00000000">
      <w:pPr>
        <w:pStyle w:val="a9"/>
      </w:pPr>
      <w:bookmarkStart w:id="51" w:name="ref-Anselin1988"/>
      <w:bookmarkEnd w:id="50"/>
      <w:r>
        <w:t xml:space="preserve">21. </w:t>
      </w:r>
      <w:proofErr w:type="spellStart"/>
      <w:r>
        <w:t>Anselin</w:t>
      </w:r>
      <w:proofErr w:type="spellEnd"/>
      <w:r>
        <w:t xml:space="preserve"> L. Spatial econometrics: Methods and models. Dordrecht: Kluwer Academic Publishers; 1988.</w:t>
      </w:r>
    </w:p>
    <w:p w14:paraId="4A70B342" w14:textId="77777777" w:rsidR="0055388C" w:rsidRDefault="00000000">
      <w:pPr>
        <w:pStyle w:val="a9"/>
      </w:pPr>
      <w:bookmarkStart w:id="52" w:name="ref-LeSage2009"/>
      <w:bookmarkEnd w:id="51"/>
      <w:r>
        <w:t>22. LeSage JP, Pace RK. Introduction to spatial econometrics. Boca Raton: Chapman and Hall/CRC; 2009.</w:t>
      </w:r>
    </w:p>
    <w:p w14:paraId="6099CD3E" w14:textId="77777777" w:rsidR="0055388C" w:rsidRDefault="00000000">
      <w:pPr>
        <w:pStyle w:val="a9"/>
      </w:pPr>
      <w:bookmarkStart w:id="53" w:name="ref-Cohen1988"/>
      <w:bookmarkEnd w:id="52"/>
      <w:r>
        <w:t>23. Cohen J. Statistical power analysis for the behavioral sciences. 2nd ed. Hillsdale (NJ): Lawrence Erlbaum Associates; 1988.</w:t>
      </w:r>
    </w:p>
    <w:p w14:paraId="0763B904" w14:textId="77777777" w:rsidR="0055388C" w:rsidRDefault="00000000">
      <w:pPr>
        <w:pStyle w:val="a9"/>
      </w:pPr>
      <w:bookmarkStart w:id="54" w:name="ref-Greenhalgh2004"/>
      <w:bookmarkEnd w:id="53"/>
      <w:r>
        <w:t>24. Greenhalgh T, Robert G, Macfarlane F, Bate P, Kyriakidou O. Diffusion of innovations in service organizations: Systematic review and recommendations. Milbank Q. 2004;82(4):581-629.</w:t>
      </w:r>
    </w:p>
    <w:p w14:paraId="17BD7ABD" w14:textId="77777777" w:rsidR="0055388C" w:rsidRDefault="00000000">
      <w:pPr>
        <w:pStyle w:val="a9"/>
      </w:pPr>
      <w:bookmarkStart w:id="55" w:name="ref-Ibuka2020"/>
      <w:bookmarkEnd w:id="54"/>
      <w:r>
        <w:t xml:space="preserve">25. Ibuka Y, Matsuda Y, Shoji K, Ishigaki T. Evaluation of regional variations in healthcare utilization. </w:t>
      </w:r>
      <w:proofErr w:type="spellStart"/>
      <w:r>
        <w:t>Jpn</w:t>
      </w:r>
      <w:proofErr w:type="spellEnd"/>
      <w:r>
        <w:t xml:space="preserve"> J Stat Data Sci. 2020;3(1):349-65.</w:t>
      </w:r>
    </w:p>
    <w:p w14:paraId="5B1A658C" w14:textId="77777777" w:rsidR="0055388C" w:rsidRDefault="00000000">
      <w:pPr>
        <w:pStyle w:val="a9"/>
      </w:pPr>
      <w:bookmarkStart w:id="56" w:name="ref-Seo2022"/>
      <w:bookmarkEnd w:id="55"/>
      <w:r>
        <w:lastRenderedPageBreak/>
        <w:t xml:space="preserve">26. Seo Y, </w:t>
      </w:r>
      <w:proofErr w:type="spellStart"/>
      <w:r>
        <w:t>Takikawa</w:t>
      </w:r>
      <w:proofErr w:type="spellEnd"/>
      <w:r>
        <w:t xml:space="preserve"> T. Regional variation in national healthcare expenditure and health system performance in central cities and suburbs in Japan. Healthcare (Basel). 2022;10(6):968.</w:t>
      </w:r>
    </w:p>
    <w:p w14:paraId="1EB6913D" w14:textId="77777777" w:rsidR="0055388C" w:rsidRDefault="00000000">
      <w:pPr>
        <w:pStyle w:val="a9"/>
      </w:pPr>
      <w:bookmarkStart w:id="57" w:name="ref-Okayama2017"/>
      <w:bookmarkEnd w:id="56"/>
      <w:r>
        <w:t xml:space="preserve">27. Shirakawa Y. Perioperative team cooperation at Okayama University Hospital [in Japanese]. Nihon </w:t>
      </w:r>
      <w:proofErr w:type="spellStart"/>
      <w:r>
        <w:t>Geka</w:t>
      </w:r>
      <w:proofErr w:type="spellEnd"/>
      <w:r>
        <w:t xml:space="preserve"> Gakkai Zasshi. 2017;118(2):149-54.</w:t>
      </w:r>
    </w:p>
    <w:p w14:paraId="5CEEA1C8" w14:textId="77777777" w:rsidR="0055388C" w:rsidRDefault="00000000">
      <w:pPr>
        <w:pStyle w:val="a9"/>
      </w:pPr>
      <w:bookmarkStart w:id="58" w:name="ref-Kunitomi2025"/>
      <w:bookmarkEnd w:id="57"/>
      <w:r>
        <w:t xml:space="preserve">28. Kunitomi T, </w:t>
      </w:r>
      <w:proofErr w:type="spellStart"/>
      <w:r>
        <w:t>Miyagami</w:t>
      </w:r>
      <w:proofErr w:type="spellEnd"/>
      <w:r>
        <w:t xml:space="preserve"> T, </w:t>
      </w:r>
      <w:proofErr w:type="spellStart"/>
      <w:r>
        <w:t>Teranaka</w:t>
      </w:r>
      <w:proofErr w:type="spellEnd"/>
      <w:r>
        <w:t xml:space="preserve"> S, Matsumoto T, Yoshimatsu Y, Matsumoto S, et al. Current state and challenges of dental intervention in aspiration pneumonia management from the perspective of hospitalists: A cross-sectional survey in Japan. Int J Gen Med. </w:t>
      </w:r>
      <w:proofErr w:type="gramStart"/>
      <w:r>
        <w:t>2025;18:6889</w:t>
      </w:r>
      <w:proofErr w:type="gramEnd"/>
      <w:r>
        <w:t>-98.</w:t>
      </w:r>
    </w:p>
    <w:p w14:paraId="49C16094" w14:textId="77777777" w:rsidR="0055388C" w:rsidRDefault="00000000">
      <w:pPr>
        <w:pStyle w:val="a9"/>
      </w:pPr>
      <w:bookmarkStart w:id="59" w:name="ref-Shirakura2024"/>
      <w:bookmarkEnd w:id="58"/>
      <w:r>
        <w:t xml:space="preserve">29. </w:t>
      </w:r>
      <w:proofErr w:type="spellStart"/>
      <w:r>
        <w:t>Shirakura</w:t>
      </w:r>
      <w:proofErr w:type="spellEnd"/>
      <w:r>
        <w:t xml:space="preserve"> Y, </w:t>
      </w:r>
      <w:proofErr w:type="spellStart"/>
      <w:r>
        <w:t>Shobugawa</w:t>
      </w:r>
      <w:proofErr w:type="spellEnd"/>
      <w:r>
        <w:t xml:space="preserve"> Y, Saito R. Geographic variation in inpatient medical expenditure among older adults aged 75 years and above in Japan: A three-level multilevel analysis of nationwide data. Front Public Health. </w:t>
      </w:r>
      <w:proofErr w:type="gramStart"/>
      <w:r>
        <w:t>2024;12:1306013</w:t>
      </w:r>
      <w:proofErr w:type="gramEnd"/>
      <w:r>
        <w:t>.</w:t>
      </w:r>
    </w:p>
    <w:p w14:paraId="1AA2EF53" w14:textId="77777777" w:rsidR="0055388C" w:rsidRDefault="00000000">
      <w:pPr>
        <w:pStyle w:val="a9"/>
      </w:pPr>
      <w:bookmarkStart w:id="60" w:name="ref-Takazawa2026"/>
      <w:bookmarkEnd w:id="59"/>
      <w:r>
        <w:t xml:space="preserve">30. </w:t>
      </w:r>
      <w:proofErr w:type="spellStart"/>
      <w:r>
        <w:t>Takazawa</w:t>
      </w:r>
      <w:proofErr w:type="spellEnd"/>
      <w:r>
        <w:t xml:space="preserve"> I, Suzuki H, Sugimoto K, </w:t>
      </w:r>
      <w:proofErr w:type="spellStart"/>
      <w:r>
        <w:t>Kabasawa</w:t>
      </w:r>
      <w:proofErr w:type="spellEnd"/>
      <w:r>
        <w:t xml:space="preserve"> Y, Adachi N, Yoshida N. Survey on status of oral care practices and factors associated with confidence in oral care skills in ward nurses at an acute hospital in Japan. BMC Oral Health. 2026;26(1):469.</w:t>
      </w:r>
    </w:p>
    <w:p w14:paraId="77C409A8" w14:textId="77777777" w:rsidR="0055388C" w:rsidRDefault="00000000">
      <w:pPr>
        <w:pStyle w:val="a9"/>
      </w:pPr>
      <w:bookmarkStart w:id="61" w:name="ref-Koike2022"/>
      <w:bookmarkEnd w:id="60"/>
      <w:r>
        <w:t>31. Koike T, Ohta R, Matsuda Y, Sano C, Kanno T. Oral care awareness and factors related to the burden of nurses at a community hospital in Japan. Healthcare (Basel). 2022;10(6):1073.</w:t>
      </w:r>
    </w:p>
    <w:p w14:paraId="36B36F50" w14:textId="77777777" w:rsidR="0055388C" w:rsidRDefault="00000000">
      <w:pPr>
        <w:pStyle w:val="a9"/>
      </w:pPr>
      <w:bookmarkStart w:id="62" w:name="ref-Hashimura2018"/>
      <w:bookmarkEnd w:id="61"/>
      <w:r>
        <w:t xml:space="preserve">32. </w:t>
      </w:r>
      <w:proofErr w:type="spellStart"/>
      <w:r>
        <w:t>Hashimura</w:t>
      </w:r>
      <w:proofErr w:type="spellEnd"/>
      <w:r>
        <w:t xml:space="preserve"> T, Tanimoto T, Morita T, Kami M. Distribution of dentists in the greater Tokyo area, Japan. Int Dent J. 2019;69(2):150-7. Available from: https://pubmed.ncbi.nlm.nih.gov/30350864/</w:t>
      </w:r>
    </w:p>
    <w:p w14:paraId="1CC21E84" w14:textId="77777777" w:rsidR="0055388C" w:rsidRDefault="00000000">
      <w:pPr>
        <w:pStyle w:val="a9"/>
      </w:pPr>
      <w:bookmarkStart w:id="63" w:name="ref-Yamamoto2023access"/>
      <w:bookmarkEnd w:id="62"/>
      <w:r>
        <w:t xml:space="preserve">33. Yamamoto T, </w:t>
      </w:r>
      <w:proofErr w:type="spellStart"/>
      <w:r>
        <w:t>Hanazato</w:t>
      </w:r>
      <w:proofErr w:type="spellEnd"/>
      <w:r>
        <w:t xml:space="preserve"> M, Hikichi H, Kondo K, Osaka K, Kawachi I, et al. Change in geographic accessibility to dental clinics affects access to care. J Dent Res. 2023;102(7):719-26. Available from: https://pubmed.ncbi.nlm.nih.gov/37204154/</w:t>
      </w:r>
    </w:p>
    <w:p w14:paraId="5E19683F" w14:textId="77777777" w:rsidR="0055388C" w:rsidRDefault="00000000">
      <w:pPr>
        <w:pStyle w:val="a9"/>
      </w:pPr>
      <w:bookmarkStart w:id="64" w:name="ref-Sato2023dental"/>
      <w:bookmarkEnd w:id="63"/>
      <w:r>
        <w:t xml:space="preserve">34. Sato Y, Fukai K, </w:t>
      </w:r>
      <w:proofErr w:type="spellStart"/>
      <w:r>
        <w:t>Kunori</w:t>
      </w:r>
      <w:proofErr w:type="spellEnd"/>
      <w:r>
        <w:t xml:space="preserve"> Y, Yoshioka E, Saijo Y. Trends in dental expenditures in Japan with a universal health insurance system. </w:t>
      </w:r>
      <w:proofErr w:type="spellStart"/>
      <w:r>
        <w:t>PLoS</w:t>
      </w:r>
      <w:proofErr w:type="spellEnd"/>
      <w:r>
        <w:t xml:space="preserve"> One. 2023;18(10</w:t>
      </w:r>
      <w:proofErr w:type="gramStart"/>
      <w:r>
        <w:t>):e</w:t>
      </w:r>
      <w:proofErr w:type="gramEnd"/>
      <w:r>
        <w:t>0292547.</w:t>
      </w:r>
    </w:p>
    <w:p w14:paraId="0FC11EDE" w14:textId="77777777" w:rsidR="0055388C" w:rsidRDefault="00000000">
      <w:pPr>
        <w:pStyle w:val="a9"/>
      </w:pPr>
      <w:bookmarkStart w:id="65" w:name="ref-Morgenstern1998"/>
      <w:bookmarkEnd w:id="64"/>
      <w:r>
        <w:t xml:space="preserve">35. Morgenstern H. Ecologic studies in epidemiology: Concepts, principles, and methods. Annu Rev Public Health. </w:t>
      </w:r>
      <w:proofErr w:type="gramStart"/>
      <w:r>
        <w:t>1995;16:61</w:t>
      </w:r>
      <w:proofErr w:type="gramEnd"/>
      <w:r>
        <w:t>-81. Available from: https://pubmed.ncbi.nlm.nih.gov/7639884/</w:t>
      </w:r>
    </w:p>
    <w:p w14:paraId="7EC9E64A" w14:textId="77777777" w:rsidR="0055388C" w:rsidRDefault="00000000">
      <w:pPr>
        <w:pStyle w:val="a9"/>
      </w:pPr>
      <w:bookmarkStart w:id="66" w:name="ref-Greenland2001"/>
      <w:bookmarkEnd w:id="65"/>
      <w:r>
        <w:t>36. Greenland S. Ecologic versus individual-level sources of bias in ecologic estimates of contextual health effects. Int J Epidemiol. 2001;30(6):1343-50. Available from: https://pubmed.ncbi.nlm.nih.gov/11821344/</w:t>
      </w:r>
    </w:p>
    <w:bookmarkEnd w:id="35"/>
    <w:bookmarkEnd w:id="66"/>
    <w:p w14:paraId="22949534" w14:textId="77777777" w:rsidR="0055388C" w:rsidRDefault="00000000">
      <w:r>
        <w:pict w14:anchorId="6233C4C6">
          <v:rect id="_x0000_i1052" style="width:0;height:1.5pt" o:hralign="center" o:hrstd="t" o:hr="t"/>
        </w:pict>
      </w:r>
    </w:p>
    <w:bookmarkEnd w:id="33"/>
    <w:p w14:paraId="392CAA28" w14:textId="77777777" w:rsidR="0055388C" w:rsidRDefault="00000000">
      <w:pPr>
        <w:pStyle w:val="1"/>
      </w:pPr>
      <w:r>
        <w:lastRenderedPageBreak/>
        <w:t>Tables</w:t>
      </w:r>
    </w:p>
    <w:p w14:paraId="01889834"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2FC7302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7043A3EE" w14:textId="77777777" w:rsidR="0055388C" w:rsidRDefault="00000000">
            <w:pPr>
              <w:pStyle w:val="Compact"/>
            </w:pPr>
            <w:r>
              <w:t>Variable</w:t>
            </w:r>
          </w:p>
        </w:tc>
        <w:tc>
          <w:tcPr>
            <w:tcW w:w="0" w:type="auto"/>
          </w:tcPr>
          <w:p w14:paraId="6DF4E5A2" w14:textId="77777777" w:rsidR="0055388C" w:rsidRDefault="00000000">
            <w:pPr>
              <w:pStyle w:val="Compact"/>
            </w:pPr>
            <w:r>
              <w:t>Mean (SD)</w:t>
            </w:r>
          </w:p>
        </w:tc>
        <w:tc>
          <w:tcPr>
            <w:tcW w:w="0" w:type="auto"/>
          </w:tcPr>
          <w:p w14:paraId="671A6D1D" w14:textId="77777777" w:rsidR="0055388C" w:rsidRDefault="00000000">
            <w:pPr>
              <w:pStyle w:val="Compact"/>
            </w:pPr>
            <w:r>
              <w:t>Min</w:t>
            </w:r>
          </w:p>
        </w:tc>
        <w:tc>
          <w:tcPr>
            <w:tcW w:w="0" w:type="auto"/>
          </w:tcPr>
          <w:p w14:paraId="7BD8D5B6" w14:textId="77777777" w:rsidR="0055388C" w:rsidRDefault="00000000">
            <w:pPr>
              <w:pStyle w:val="Compact"/>
            </w:pPr>
            <w:r>
              <w:t>Max</w:t>
            </w:r>
          </w:p>
        </w:tc>
        <w:tc>
          <w:tcPr>
            <w:tcW w:w="0" w:type="auto"/>
          </w:tcPr>
          <w:p w14:paraId="488BA1B3" w14:textId="77777777" w:rsidR="0055388C" w:rsidRDefault="00000000">
            <w:pPr>
              <w:pStyle w:val="Compact"/>
            </w:pPr>
            <w:r>
              <w:t>CV (%)</w:t>
            </w:r>
          </w:p>
        </w:tc>
      </w:tr>
      <w:tr w:rsidR="0055388C" w14:paraId="336F8C0D" w14:textId="77777777">
        <w:tc>
          <w:tcPr>
            <w:tcW w:w="0" w:type="auto"/>
          </w:tcPr>
          <w:p w14:paraId="078F7076" w14:textId="77777777" w:rsidR="0055388C" w:rsidRDefault="00000000">
            <w:pPr>
              <w:pStyle w:val="Compact"/>
            </w:pPr>
            <w:r>
              <w:t>POFM density (/100K)</w:t>
            </w:r>
          </w:p>
        </w:tc>
        <w:tc>
          <w:tcPr>
            <w:tcW w:w="0" w:type="auto"/>
          </w:tcPr>
          <w:p w14:paraId="24DA10FF" w14:textId="77777777" w:rsidR="0055388C" w:rsidRDefault="00000000">
            <w:pPr>
              <w:pStyle w:val="Compact"/>
            </w:pPr>
            <w:r>
              <w:t>103,963 (20,390)</w:t>
            </w:r>
          </w:p>
        </w:tc>
        <w:tc>
          <w:tcPr>
            <w:tcW w:w="0" w:type="auto"/>
          </w:tcPr>
          <w:p w14:paraId="5CCACDF8" w14:textId="77777777" w:rsidR="0055388C" w:rsidRDefault="00000000">
            <w:pPr>
              <w:pStyle w:val="Compact"/>
            </w:pPr>
            <w:r>
              <w:t>68,804</w:t>
            </w:r>
          </w:p>
        </w:tc>
        <w:tc>
          <w:tcPr>
            <w:tcW w:w="0" w:type="auto"/>
          </w:tcPr>
          <w:p w14:paraId="6B4C79EF" w14:textId="77777777" w:rsidR="0055388C" w:rsidRDefault="00000000">
            <w:pPr>
              <w:pStyle w:val="Compact"/>
            </w:pPr>
            <w:r>
              <w:t>154,850</w:t>
            </w:r>
          </w:p>
        </w:tc>
        <w:tc>
          <w:tcPr>
            <w:tcW w:w="0" w:type="auto"/>
          </w:tcPr>
          <w:p w14:paraId="6FEEB3AB" w14:textId="77777777" w:rsidR="0055388C" w:rsidRDefault="00000000">
            <w:pPr>
              <w:pStyle w:val="Compact"/>
            </w:pPr>
            <w:r>
              <w:t>19.6</w:t>
            </w:r>
          </w:p>
        </w:tc>
      </w:tr>
      <w:tr w:rsidR="0055388C" w14:paraId="42B1DA1C" w14:textId="77777777">
        <w:tc>
          <w:tcPr>
            <w:tcW w:w="0" w:type="auto"/>
          </w:tcPr>
          <w:p w14:paraId="595C9BF9" w14:textId="77777777" w:rsidR="0055388C" w:rsidRDefault="00000000">
            <w:pPr>
              <w:pStyle w:val="Compact"/>
            </w:pPr>
            <w:r>
              <w:t>Cancer surgery density (/100K)</w:t>
            </w:r>
          </w:p>
        </w:tc>
        <w:tc>
          <w:tcPr>
            <w:tcW w:w="0" w:type="auto"/>
          </w:tcPr>
          <w:p w14:paraId="50D883B6" w14:textId="77777777" w:rsidR="0055388C" w:rsidRDefault="00000000">
            <w:pPr>
              <w:pStyle w:val="Compact"/>
            </w:pPr>
            <w:r>
              <w:t>237.7 (28.5)</w:t>
            </w:r>
          </w:p>
        </w:tc>
        <w:tc>
          <w:tcPr>
            <w:tcW w:w="0" w:type="auto"/>
          </w:tcPr>
          <w:p w14:paraId="1D41B84F" w14:textId="77777777" w:rsidR="0055388C" w:rsidRDefault="00000000">
            <w:pPr>
              <w:pStyle w:val="Compact"/>
            </w:pPr>
            <w:r>
              <w:t>173.6</w:t>
            </w:r>
          </w:p>
        </w:tc>
        <w:tc>
          <w:tcPr>
            <w:tcW w:w="0" w:type="auto"/>
          </w:tcPr>
          <w:p w14:paraId="7D486458" w14:textId="77777777" w:rsidR="0055388C" w:rsidRDefault="00000000">
            <w:pPr>
              <w:pStyle w:val="Compact"/>
            </w:pPr>
            <w:r>
              <w:t>287.0</w:t>
            </w:r>
          </w:p>
        </w:tc>
        <w:tc>
          <w:tcPr>
            <w:tcW w:w="0" w:type="auto"/>
          </w:tcPr>
          <w:p w14:paraId="5D3E8645" w14:textId="77777777" w:rsidR="0055388C" w:rsidRDefault="00000000">
            <w:pPr>
              <w:pStyle w:val="Compact"/>
            </w:pPr>
            <w:r>
              <w:t>12.0</w:t>
            </w:r>
          </w:p>
        </w:tc>
      </w:tr>
      <w:tr w:rsidR="0055388C" w14:paraId="1DA64305" w14:textId="77777777">
        <w:tc>
          <w:tcPr>
            <w:tcW w:w="0" w:type="auto"/>
          </w:tcPr>
          <w:p w14:paraId="3C09443B" w14:textId="77777777" w:rsidR="0055388C" w:rsidRDefault="00000000">
            <w:pPr>
              <w:pStyle w:val="Compact"/>
            </w:pPr>
            <w:r>
              <w:t>Aging rate (%)</w:t>
            </w:r>
          </w:p>
        </w:tc>
        <w:tc>
          <w:tcPr>
            <w:tcW w:w="0" w:type="auto"/>
          </w:tcPr>
          <w:p w14:paraId="4A8B6007" w14:textId="77777777" w:rsidR="0055388C" w:rsidRDefault="00000000">
            <w:pPr>
              <w:pStyle w:val="Compact"/>
            </w:pPr>
            <w:r>
              <w:t>31.2 (3.1)</w:t>
            </w:r>
          </w:p>
        </w:tc>
        <w:tc>
          <w:tcPr>
            <w:tcW w:w="0" w:type="auto"/>
          </w:tcPr>
          <w:p w14:paraId="5FEFC927" w14:textId="77777777" w:rsidR="0055388C" w:rsidRDefault="00000000">
            <w:pPr>
              <w:pStyle w:val="Compact"/>
            </w:pPr>
            <w:r>
              <w:t>24.4</w:t>
            </w:r>
          </w:p>
        </w:tc>
        <w:tc>
          <w:tcPr>
            <w:tcW w:w="0" w:type="auto"/>
          </w:tcPr>
          <w:p w14:paraId="0D04CA7E" w14:textId="77777777" w:rsidR="0055388C" w:rsidRDefault="00000000">
            <w:pPr>
              <w:pStyle w:val="Compact"/>
            </w:pPr>
            <w:r>
              <w:t>38.3</w:t>
            </w:r>
          </w:p>
        </w:tc>
        <w:tc>
          <w:tcPr>
            <w:tcW w:w="0" w:type="auto"/>
          </w:tcPr>
          <w:p w14:paraId="0BD8F7C7" w14:textId="77777777" w:rsidR="0055388C" w:rsidRDefault="00000000">
            <w:pPr>
              <w:pStyle w:val="Compact"/>
            </w:pPr>
            <w:r>
              <w:t>—</w:t>
            </w:r>
          </w:p>
        </w:tc>
      </w:tr>
      <w:tr w:rsidR="0055388C" w14:paraId="1103C40D" w14:textId="77777777">
        <w:tc>
          <w:tcPr>
            <w:tcW w:w="0" w:type="auto"/>
          </w:tcPr>
          <w:p w14:paraId="0E65D35D" w14:textId="77777777" w:rsidR="0055388C" w:rsidRDefault="00000000">
            <w:pPr>
              <w:pStyle w:val="Compact"/>
            </w:pPr>
            <w:r>
              <w:t>Per-capita income (¥10K)</w:t>
            </w:r>
          </w:p>
        </w:tc>
        <w:tc>
          <w:tcPr>
            <w:tcW w:w="0" w:type="auto"/>
          </w:tcPr>
          <w:p w14:paraId="736A4144" w14:textId="77777777" w:rsidR="0055388C" w:rsidRDefault="00000000">
            <w:pPr>
              <w:pStyle w:val="Compact"/>
            </w:pPr>
            <w:r>
              <w:t>3,039 (280)</w:t>
            </w:r>
          </w:p>
        </w:tc>
        <w:tc>
          <w:tcPr>
            <w:tcW w:w="0" w:type="auto"/>
          </w:tcPr>
          <w:p w14:paraId="4E56CD88" w14:textId="77777777" w:rsidR="0055388C" w:rsidRDefault="00000000">
            <w:pPr>
              <w:pStyle w:val="Compact"/>
            </w:pPr>
            <w:r>
              <w:t>2,553</w:t>
            </w:r>
          </w:p>
        </w:tc>
        <w:tc>
          <w:tcPr>
            <w:tcW w:w="0" w:type="auto"/>
          </w:tcPr>
          <w:p w14:paraId="7317AFBF" w14:textId="77777777" w:rsidR="0055388C" w:rsidRDefault="00000000">
            <w:pPr>
              <w:pStyle w:val="Compact"/>
            </w:pPr>
            <w:r>
              <w:t>4,055</w:t>
            </w:r>
          </w:p>
        </w:tc>
        <w:tc>
          <w:tcPr>
            <w:tcW w:w="0" w:type="auto"/>
          </w:tcPr>
          <w:p w14:paraId="6EBE2E51" w14:textId="77777777" w:rsidR="0055388C" w:rsidRDefault="00000000">
            <w:pPr>
              <w:pStyle w:val="Compact"/>
            </w:pPr>
            <w:r>
              <w:t>—</w:t>
            </w:r>
          </w:p>
        </w:tc>
      </w:tr>
      <w:tr w:rsidR="0055388C" w14:paraId="11FF9949" w14:textId="77777777">
        <w:tc>
          <w:tcPr>
            <w:tcW w:w="0" w:type="auto"/>
          </w:tcPr>
          <w:p w14:paraId="5884EC7B" w14:textId="77777777" w:rsidR="0055388C" w:rsidRDefault="00000000">
            <w:pPr>
              <w:pStyle w:val="Compact"/>
            </w:pPr>
            <w:r>
              <w:t>Population density (persons/km²)</w:t>
            </w:r>
          </w:p>
        </w:tc>
        <w:tc>
          <w:tcPr>
            <w:tcW w:w="0" w:type="auto"/>
          </w:tcPr>
          <w:p w14:paraId="7E7108A4" w14:textId="77777777" w:rsidR="0055388C" w:rsidRDefault="00000000">
            <w:pPr>
              <w:pStyle w:val="Compact"/>
            </w:pPr>
            <w:r>
              <w:t>329 (482)</w:t>
            </w:r>
          </w:p>
        </w:tc>
        <w:tc>
          <w:tcPr>
            <w:tcW w:w="0" w:type="auto"/>
          </w:tcPr>
          <w:p w14:paraId="5165733D" w14:textId="77777777" w:rsidR="0055388C" w:rsidRDefault="00000000">
            <w:pPr>
              <w:pStyle w:val="Compact"/>
            </w:pPr>
            <w:r>
              <w:t>63</w:t>
            </w:r>
          </w:p>
        </w:tc>
        <w:tc>
          <w:tcPr>
            <w:tcW w:w="0" w:type="auto"/>
          </w:tcPr>
          <w:p w14:paraId="3C02C826" w14:textId="77777777" w:rsidR="0055388C" w:rsidRDefault="00000000">
            <w:pPr>
              <w:pStyle w:val="Compact"/>
            </w:pPr>
            <w:r>
              <w:t>6,363</w:t>
            </w:r>
          </w:p>
        </w:tc>
        <w:tc>
          <w:tcPr>
            <w:tcW w:w="0" w:type="auto"/>
          </w:tcPr>
          <w:p w14:paraId="51C51D3D" w14:textId="77777777" w:rsidR="0055388C" w:rsidRDefault="00000000">
            <w:pPr>
              <w:pStyle w:val="Compact"/>
            </w:pPr>
            <w:r>
              <w:t>—</w:t>
            </w:r>
          </w:p>
        </w:tc>
      </w:tr>
      <w:tr w:rsidR="0055388C" w14:paraId="7E3E5CEE" w14:textId="77777777">
        <w:tc>
          <w:tcPr>
            <w:tcW w:w="0" w:type="auto"/>
          </w:tcPr>
          <w:p w14:paraId="15A83D1F" w14:textId="77777777" w:rsidR="0055388C" w:rsidRDefault="00000000">
            <w:pPr>
              <w:pStyle w:val="Compact"/>
            </w:pPr>
            <w:r>
              <w:t>Dentists per 100,000 population</w:t>
            </w:r>
          </w:p>
        </w:tc>
        <w:tc>
          <w:tcPr>
            <w:tcW w:w="0" w:type="auto"/>
          </w:tcPr>
          <w:p w14:paraId="723D7931" w14:textId="77777777" w:rsidR="0055388C" w:rsidRDefault="00000000">
            <w:pPr>
              <w:pStyle w:val="Compact"/>
            </w:pPr>
            <w:r>
              <w:t>77.0 (12.9)</w:t>
            </w:r>
          </w:p>
        </w:tc>
        <w:tc>
          <w:tcPr>
            <w:tcW w:w="0" w:type="auto"/>
          </w:tcPr>
          <w:p w14:paraId="3B5F5013" w14:textId="77777777" w:rsidR="0055388C" w:rsidRDefault="00000000">
            <w:pPr>
              <w:pStyle w:val="Compact"/>
            </w:pPr>
            <w:r>
              <w:t>55.9</w:t>
            </w:r>
          </w:p>
        </w:tc>
        <w:tc>
          <w:tcPr>
            <w:tcW w:w="0" w:type="auto"/>
          </w:tcPr>
          <w:p w14:paraId="528FCBBB" w14:textId="77777777" w:rsidR="0055388C" w:rsidRDefault="00000000">
            <w:pPr>
              <w:pStyle w:val="Compact"/>
            </w:pPr>
            <w:r>
              <w:t>116.1</w:t>
            </w:r>
          </w:p>
        </w:tc>
        <w:tc>
          <w:tcPr>
            <w:tcW w:w="0" w:type="auto"/>
          </w:tcPr>
          <w:p w14:paraId="7187B52C" w14:textId="77777777" w:rsidR="0055388C" w:rsidRDefault="00000000">
            <w:pPr>
              <w:pStyle w:val="Compact"/>
            </w:pPr>
            <w:r>
              <w:t>16.7</w:t>
            </w:r>
          </w:p>
        </w:tc>
      </w:tr>
    </w:tbl>
    <w:p w14:paraId="398011B8" w14:textId="77777777" w:rsidR="0055388C" w:rsidRDefault="00000000">
      <w:r>
        <w:pict w14:anchorId="7710DC3C">
          <v:rect id="_x0000_i1032" style="width:0;height:1.5pt" o:hralign="center" o:hrstd="t" o:hr="t"/>
        </w:pict>
      </w:r>
    </w:p>
    <w:p w14:paraId="0134920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7F2D7D38"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8D36D70" w14:textId="77777777" w:rsidR="0055388C" w:rsidRDefault="00000000">
            <w:pPr>
              <w:pStyle w:val="Compact"/>
            </w:pPr>
            <w:r>
              <w:t>Model</w:t>
            </w:r>
          </w:p>
        </w:tc>
        <w:tc>
          <w:tcPr>
            <w:tcW w:w="1131" w:type="dxa"/>
          </w:tcPr>
          <w:p w14:paraId="421A396E" w14:textId="77777777" w:rsidR="0055388C" w:rsidRDefault="00000000">
            <w:pPr>
              <w:pStyle w:val="Compact"/>
            </w:pPr>
            <w:r>
              <w:t>n</w:t>
            </w:r>
          </w:p>
        </w:tc>
        <w:tc>
          <w:tcPr>
            <w:tcW w:w="1131" w:type="dxa"/>
          </w:tcPr>
          <w:p w14:paraId="031A0ACE" w14:textId="77777777" w:rsidR="0055388C" w:rsidRDefault="00000000">
            <w:pPr>
              <w:pStyle w:val="Compact"/>
            </w:pPr>
            <w:r>
              <w:t>β (cancer surgery density)</w:t>
            </w:r>
          </w:p>
        </w:tc>
        <w:tc>
          <w:tcPr>
            <w:tcW w:w="1131" w:type="dxa"/>
          </w:tcPr>
          <w:p w14:paraId="191D2C26" w14:textId="77777777" w:rsidR="0055388C" w:rsidRDefault="00000000">
            <w:pPr>
              <w:pStyle w:val="Compact"/>
            </w:pPr>
            <w:r>
              <w:t>SE</w:t>
            </w:r>
          </w:p>
        </w:tc>
        <w:tc>
          <w:tcPr>
            <w:tcW w:w="1131" w:type="dxa"/>
          </w:tcPr>
          <w:p w14:paraId="0F3360D6" w14:textId="77777777" w:rsidR="0055388C" w:rsidRDefault="00000000">
            <w:pPr>
              <w:pStyle w:val="Compact"/>
            </w:pPr>
            <w:r>
              <w:t>p-value</w:t>
            </w:r>
          </w:p>
        </w:tc>
        <w:tc>
          <w:tcPr>
            <w:tcW w:w="1131" w:type="dxa"/>
          </w:tcPr>
          <w:p w14:paraId="4116B09B" w14:textId="77777777" w:rsidR="0055388C" w:rsidRDefault="00000000">
            <w:pPr>
              <w:pStyle w:val="Compact"/>
            </w:pPr>
            <w:r>
              <w:t>95% CI</w:t>
            </w:r>
          </w:p>
        </w:tc>
        <w:tc>
          <w:tcPr>
            <w:tcW w:w="1131" w:type="dxa"/>
          </w:tcPr>
          <w:p w14:paraId="1E82135C" w14:textId="77777777" w:rsidR="0055388C" w:rsidRDefault="00000000">
            <w:pPr>
              <w:pStyle w:val="Compact"/>
            </w:pPr>
            <w:r>
              <w:t>R²</w:t>
            </w:r>
          </w:p>
        </w:tc>
      </w:tr>
      <w:tr w:rsidR="0055388C" w14:paraId="757E0FBC" w14:textId="77777777">
        <w:tc>
          <w:tcPr>
            <w:tcW w:w="1131" w:type="dxa"/>
          </w:tcPr>
          <w:p w14:paraId="0F29D485" w14:textId="77777777" w:rsidR="0055388C" w:rsidRDefault="00000000">
            <w:pPr>
              <w:pStyle w:val="Compact"/>
            </w:pPr>
            <w:r>
              <w:t>Model 1: Unadjusted</w:t>
            </w:r>
          </w:p>
        </w:tc>
        <w:tc>
          <w:tcPr>
            <w:tcW w:w="1131" w:type="dxa"/>
          </w:tcPr>
          <w:p w14:paraId="52CA9981" w14:textId="77777777" w:rsidR="0055388C" w:rsidRDefault="00000000">
            <w:pPr>
              <w:pStyle w:val="Compact"/>
            </w:pPr>
            <w:r>
              <w:t>47</w:t>
            </w:r>
          </w:p>
        </w:tc>
        <w:tc>
          <w:tcPr>
            <w:tcW w:w="1131" w:type="dxa"/>
          </w:tcPr>
          <w:p w14:paraId="416FC3A1" w14:textId="77777777" w:rsidR="0055388C" w:rsidRDefault="00000000">
            <w:pPr>
              <w:pStyle w:val="Compact"/>
            </w:pPr>
            <w:r>
              <w:t>98.3</w:t>
            </w:r>
          </w:p>
        </w:tc>
        <w:tc>
          <w:tcPr>
            <w:tcW w:w="1131" w:type="dxa"/>
          </w:tcPr>
          <w:p w14:paraId="77B0C230" w14:textId="77777777" w:rsidR="0055388C" w:rsidRDefault="00000000">
            <w:pPr>
              <w:pStyle w:val="Compact"/>
            </w:pPr>
            <w:r>
              <w:t>153.3</w:t>
            </w:r>
          </w:p>
        </w:tc>
        <w:tc>
          <w:tcPr>
            <w:tcW w:w="1131" w:type="dxa"/>
          </w:tcPr>
          <w:p w14:paraId="5316AF4F" w14:textId="77777777" w:rsidR="0055388C" w:rsidRDefault="00000000">
            <w:pPr>
              <w:pStyle w:val="Compact"/>
            </w:pPr>
            <w:r>
              <w:t>0.510</w:t>
            </w:r>
          </w:p>
        </w:tc>
        <w:tc>
          <w:tcPr>
            <w:tcW w:w="1131" w:type="dxa"/>
          </w:tcPr>
          <w:p w14:paraId="28505DEA" w14:textId="77777777" w:rsidR="0055388C" w:rsidRDefault="00000000">
            <w:pPr>
              <w:pStyle w:val="Compact"/>
            </w:pPr>
            <w:r>
              <w:t>−210.2, 406.9</w:t>
            </w:r>
          </w:p>
        </w:tc>
        <w:tc>
          <w:tcPr>
            <w:tcW w:w="1131" w:type="dxa"/>
          </w:tcPr>
          <w:p w14:paraId="2E2FA949" w14:textId="77777777" w:rsidR="0055388C" w:rsidRDefault="00000000">
            <w:pPr>
              <w:pStyle w:val="Compact"/>
            </w:pPr>
            <w:r>
              <w:t>0.009</w:t>
            </w:r>
          </w:p>
        </w:tc>
      </w:tr>
      <w:tr w:rsidR="0055388C" w14:paraId="1401C3A9" w14:textId="77777777">
        <w:tc>
          <w:tcPr>
            <w:tcW w:w="1131" w:type="dxa"/>
          </w:tcPr>
          <w:p w14:paraId="002EA4AC" w14:textId="77777777" w:rsidR="0055388C" w:rsidRDefault="00000000">
            <w:pPr>
              <w:pStyle w:val="Compact"/>
            </w:pPr>
            <w:r>
              <w:t>Model 2: Adjusted</w:t>
            </w:r>
          </w:p>
        </w:tc>
        <w:tc>
          <w:tcPr>
            <w:tcW w:w="1131" w:type="dxa"/>
          </w:tcPr>
          <w:p w14:paraId="18701A40" w14:textId="77777777" w:rsidR="0055388C" w:rsidRDefault="00000000">
            <w:pPr>
              <w:pStyle w:val="Compact"/>
            </w:pPr>
            <w:r>
              <w:t>47</w:t>
            </w:r>
          </w:p>
        </w:tc>
        <w:tc>
          <w:tcPr>
            <w:tcW w:w="1131" w:type="dxa"/>
          </w:tcPr>
          <w:p w14:paraId="1FABD2D5" w14:textId="77777777" w:rsidR="0055388C" w:rsidRDefault="00000000">
            <w:pPr>
              <w:pStyle w:val="Compact"/>
            </w:pPr>
            <w:r>
              <w:t>84.7</w:t>
            </w:r>
          </w:p>
        </w:tc>
        <w:tc>
          <w:tcPr>
            <w:tcW w:w="1131" w:type="dxa"/>
          </w:tcPr>
          <w:p w14:paraId="1DC40576" w14:textId="77777777" w:rsidR="0055388C" w:rsidRDefault="00000000">
            <w:pPr>
              <w:pStyle w:val="Compact"/>
            </w:pPr>
            <w:r>
              <w:t>178.9</w:t>
            </w:r>
          </w:p>
        </w:tc>
        <w:tc>
          <w:tcPr>
            <w:tcW w:w="1131" w:type="dxa"/>
          </w:tcPr>
          <w:p w14:paraId="041241E2" w14:textId="77777777" w:rsidR="0055388C" w:rsidRDefault="00000000">
            <w:pPr>
              <w:pStyle w:val="Compact"/>
            </w:pPr>
            <w:r>
              <w:t>0.641</w:t>
            </w:r>
          </w:p>
        </w:tc>
        <w:tc>
          <w:tcPr>
            <w:tcW w:w="1131" w:type="dxa"/>
          </w:tcPr>
          <w:p w14:paraId="4B762F8D" w14:textId="77777777" w:rsidR="0055388C" w:rsidRDefault="00000000">
            <w:pPr>
              <w:pStyle w:val="Compact"/>
            </w:pPr>
            <w:r>
              <w:t>−275.5, 444.9</w:t>
            </w:r>
          </w:p>
        </w:tc>
        <w:tc>
          <w:tcPr>
            <w:tcW w:w="1131" w:type="dxa"/>
          </w:tcPr>
          <w:p w14:paraId="100B13C2" w14:textId="77777777" w:rsidR="0055388C" w:rsidRDefault="00000000">
            <w:pPr>
              <w:pStyle w:val="Compact"/>
            </w:pPr>
            <w:r>
              <w:t>0.197</w:t>
            </w:r>
          </w:p>
        </w:tc>
      </w:tr>
    </w:tbl>
    <w:p w14:paraId="22BBD721" w14:textId="77777777" w:rsidR="0055388C" w:rsidRDefault="00000000">
      <w:pPr>
        <w:pStyle w:val="a0"/>
      </w:pPr>
      <w:r>
        <w:rPr>
          <w:i/>
          <w:iCs/>
        </w:rPr>
        <w:t>Adjusted model: adjusted for aging rate, per-capita income, and population density.</w:t>
      </w:r>
    </w:p>
    <w:p w14:paraId="1B38D153" w14:textId="77777777" w:rsidR="0055388C" w:rsidRDefault="00000000">
      <w:r>
        <w:pict w14:anchorId="5CDDD0BF">
          <v:rect id="_x0000_i1033" style="width:0;height:1.5pt" o:hralign="center" o:hrstd="t" o:hr="t"/>
        </w:pict>
      </w:r>
    </w:p>
    <w:p w14:paraId="6DC329CD" w14:textId="77777777" w:rsidR="00515C9D" w:rsidRDefault="00000000">
      <w:r>
        <w:rPr>
          <w:b/>
        </w:rPr>
        <w:t>Main Figures</w:t>
      </w:r>
    </w:p>
    <w:p w14:paraId="732796B4" w14:textId="77777777" w:rsidR="0055388C" w:rsidRPr="00B61F97" w:rsidRDefault="00000000">
      <w:pPr>
        <w:pStyle w:val="FirstParagraph"/>
      </w:pPr>
      <w:r w:rsidRPr="00B61F97">
        <w:t>Figure 3: Prefectural distribution of perioperative oral management (POFM) density (B001-2 + B001-3 claim counts per 100,000 population, FY2023).</w:t>
      </w:r>
    </w:p>
    <w:p w14:paraId="50CD73B2" w14:textId="77777777" w:rsidR="0055388C" w:rsidRDefault="00000000">
      <w:pPr>
        <w:pStyle w:val="CaptionedFigure"/>
      </w:pPr>
      <w:r>
        <w:rPr>
          <w:noProof/>
        </w:rPr>
        <w:lastRenderedPageBreak/>
        <w:drawing>
          <wp:inline distT="0" distB="0" distL="0" distR="0" wp14:anchorId="449E1F68" wp14:editId="0127A177">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74DC5AB0" w14:textId="77777777" w:rsidR="0055388C" w:rsidRDefault="00000000">
      <w:pPr>
        <w:pStyle w:val="ImageCaption"/>
      </w:pPr>
      <w:r>
        <w:t>Choropleth map of POFM density by prefecture</w:t>
      </w:r>
    </w:p>
    <w:p w14:paraId="449008C6" w14:textId="77777777" w:rsidR="0055388C" w:rsidRDefault="00000000">
      <w:pPr>
        <w:pStyle w:val="a0"/>
      </w:pPr>
      <w:r>
        <w:t>Figure 6: Local Indicators of Spatial Association (LISA) cluster map of POFM density across 47 Japanese prefectures (999 permutations, p &lt; 0.05). Red = High-High (HH, n=3); Blue = Low-Low (LL, n=3); Light blue = Low-High (LH, n=1); Grey = Not significant (n=40).</w:t>
      </w:r>
    </w:p>
    <w:p w14:paraId="64AD7110" w14:textId="77777777" w:rsidR="0055388C" w:rsidRDefault="00000000">
      <w:pPr>
        <w:pStyle w:val="CaptionedFigure"/>
      </w:pPr>
      <w:r>
        <w:rPr>
          <w:noProof/>
        </w:rPr>
        <w:lastRenderedPageBreak/>
        <w:drawing>
          <wp:inline distT="0" distB="0" distL="0" distR="0" wp14:anchorId="686A0D0C" wp14:editId="478375C1">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6CD76A8C" w14:textId="77777777" w:rsidR="0055388C" w:rsidRDefault="00000000">
      <w:pPr>
        <w:pStyle w:val="ImageCaption"/>
      </w:pPr>
      <w:r>
        <w:t>LISA cluster map of POFM density</w:t>
      </w:r>
    </w:p>
    <w:p w14:paraId="1F1F60BE" w14:textId="77777777" w:rsidR="00515C9D" w:rsidRDefault="00515C9D"/>
    <w:p w14:paraId="11CF1173" w14:textId="77777777" w:rsidR="00515C9D" w:rsidRDefault="00000000">
      <w:r>
        <w:rPr>
          <w:b/>
        </w:rPr>
        <w:t>Appendix</w:t>
      </w:r>
    </w:p>
    <w:p w14:paraId="4FDD13A3" w14:textId="77777777" w:rsidR="0055388C" w:rsidRDefault="00000000">
      <w:pPr>
        <w:pStyle w:val="FirstParagraph"/>
      </w:pPr>
      <w:r>
        <w:t>Appendix Table A1. Selected Spatial Lag Model (SLM) results</w:t>
      </w:r>
    </w:p>
    <w:tbl>
      <w:tblPr>
        <w:tblStyle w:val="Table"/>
        <w:tblW w:w="0" w:type="auto"/>
        <w:tblLook w:val="0020" w:firstRow="1" w:lastRow="0" w:firstColumn="0" w:lastColumn="0" w:noHBand="0" w:noVBand="0"/>
      </w:tblPr>
      <w:tblGrid>
        <w:gridCol w:w="2909"/>
        <w:gridCol w:w="1251"/>
        <w:gridCol w:w="1237"/>
        <w:gridCol w:w="992"/>
      </w:tblGrid>
      <w:tr w:rsidR="0055388C" w14:paraId="39999EDF"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6F472A28" w14:textId="77777777" w:rsidR="0055388C" w:rsidRDefault="00000000">
            <w:pPr>
              <w:pStyle w:val="Compact"/>
            </w:pPr>
            <w:r>
              <w:t>Parameter</w:t>
            </w:r>
          </w:p>
        </w:tc>
        <w:tc>
          <w:tcPr>
            <w:tcW w:w="0" w:type="auto"/>
          </w:tcPr>
          <w:p w14:paraId="1829277C" w14:textId="77777777" w:rsidR="0055388C" w:rsidRDefault="00000000">
            <w:pPr>
              <w:pStyle w:val="Compact"/>
            </w:pPr>
            <w:r>
              <w:t>Estimate</w:t>
            </w:r>
          </w:p>
        </w:tc>
        <w:tc>
          <w:tcPr>
            <w:tcW w:w="0" w:type="auto"/>
          </w:tcPr>
          <w:p w14:paraId="7DDC89B3" w14:textId="77777777" w:rsidR="0055388C" w:rsidRDefault="00000000">
            <w:pPr>
              <w:pStyle w:val="Compact"/>
            </w:pPr>
            <w:r>
              <w:t>z-statistic</w:t>
            </w:r>
          </w:p>
        </w:tc>
        <w:tc>
          <w:tcPr>
            <w:tcW w:w="0" w:type="auto"/>
          </w:tcPr>
          <w:p w14:paraId="109B8713" w14:textId="77777777" w:rsidR="0055388C" w:rsidRDefault="00000000">
            <w:pPr>
              <w:pStyle w:val="Compact"/>
            </w:pPr>
            <w:r>
              <w:t>p-value</w:t>
            </w:r>
          </w:p>
        </w:tc>
      </w:tr>
      <w:tr w:rsidR="0055388C" w14:paraId="48987873" w14:textId="77777777">
        <w:tc>
          <w:tcPr>
            <w:tcW w:w="0" w:type="auto"/>
          </w:tcPr>
          <w:p w14:paraId="5570A8FA" w14:textId="77777777" w:rsidR="0055388C" w:rsidRDefault="00000000">
            <w:pPr>
              <w:pStyle w:val="Compact"/>
            </w:pPr>
            <w:r>
              <w:t>Spatial lag (ρ)</w:t>
            </w:r>
          </w:p>
        </w:tc>
        <w:tc>
          <w:tcPr>
            <w:tcW w:w="0" w:type="auto"/>
          </w:tcPr>
          <w:p w14:paraId="5E0F6219" w14:textId="77777777" w:rsidR="0055388C" w:rsidRDefault="00000000">
            <w:pPr>
              <w:pStyle w:val="Compact"/>
            </w:pPr>
            <w:r>
              <w:t>0.354</w:t>
            </w:r>
          </w:p>
        </w:tc>
        <w:tc>
          <w:tcPr>
            <w:tcW w:w="0" w:type="auto"/>
          </w:tcPr>
          <w:p w14:paraId="0F334CC6" w14:textId="77777777" w:rsidR="0055388C" w:rsidRDefault="00000000">
            <w:pPr>
              <w:pStyle w:val="Compact"/>
            </w:pPr>
            <w:r>
              <w:t>3.14</w:t>
            </w:r>
          </w:p>
        </w:tc>
        <w:tc>
          <w:tcPr>
            <w:tcW w:w="0" w:type="auto"/>
          </w:tcPr>
          <w:p w14:paraId="3E150CCA" w14:textId="77777777" w:rsidR="0055388C" w:rsidRDefault="00000000">
            <w:pPr>
              <w:pStyle w:val="Compact"/>
            </w:pPr>
            <w:r>
              <w:rPr>
                <w:b/>
                <w:bCs/>
              </w:rPr>
              <w:t>0.002</w:t>
            </w:r>
          </w:p>
        </w:tc>
      </w:tr>
      <w:tr w:rsidR="0055388C" w14:paraId="4FFA393C" w14:textId="77777777">
        <w:tc>
          <w:tcPr>
            <w:tcW w:w="0" w:type="auto"/>
          </w:tcPr>
          <w:p w14:paraId="1C51B02B" w14:textId="77777777" w:rsidR="0055388C" w:rsidRDefault="00000000">
            <w:pPr>
              <w:pStyle w:val="Compact"/>
            </w:pPr>
            <w:r>
              <w:t>Cancer surgery density (β)</w:t>
            </w:r>
          </w:p>
        </w:tc>
        <w:tc>
          <w:tcPr>
            <w:tcW w:w="0" w:type="auto"/>
          </w:tcPr>
          <w:p w14:paraId="04E013AD" w14:textId="77777777" w:rsidR="0055388C" w:rsidRDefault="00000000">
            <w:pPr>
              <w:pStyle w:val="Compact"/>
            </w:pPr>
            <w:r>
              <w:t>114.2</w:t>
            </w:r>
          </w:p>
        </w:tc>
        <w:tc>
          <w:tcPr>
            <w:tcW w:w="0" w:type="auto"/>
          </w:tcPr>
          <w:p w14:paraId="235F9437" w14:textId="77777777" w:rsidR="0055388C" w:rsidRDefault="00000000">
            <w:pPr>
              <w:pStyle w:val="Compact"/>
            </w:pPr>
            <w:r>
              <w:t>0.79</w:t>
            </w:r>
          </w:p>
        </w:tc>
        <w:tc>
          <w:tcPr>
            <w:tcW w:w="0" w:type="auto"/>
          </w:tcPr>
          <w:p w14:paraId="24C5B695" w14:textId="77777777" w:rsidR="0055388C" w:rsidRDefault="00000000">
            <w:pPr>
              <w:pStyle w:val="Compact"/>
            </w:pPr>
            <w:r>
              <w:t>0.431</w:t>
            </w:r>
          </w:p>
        </w:tc>
      </w:tr>
      <w:tr w:rsidR="0055388C" w14:paraId="1E911311" w14:textId="77777777">
        <w:tc>
          <w:tcPr>
            <w:tcW w:w="0" w:type="auto"/>
          </w:tcPr>
          <w:p w14:paraId="4D729B19" w14:textId="77777777" w:rsidR="0055388C" w:rsidRDefault="00000000">
            <w:pPr>
              <w:pStyle w:val="Compact"/>
            </w:pPr>
            <w:r>
              <w:t>Aging rate (β)</w:t>
            </w:r>
          </w:p>
        </w:tc>
        <w:tc>
          <w:tcPr>
            <w:tcW w:w="0" w:type="auto"/>
          </w:tcPr>
          <w:p w14:paraId="40B4E1ED" w14:textId="77777777" w:rsidR="0055388C" w:rsidRDefault="00000000">
            <w:pPr>
              <w:pStyle w:val="Compact"/>
            </w:pPr>
            <w:r>
              <w:t>−1,562.2</w:t>
            </w:r>
          </w:p>
        </w:tc>
        <w:tc>
          <w:tcPr>
            <w:tcW w:w="0" w:type="auto"/>
          </w:tcPr>
          <w:p w14:paraId="764C24C0" w14:textId="77777777" w:rsidR="0055388C" w:rsidRDefault="00000000">
            <w:pPr>
              <w:pStyle w:val="Compact"/>
            </w:pPr>
            <w:r>
              <w:t>−0.87</w:t>
            </w:r>
          </w:p>
        </w:tc>
        <w:tc>
          <w:tcPr>
            <w:tcW w:w="0" w:type="auto"/>
          </w:tcPr>
          <w:p w14:paraId="622AC9EA" w14:textId="77777777" w:rsidR="0055388C" w:rsidRDefault="00000000">
            <w:pPr>
              <w:pStyle w:val="Compact"/>
            </w:pPr>
            <w:r>
              <w:t>0.385</w:t>
            </w:r>
          </w:p>
        </w:tc>
      </w:tr>
      <w:tr w:rsidR="0055388C" w14:paraId="23EFF2AB" w14:textId="77777777">
        <w:tc>
          <w:tcPr>
            <w:tcW w:w="0" w:type="auto"/>
          </w:tcPr>
          <w:p w14:paraId="3E952CB9" w14:textId="77777777" w:rsidR="0055388C" w:rsidRDefault="00000000">
            <w:pPr>
              <w:pStyle w:val="Compact"/>
            </w:pPr>
            <w:r>
              <w:t>Per-capita income (β)</w:t>
            </w:r>
          </w:p>
        </w:tc>
        <w:tc>
          <w:tcPr>
            <w:tcW w:w="0" w:type="auto"/>
          </w:tcPr>
          <w:p w14:paraId="7BE17BDC" w14:textId="77777777" w:rsidR="0055388C" w:rsidRDefault="00000000">
            <w:pPr>
              <w:pStyle w:val="Compact"/>
            </w:pPr>
            <w:r>
              <w:t>−6.2</w:t>
            </w:r>
          </w:p>
        </w:tc>
        <w:tc>
          <w:tcPr>
            <w:tcW w:w="0" w:type="auto"/>
          </w:tcPr>
          <w:p w14:paraId="1459B224" w14:textId="77777777" w:rsidR="0055388C" w:rsidRDefault="00000000">
            <w:pPr>
              <w:pStyle w:val="Compact"/>
            </w:pPr>
            <w:r>
              <w:t>−0.33</w:t>
            </w:r>
          </w:p>
        </w:tc>
        <w:tc>
          <w:tcPr>
            <w:tcW w:w="0" w:type="auto"/>
          </w:tcPr>
          <w:p w14:paraId="5013D56F" w14:textId="77777777" w:rsidR="0055388C" w:rsidRDefault="00000000">
            <w:pPr>
              <w:pStyle w:val="Compact"/>
            </w:pPr>
            <w:r>
              <w:t>0.742</w:t>
            </w:r>
          </w:p>
        </w:tc>
      </w:tr>
      <w:tr w:rsidR="0055388C" w14:paraId="70078F09" w14:textId="77777777">
        <w:tc>
          <w:tcPr>
            <w:tcW w:w="0" w:type="auto"/>
          </w:tcPr>
          <w:p w14:paraId="473D60D0" w14:textId="77777777" w:rsidR="0055388C" w:rsidRDefault="00000000">
            <w:pPr>
              <w:pStyle w:val="Compact"/>
            </w:pPr>
            <w:r>
              <w:t>Population density (β)</w:t>
            </w:r>
          </w:p>
        </w:tc>
        <w:tc>
          <w:tcPr>
            <w:tcW w:w="0" w:type="auto"/>
          </w:tcPr>
          <w:p w14:paraId="18B7EB79" w14:textId="77777777" w:rsidR="0055388C" w:rsidRDefault="00000000">
            <w:pPr>
              <w:pStyle w:val="Compact"/>
            </w:pPr>
            <w:r>
              <w:t>8.1</w:t>
            </w:r>
          </w:p>
        </w:tc>
        <w:tc>
          <w:tcPr>
            <w:tcW w:w="0" w:type="auto"/>
          </w:tcPr>
          <w:p w14:paraId="62D1479D" w14:textId="77777777" w:rsidR="0055388C" w:rsidRDefault="00000000">
            <w:pPr>
              <w:pStyle w:val="Compact"/>
            </w:pPr>
            <w:r>
              <w:t>1.81</w:t>
            </w:r>
          </w:p>
        </w:tc>
        <w:tc>
          <w:tcPr>
            <w:tcW w:w="0" w:type="auto"/>
          </w:tcPr>
          <w:p w14:paraId="11B536E4" w14:textId="77777777" w:rsidR="0055388C" w:rsidRDefault="00000000">
            <w:pPr>
              <w:pStyle w:val="Compact"/>
            </w:pPr>
            <w:r>
              <w:t>0.071</w:t>
            </w:r>
          </w:p>
        </w:tc>
      </w:tr>
      <w:tr w:rsidR="0055388C" w14:paraId="00BB11B8" w14:textId="77777777">
        <w:tc>
          <w:tcPr>
            <w:tcW w:w="0" w:type="auto"/>
          </w:tcPr>
          <w:p w14:paraId="6D072DAD" w14:textId="77777777" w:rsidR="0055388C" w:rsidRDefault="00000000">
            <w:pPr>
              <w:pStyle w:val="Compact"/>
            </w:pPr>
            <w:r>
              <w:t>Constant</w:t>
            </w:r>
          </w:p>
        </w:tc>
        <w:tc>
          <w:tcPr>
            <w:tcW w:w="0" w:type="auto"/>
          </w:tcPr>
          <w:p w14:paraId="477024C8" w14:textId="77777777" w:rsidR="0055388C" w:rsidRDefault="00000000">
            <w:pPr>
              <w:pStyle w:val="Compact"/>
            </w:pPr>
            <w:r>
              <w:t>103,519.5</w:t>
            </w:r>
          </w:p>
        </w:tc>
        <w:tc>
          <w:tcPr>
            <w:tcW w:w="0" w:type="auto"/>
          </w:tcPr>
          <w:p w14:paraId="343FEBE4" w14:textId="77777777" w:rsidR="0055388C" w:rsidRDefault="00000000">
            <w:pPr>
              <w:pStyle w:val="Compact"/>
            </w:pPr>
            <w:r>
              <w:t>1.17</w:t>
            </w:r>
          </w:p>
        </w:tc>
        <w:tc>
          <w:tcPr>
            <w:tcW w:w="0" w:type="auto"/>
          </w:tcPr>
          <w:p w14:paraId="13495E80" w14:textId="77777777" w:rsidR="0055388C" w:rsidRDefault="00000000">
            <w:pPr>
              <w:pStyle w:val="Compact"/>
            </w:pPr>
            <w:r>
              <w:t>0.241</w:t>
            </w:r>
          </w:p>
        </w:tc>
      </w:tr>
      <w:tr w:rsidR="0055388C" w14:paraId="2D6EF792" w14:textId="77777777">
        <w:tc>
          <w:tcPr>
            <w:tcW w:w="0" w:type="auto"/>
          </w:tcPr>
          <w:p w14:paraId="23A382AF" w14:textId="77777777" w:rsidR="0055388C" w:rsidRDefault="00000000">
            <w:pPr>
              <w:pStyle w:val="Compact"/>
            </w:pPr>
            <w:r>
              <w:t>Pseudo-R²</w:t>
            </w:r>
          </w:p>
        </w:tc>
        <w:tc>
          <w:tcPr>
            <w:tcW w:w="0" w:type="auto"/>
          </w:tcPr>
          <w:p w14:paraId="52D927F3" w14:textId="77777777" w:rsidR="0055388C" w:rsidRDefault="00000000">
            <w:pPr>
              <w:pStyle w:val="Compact"/>
            </w:pPr>
            <w:r>
              <w:t>0.350</w:t>
            </w:r>
          </w:p>
        </w:tc>
        <w:tc>
          <w:tcPr>
            <w:tcW w:w="0" w:type="auto"/>
          </w:tcPr>
          <w:p w14:paraId="6FDE7957" w14:textId="77777777" w:rsidR="0055388C" w:rsidRDefault="00000000">
            <w:pPr>
              <w:pStyle w:val="Compact"/>
            </w:pPr>
            <w:r>
              <w:t>—</w:t>
            </w:r>
          </w:p>
        </w:tc>
        <w:tc>
          <w:tcPr>
            <w:tcW w:w="0" w:type="auto"/>
          </w:tcPr>
          <w:p w14:paraId="44E201E1" w14:textId="77777777" w:rsidR="0055388C" w:rsidRDefault="00000000">
            <w:pPr>
              <w:pStyle w:val="Compact"/>
            </w:pPr>
            <w:r>
              <w:t>—</w:t>
            </w:r>
          </w:p>
        </w:tc>
      </w:tr>
      <w:tr w:rsidR="0055388C" w14:paraId="10CAE0CC" w14:textId="77777777">
        <w:tc>
          <w:tcPr>
            <w:tcW w:w="0" w:type="auto"/>
          </w:tcPr>
          <w:p w14:paraId="151C65EC" w14:textId="77777777" w:rsidR="0055388C" w:rsidRDefault="00000000">
            <w:pPr>
              <w:pStyle w:val="Compact"/>
            </w:pPr>
            <w:r>
              <w:lastRenderedPageBreak/>
              <w:t>AIC</w:t>
            </w:r>
          </w:p>
        </w:tc>
        <w:tc>
          <w:tcPr>
            <w:tcW w:w="0" w:type="auto"/>
          </w:tcPr>
          <w:p w14:paraId="7D7EC5F4" w14:textId="77777777" w:rsidR="0055388C" w:rsidRDefault="00000000">
            <w:pPr>
              <w:pStyle w:val="Compact"/>
            </w:pPr>
            <w:r>
              <w:t>1,081.1</w:t>
            </w:r>
          </w:p>
        </w:tc>
        <w:tc>
          <w:tcPr>
            <w:tcW w:w="0" w:type="auto"/>
          </w:tcPr>
          <w:p w14:paraId="037D1CD4" w14:textId="77777777" w:rsidR="0055388C" w:rsidRDefault="00000000">
            <w:pPr>
              <w:pStyle w:val="Compact"/>
            </w:pPr>
            <w:r>
              <w:t>—</w:t>
            </w:r>
          </w:p>
        </w:tc>
        <w:tc>
          <w:tcPr>
            <w:tcW w:w="0" w:type="auto"/>
          </w:tcPr>
          <w:p w14:paraId="71C795CD" w14:textId="77777777" w:rsidR="0055388C" w:rsidRDefault="00000000">
            <w:pPr>
              <w:pStyle w:val="Compact"/>
            </w:pPr>
            <w:r>
              <w:t>—</w:t>
            </w:r>
          </w:p>
        </w:tc>
      </w:tr>
      <w:tr w:rsidR="0055388C" w14:paraId="2CCFE8E3" w14:textId="77777777">
        <w:tc>
          <w:tcPr>
            <w:tcW w:w="0" w:type="auto"/>
          </w:tcPr>
          <w:p w14:paraId="521EA762" w14:textId="77777777" w:rsidR="0055388C" w:rsidRDefault="00000000">
            <w:pPr>
              <w:pStyle w:val="Compact"/>
            </w:pPr>
            <w:r>
              <w:t>Log-likelihood</w:t>
            </w:r>
          </w:p>
        </w:tc>
        <w:tc>
          <w:tcPr>
            <w:tcW w:w="0" w:type="auto"/>
          </w:tcPr>
          <w:p w14:paraId="7D083A0F" w14:textId="77777777" w:rsidR="0055388C" w:rsidRDefault="00000000">
            <w:pPr>
              <w:pStyle w:val="Compact"/>
            </w:pPr>
            <w:r>
              <w:t>−534.5</w:t>
            </w:r>
          </w:p>
        </w:tc>
        <w:tc>
          <w:tcPr>
            <w:tcW w:w="0" w:type="auto"/>
          </w:tcPr>
          <w:p w14:paraId="3FA83B06" w14:textId="77777777" w:rsidR="0055388C" w:rsidRDefault="00000000">
            <w:pPr>
              <w:pStyle w:val="Compact"/>
            </w:pPr>
            <w:r>
              <w:t>—</w:t>
            </w:r>
          </w:p>
        </w:tc>
        <w:tc>
          <w:tcPr>
            <w:tcW w:w="0" w:type="auto"/>
          </w:tcPr>
          <w:p w14:paraId="33ED2C79" w14:textId="77777777" w:rsidR="0055388C" w:rsidRDefault="00000000">
            <w:pPr>
              <w:pStyle w:val="Compact"/>
            </w:pPr>
            <w:r>
              <w:t>—</w:t>
            </w:r>
          </w:p>
        </w:tc>
      </w:tr>
      <w:tr w:rsidR="0055388C" w14:paraId="05082A7C" w14:textId="77777777">
        <w:tc>
          <w:tcPr>
            <w:tcW w:w="0" w:type="auto"/>
          </w:tcPr>
          <w:p w14:paraId="3F261884" w14:textId="77777777" w:rsidR="0055388C" w:rsidRDefault="00000000">
            <w:pPr>
              <w:pStyle w:val="Compact"/>
            </w:pPr>
            <w:r>
              <w:t>n</w:t>
            </w:r>
          </w:p>
        </w:tc>
        <w:tc>
          <w:tcPr>
            <w:tcW w:w="0" w:type="auto"/>
          </w:tcPr>
          <w:p w14:paraId="338767CE" w14:textId="77777777" w:rsidR="0055388C" w:rsidRDefault="00000000">
            <w:pPr>
              <w:pStyle w:val="Compact"/>
            </w:pPr>
            <w:r>
              <w:t>47</w:t>
            </w:r>
          </w:p>
        </w:tc>
        <w:tc>
          <w:tcPr>
            <w:tcW w:w="0" w:type="auto"/>
          </w:tcPr>
          <w:p w14:paraId="6CA61A3B" w14:textId="77777777" w:rsidR="0055388C" w:rsidRDefault="00000000">
            <w:pPr>
              <w:pStyle w:val="Compact"/>
            </w:pPr>
            <w:r>
              <w:t>—</w:t>
            </w:r>
          </w:p>
        </w:tc>
        <w:tc>
          <w:tcPr>
            <w:tcW w:w="0" w:type="auto"/>
          </w:tcPr>
          <w:p w14:paraId="3B4945D1" w14:textId="77777777" w:rsidR="0055388C" w:rsidRDefault="00000000">
            <w:pPr>
              <w:pStyle w:val="Compact"/>
            </w:pPr>
            <w:r>
              <w:t>—</w:t>
            </w:r>
          </w:p>
        </w:tc>
      </w:tr>
    </w:tbl>
    <w:p w14:paraId="25529C6F" w14:textId="77777777" w:rsidR="0055388C" w:rsidRDefault="00000000">
      <w:pPr>
        <w:pStyle w:val="a0"/>
      </w:pPr>
      <w:r>
        <w:t>All model coefficients, the spatial lag parameter (ρ), and model fit statistics are reported. HC3 robust standard errors were not applied to the SLM (maximum likelihood estimation). Adjusted for aging rate, per-capita income, and population density.</w:t>
      </w:r>
    </w:p>
    <w:p w14:paraId="6D480971" w14:textId="77777777" w:rsidR="0055388C" w:rsidRDefault="00000000">
      <w:r>
        <w:pict w14:anchorId="19493DBD">
          <v:rect id="_x0000_i1034" style="width:0;height:1.5pt" o:hralign="center" o:hrstd="t" o:hr="t"/>
        </w:pict>
      </w:r>
    </w:p>
    <w:p w14:paraId="7F9F19F3" w14:textId="77777777" w:rsidR="00515C9D" w:rsidRDefault="00000000">
      <w:r>
        <w:rPr>
          <w:b/>
        </w:rPr>
        <w:t>Appendix Figures</w:t>
      </w:r>
    </w:p>
    <w:p w14:paraId="15B380AE" w14:textId="77777777" w:rsidR="0055388C" w:rsidRDefault="00000000">
      <w:pPr>
        <w:pStyle w:val="FirstParagraph"/>
      </w:pPr>
      <w:r>
        <w:t>Appendix Figure A1: Conceptual framework for need-driven versus supply-driven POFM implementation under universal health coverage.</w:t>
      </w:r>
    </w:p>
    <w:p w14:paraId="225C615D" w14:textId="77777777" w:rsidR="0055388C" w:rsidRDefault="00000000">
      <w:pPr>
        <w:pStyle w:val="FirstParagraph"/>
        <w:jc w:val="center"/>
      </w:pPr>
      <w:r>
        <w:rPr>
          <w:noProof/>
        </w:rPr>
        <w:drawing>
          <wp:inline distT="0" distB="0" distL="0" distR="0" wp14:anchorId="29D24039" wp14:editId="01F685E8">
            <wp:extent cx="5852160" cy="2833677"/>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supply_need_pofm.png"/>
                    <pic:cNvPicPr/>
                  </pic:nvPicPr>
                  <pic:blipFill>
                    <a:blip r:embed="rId9"/>
                    <a:stretch>
                      <a:fillRect/>
                    </a:stretch>
                  </pic:blipFill>
                  <pic:spPr>
                    <a:xfrm>
                      <a:off x="0" y="0"/>
                      <a:ext cx="5852160" cy="2833677"/>
                    </a:xfrm>
                    <a:prstGeom prst="rect">
                      <a:avLst/>
                    </a:prstGeom>
                  </pic:spPr>
                </pic:pic>
              </a:graphicData>
            </a:graphic>
          </wp:inline>
        </w:drawing>
      </w:r>
    </w:p>
    <w:p w14:paraId="4D0FF192" w14:textId="77777777" w:rsidR="0055388C" w:rsidRPr="00B61F97" w:rsidRDefault="00000000">
      <w:pPr>
        <w:pStyle w:val="a0"/>
      </w:pPr>
      <w:r w:rsidRPr="00B61F97">
        <w:t>Appendix Figure A2: Scatter plot of prefectural dentist density (dentists per 100,000 population, 2022) vs. POFM density (B001-2 + B001-3 per 100,000 population, FY2023) across 47 Japanese prefectures. Red labels = High-High LISA clusters (Hyogo, Okayama, Saga); Blue labels = Low-Low LISA clusters (Hokkaido, Iwate, Okinawa).</w:t>
      </w:r>
    </w:p>
    <w:p w14:paraId="77B33E22" w14:textId="77777777" w:rsidR="0055388C" w:rsidRDefault="00000000">
      <w:pPr>
        <w:pStyle w:val="CaptionedFigure"/>
      </w:pPr>
      <w:r>
        <w:rPr>
          <w:noProof/>
        </w:rPr>
        <w:lastRenderedPageBreak/>
        <w:drawing>
          <wp:inline distT="0" distB="0" distL="0" distR="0" wp14:anchorId="697BB56C" wp14:editId="49EBED84">
            <wp:extent cx="4000500" cy="3097354"/>
            <wp:effectExtent l="0" t="0" r="0" b="0"/>
            <wp:docPr id="135" name="Picture" descr="Scatter plot of dentist density vs. POFM density"/>
            <wp:cNvGraphicFramePr/>
            <a:graphic xmlns:a="http://schemas.openxmlformats.org/drawingml/2006/main">
              <a:graphicData uri="http://schemas.openxmlformats.org/drawingml/2006/picture">
                <pic:pic xmlns:pic="http://schemas.openxmlformats.org/drawingml/2006/picture">
                  <pic:nvPicPr>
                    <pic:cNvPr id="136" name="Picture" descr="../results/figures/scatter_dentist_vs_dental.png"/>
                    <pic:cNvPicPr>
                      <a:picLocks noChangeAspect="1" noChangeArrowheads="1"/>
                    </pic:cNvPicPr>
                  </pic:nvPicPr>
                  <pic:blipFill>
                    <a:blip r:embed="rId10"/>
                    <a:stretch>
                      <a:fillRect/>
                    </a:stretch>
                  </pic:blipFill>
                  <pic:spPr bwMode="auto">
                    <a:xfrm>
                      <a:off x="0" y="0"/>
                      <a:ext cx="4000500" cy="3097354"/>
                    </a:xfrm>
                    <a:prstGeom prst="rect">
                      <a:avLst/>
                    </a:prstGeom>
                    <a:noFill/>
                    <a:ln w="9525">
                      <a:noFill/>
                      <a:headEnd/>
                      <a:tailEnd/>
                    </a:ln>
                  </pic:spPr>
                </pic:pic>
              </a:graphicData>
            </a:graphic>
          </wp:inline>
        </w:drawing>
      </w:r>
    </w:p>
    <w:p w14:paraId="3263A539" w14:textId="77777777" w:rsidR="0055388C" w:rsidRDefault="00000000">
      <w:pPr>
        <w:pStyle w:val="a0"/>
      </w:pPr>
      <w:r>
        <w:t>Appendix Figure A4: Scatter plot of cancer surgery density vs. POFM density by prefecture (N = 47). The dashed line indicates the OLS regression fit (β = 98.3, p = 0.510).</w:t>
      </w:r>
    </w:p>
    <w:p w14:paraId="33C653C0" w14:textId="77777777" w:rsidR="0055388C" w:rsidRDefault="00000000">
      <w:pPr>
        <w:pStyle w:val="CaptionedFigure"/>
      </w:pPr>
      <w:r>
        <w:rPr>
          <w:noProof/>
        </w:rPr>
        <w:drawing>
          <wp:inline distT="0" distB="0" distL="0" distR="0" wp14:anchorId="7B03C667" wp14:editId="5ADF5B5F">
            <wp:extent cx="4000500" cy="3083874"/>
            <wp:effectExtent l="0" t="0" r="0" b="0"/>
            <wp:docPr id="126" name="Picture" descr="Scatter plot of cancer surgery density vs. POFM density"/>
            <wp:cNvGraphicFramePr/>
            <a:graphic xmlns:a="http://schemas.openxmlformats.org/drawingml/2006/main">
              <a:graphicData uri="http://schemas.openxmlformats.org/drawingml/2006/picture">
                <pic:pic xmlns:pic="http://schemas.openxmlformats.org/drawingml/2006/picture">
                  <pic:nvPicPr>
                    <pic:cNvPr id="127" name="Picture" descr="../results/figures/scatter_surgery_vs_dental.png"/>
                    <pic:cNvPicPr>
                      <a:picLocks noChangeAspect="1" noChangeArrowheads="1"/>
                    </pic:cNvPicPr>
                  </pic:nvPicPr>
                  <pic:blipFill>
                    <a:blip r:embed="rId11"/>
                    <a:stretch>
                      <a:fillRect/>
                    </a:stretch>
                  </pic:blipFill>
                  <pic:spPr bwMode="auto">
                    <a:xfrm>
                      <a:off x="0" y="0"/>
                      <a:ext cx="4000500" cy="3083874"/>
                    </a:xfrm>
                    <a:prstGeom prst="rect">
                      <a:avLst/>
                    </a:prstGeom>
                    <a:noFill/>
                    <a:ln w="9525">
                      <a:noFill/>
                      <a:headEnd/>
                      <a:tailEnd/>
                    </a:ln>
                  </pic:spPr>
                </pic:pic>
              </a:graphicData>
            </a:graphic>
          </wp:inline>
        </w:drawing>
      </w:r>
    </w:p>
    <w:p w14:paraId="5A87B0A2" w14:textId="77777777" w:rsidR="0055388C" w:rsidRDefault="00000000">
      <w:pPr>
        <w:pStyle w:val="ImageCaption"/>
      </w:pPr>
      <w:r>
        <w:t>Scatter plot of cancer surgery density vs. POFM density</w:t>
      </w:r>
    </w:p>
    <w:p w14:paraId="2290266C" w14:textId="77777777" w:rsidR="0055388C" w:rsidRDefault="00000000">
      <w:pPr>
        <w:pStyle w:val="a0"/>
      </w:pPr>
      <w:r>
        <w:lastRenderedPageBreak/>
        <w:t>Appendix Figure A5: Forest plot of cancer surgery density regression coefficients across seven sensitivity analysis specifications. Bars represent 95% confidence intervals. Red = p&lt;0.05; Blue = p≥0.05.</w:t>
      </w:r>
    </w:p>
    <w:p w14:paraId="0F1EC279" w14:textId="77777777" w:rsidR="0055388C" w:rsidRDefault="00000000">
      <w:pPr>
        <w:pStyle w:val="CaptionedFigure"/>
      </w:pPr>
      <w:r>
        <w:rPr>
          <w:noProof/>
        </w:rPr>
        <w:drawing>
          <wp:inline distT="0" distB="0" distL="0" distR="0" wp14:anchorId="45C13263" wp14:editId="1FB6E8DE">
            <wp:extent cx="4267200" cy="2827739"/>
            <wp:effectExtent l="0" t="0" r="0" b="0"/>
            <wp:docPr id="129" name="Picture" descr="Forest plot of sensitivity analysis coefficients"/>
            <wp:cNvGraphicFramePr/>
            <a:graphic xmlns:a="http://schemas.openxmlformats.org/drawingml/2006/main">
              <a:graphicData uri="http://schemas.openxmlformats.org/drawingml/2006/picture">
                <pic:pic xmlns:pic="http://schemas.openxmlformats.org/drawingml/2006/picture">
                  <pic:nvPicPr>
                    <pic:cNvPr id="130" name="Picture" descr="../results/figures/forest_sensitivity.png"/>
                    <pic:cNvPicPr>
                      <a:picLocks noChangeAspect="1" noChangeArrowheads="1"/>
                    </pic:cNvPicPr>
                  </pic:nvPicPr>
                  <pic:blipFill>
                    <a:blip r:embed="rId12"/>
                    <a:stretch>
                      <a:fillRect/>
                    </a:stretch>
                  </pic:blipFill>
                  <pic:spPr bwMode="auto">
                    <a:xfrm>
                      <a:off x="0" y="0"/>
                      <a:ext cx="4267200" cy="2827739"/>
                    </a:xfrm>
                    <a:prstGeom prst="rect">
                      <a:avLst/>
                    </a:prstGeom>
                    <a:noFill/>
                    <a:ln w="9525">
                      <a:noFill/>
                      <a:headEnd/>
                      <a:tailEnd/>
                    </a:ln>
                  </pic:spPr>
                </pic:pic>
              </a:graphicData>
            </a:graphic>
          </wp:inline>
        </w:drawing>
      </w:r>
    </w:p>
    <w:p w14:paraId="2A174924" w14:textId="77777777" w:rsidR="0055388C" w:rsidRDefault="00000000">
      <w:pPr>
        <w:pStyle w:val="ImageCaption"/>
      </w:pPr>
      <w:r>
        <w:t>Forest plot of sensitivity analysis coefficients</w:t>
      </w:r>
    </w:p>
    <w:p w14:paraId="5A5DB1DC" w14:textId="77777777" w:rsidR="0055388C" w:rsidRDefault="00000000">
      <w:pPr>
        <w:pStyle w:val="1"/>
      </w:pPr>
      <w:r>
        <w:t>Supplementary Figures</w:t>
      </w:r>
    </w:p>
    <w:p w14:paraId="577D1F36" w14:textId="77777777" w:rsidR="0055388C" w:rsidRDefault="00000000">
      <w:pPr>
        <w:pStyle w:val="a0"/>
      </w:pPr>
      <w:r>
        <w:t>Supplementary Figure S1: Prefectural distribution of major cancer surgery density (16 K-codes per 100,000 population, FY2023).</w:t>
      </w:r>
    </w:p>
    <w:p w14:paraId="76232FBC" w14:textId="77777777" w:rsidR="0055388C" w:rsidRDefault="00000000">
      <w:pPr>
        <w:pStyle w:val="CaptionedFigure"/>
      </w:pPr>
      <w:r>
        <w:rPr>
          <w:noProof/>
        </w:rPr>
        <w:lastRenderedPageBreak/>
        <w:drawing>
          <wp:inline distT="0" distB="0" distL="0" distR="0" wp14:anchorId="47104B83" wp14:editId="572DC9A3">
            <wp:extent cx="4267200" cy="3710541"/>
            <wp:effectExtent l="0" t="0" r="0" b="0"/>
            <wp:docPr id="123" name="Picture" descr="Choropleth map of cancer surgery density by prefecture"/>
            <wp:cNvGraphicFramePr/>
            <a:graphic xmlns:a="http://schemas.openxmlformats.org/drawingml/2006/main">
              <a:graphicData uri="http://schemas.openxmlformats.org/drawingml/2006/picture">
                <pic:pic xmlns:pic="http://schemas.openxmlformats.org/drawingml/2006/picture">
                  <pic:nvPicPr>
                    <pic:cNvPr id="124" name="Picture" descr="../results/figures/choropleth_cancer_surgery_rate.png"/>
                    <pic:cNvPicPr>
                      <a:picLocks noChangeAspect="1" noChangeArrowheads="1"/>
                    </pic:cNvPicPr>
                  </pic:nvPicPr>
                  <pic:blipFill>
                    <a:blip r:embed="rId13"/>
                    <a:stretch>
                      <a:fillRect/>
                    </a:stretch>
                  </pic:blipFill>
                  <pic:spPr bwMode="auto">
                    <a:xfrm>
                      <a:off x="0" y="0"/>
                      <a:ext cx="4267200" cy="3710541"/>
                    </a:xfrm>
                    <a:prstGeom prst="rect">
                      <a:avLst/>
                    </a:prstGeom>
                    <a:noFill/>
                    <a:ln w="9525">
                      <a:noFill/>
                      <a:headEnd/>
                      <a:tailEnd/>
                    </a:ln>
                  </pic:spPr>
                </pic:pic>
              </a:graphicData>
            </a:graphic>
          </wp:inline>
        </w:drawing>
      </w:r>
    </w:p>
    <w:p w14:paraId="3EEB2653" w14:textId="77777777" w:rsidR="0055388C" w:rsidRDefault="00000000">
      <w:pPr>
        <w:pStyle w:val="ImageCaption"/>
      </w:pPr>
      <w:r>
        <w:t>Cancer surgery density map by prefecture</w:t>
      </w:r>
    </w:p>
    <w:p w14:paraId="5E2A0EB3" w14:textId="77777777" w:rsidR="0055388C" w:rsidRDefault="00000000">
      <w:pPr>
        <w:pStyle w:val="ImageCaption"/>
      </w:pPr>
      <w:r>
        <w:t>Scatter plot of dentist density vs. POFM density</w:t>
      </w:r>
    </w:p>
    <w:sectPr w:rsidR="0055388C">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6D2C7" w14:textId="77777777" w:rsidR="001A3560" w:rsidRDefault="001A3560" w:rsidP="00C82DA5">
      <w:pPr>
        <w:spacing w:after="0"/>
      </w:pPr>
      <w:r>
        <w:separator/>
      </w:r>
    </w:p>
  </w:endnote>
  <w:endnote w:type="continuationSeparator" w:id="0">
    <w:p w14:paraId="58FCF956" w14:textId="77777777" w:rsidR="001A3560" w:rsidRDefault="001A3560"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62569" w14:textId="77777777" w:rsidR="001A3560" w:rsidRDefault="001A3560" w:rsidP="00C82DA5">
      <w:pPr>
        <w:spacing w:after="0"/>
      </w:pPr>
      <w:r>
        <w:separator/>
      </w:r>
    </w:p>
  </w:footnote>
  <w:footnote w:type="continuationSeparator" w:id="0">
    <w:p w14:paraId="1BC32081" w14:textId="77777777" w:rsidR="001A3560" w:rsidRDefault="001A3560"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1A3560"/>
    <w:rsid w:val="003E14E5"/>
    <w:rsid w:val="004844F4"/>
    <w:rsid w:val="00503C94"/>
    <w:rsid w:val="00515C9D"/>
    <w:rsid w:val="0055388C"/>
    <w:rsid w:val="005F29B9"/>
    <w:rsid w:val="006938A3"/>
    <w:rsid w:val="008E0C68"/>
    <w:rsid w:val="00A32CEB"/>
    <w:rsid w:val="00AC1394"/>
    <w:rsid w:val="00B61F97"/>
    <w:rsid w:val="00C82DA5"/>
    <w:rsid w:val="00EA41A2"/>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4E002F"/>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22</Pages>
  <Words>5300</Words>
  <Characters>30210</Characters>
  <Application>Microsoft Office Word</Application>
  <DocSecurity>0</DocSecurity>
  <Lines>251</Lines>
  <Paragraphs>70</Paragraphs>
  <ScaleCrop>false</ScaleCrop>
  <Company/>
  <LinksUpToDate>false</LinksUpToDate>
  <CharactersWithSpaces>35440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Dental Workforce Supply Rather Than Surgical Demand Drives Regional Disparities in Perioperative Oral Care: A Prefectural Ecological Analysis Using Japanese NDB Open Data</dc:title>
  <dc:creator>[REPLACE: corresponding author full name]</dc:creator>
  <cp:keywords/>
  <cp:lastModifiedBy>治輝 齋藤</cp:lastModifiedBy>
  <cp:revision>7</cp:revision>
  <dcterms:created xsi:type="dcterms:W3CDTF">2026-06-15T21:38:00Z</dcterms:created>
  <dcterms:modified xsi:type="dcterms:W3CDTF">2026-06-19T03:52:00Z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