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739B655E" w14:textId="77777777" w:rsidR="00515C9D" w:rsidRDefault="00000000">
      <w:bookmarkStart w:id="0" w:name="abstract"/>
      <w:r>
        <w:rPr>
          <w:b/>
        </w:rPr>
        <w:t>Highlights</w:t>
      </w:r>
    </w:p>
    <w:p w14:paraId="2B8CAFFA" w14:textId="77777777" w:rsidR="00515C9D" w:rsidRDefault="00000000">
      <w:r>
        <w:t>• POFM delivery varied 2.25-fold across 47 Japanese prefectures</w:t>
      </w:r>
    </w:p>
    <w:p w14:paraId="4F47C1CB" w14:textId="77777777" w:rsidR="00515C9D" w:rsidRDefault="00000000">
      <w:r>
        <w:t>• Cancer surgical demand was not associated with POFM (0/7 specifications)</w:t>
      </w:r>
    </w:p>
    <w:p w14:paraId="0EE25686" w14:textId="77777777" w:rsidR="00515C9D" w:rsidRDefault="00000000">
      <w:r>
        <w:t>• Dentist density was the strongest predictor of POFM (r = 0.617, p &lt; 0.0001)</w:t>
      </w:r>
    </w:p>
    <w:p w14:paraId="1C1E1AFD" w14:textId="77777777" w:rsidR="00515C9D" w:rsidRDefault="00000000">
      <w:r>
        <w:t>• Significant spatial clustering identified (Moran’s I = 0.210, p = 0.024)</w:t>
      </w:r>
    </w:p>
    <w:p w14:paraId="49FE1A40" w14:textId="77777777" w:rsidR="00515C9D" w:rsidRDefault="00000000">
      <w:r>
        <w:t>• Supply-side capacity, not surgical need, drives regional POFM inequity in Japan</w:t>
      </w:r>
    </w:p>
    <w:p w14:paraId="3441E7E3" w14:textId="77777777" w:rsidR="00515C9D" w:rsidRDefault="00515C9D"/>
    <w:p w14:paraId="5F69B2C0" w14:textId="77777777" w:rsidR="0055388C" w:rsidRDefault="00000000">
      <w:pPr>
        <w:pStyle w:val="1"/>
      </w:pPr>
      <w:r>
        <w:t>Abstract</w:t>
      </w:r>
    </w:p>
    <w:p w14:paraId="74FB4DEF" w14:textId="77777777" w:rsidR="0055388C" w:rsidRPr="00B61F97" w:rsidRDefault="00000000">
      <w:pPr>
        <w:pStyle w:val="FirstParagraph"/>
      </w:pPr>
      <w:r>
        <w:rPr>
          <w:b/>
          <w:bCs/>
        </w:rPr>
        <w:t xml:space="preserve">Background: </w:t>
      </w:r>
      <w:r w:rsidRPr="00B61F97">
        <w:t>Universal coverage should help align evidence-based care with clinical need, yet regional delivery may remain supply-sensitive. Perioperative oral functional management (POFM) is reimbursed in Japan, but whether provision reflects surgical need or delivery capacity remains unclear.</w:t>
      </w:r>
    </w:p>
    <w:p w14:paraId="67E9B006" w14:textId="49077832" w:rsidR="00515C9D" w:rsidRDefault="00000000">
      <w:r w:rsidRPr="003C1EF6">
        <w:rPr>
          <w:b/>
          <w:bCs/>
        </w:rPr>
        <w:t>Objectives:</w:t>
      </w:r>
      <w:r>
        <w:t xml:space="preserve"> To characteri</w:t>
      </w:r>
      <w:r w:rsidR="003C1EF6">
        <w:rPr>
          <w:rFonts w:hint="eastAsia"/>
          <w:lang w:eastAsia="ja-JP"/>
        </w:rPr>
        <w:t>z</w:t>
      </w:r>
      <w:r>
        <w:t>e prefectural variation in perioperative oral functional management (POFM) delivery across Japan, examine whether this variation was associated with cancer surgical demand or with dental workforce supply, and assess spatial clustering of POFM implementation.</w:t>
      </w:r>
    </w:p>
    <w:p w14:paraId="0B12CD18" w14:textId="77777777" w:rsidR="0055388C" w:rsidRPr="00B61F97" w:rsidRDefault="00000000">
      <w:pPr>
        <w:pStyle w:val="a0"/>
      </w:pPr>
      <w:r>
        <w:rPr>
          <w:b/>
          <w:bCs/>
        </w:rPr>
        <w:t>Methods:</w:t>
      </w:r>
      <w:r w:rsidRPr="00B61F97">
        <w:t xml:space="preserve"> We conducted a nationwide prefectural ecological study using the 10th NDB Open Data for fiscal year 2023. The outcome was POFM density, defined as annual claims for perioperative oral management fees per 100,000 population. The need-side exposure was major cancer surgery density based on 16 selected K-codes. We used OLS regression with HC3 robust standard errors, sensitivity analyses, Global Moran’s I, Lagrange Multiplier tests, and spatial regression.</w:t>
      </w:r>
    </w:p>
    <w:p w14:paraId="6B52CF4F" w14:textId="77777777" w:rsidR="0055388C" w:rsidRPr="00B61F97" w:rsidRDefault="00000000">
      <w:pPr>
        <w:pStyle w:val="a0"/>
      </w:pPr>
      <w:r>
        <w:rPr>
          <w:b/>
          <w:bCs/>
        </w:rPr>
        <w:t>Results:</w:t>
      </w:r>
      <w:r w:rsidRPr="00B61F97">
        <w:t xml:space="preserve"> Across 47 prefectures, POFM density ranged from 68,804 to 154,850 claims per 100,000 population, a 2.25-fold difference. Cancer surgery density was not significantly associated with POFM density in unadjusted or adjusted OLS models and was non-significant across all seven sensitivity specifications (0/7 significant). Dentist </w:t>
      </w:r>
      <w:r w:rsidRPr="00B61F97">
        <w:lastRenderedPageBreak/>
        <w:t>density showed the strongest bivariate association with POFM density (r = 0.617, p &lt; 0.0001). POFM density showed significant spatial autocorrelation (Moran’s I = 0.210, p = 0.024). The selected Spatial Lag Model yielded a significant spatial autoregressive coefficient (ρ = 0.354, p = 0.002), while cancer surgery density remained non-significant.</w:t>
      </w:r>
    </w:p>
    <w:p w14:paraId="62E7EF60" w14:textId="77777777" w:rsidR="0055388C" w:rsidRPr="00B61F97" w:rsidRDefault="00000000">
      <w:pPr>
        <w:pStyle w:val="a0"/>
      </w:pPr>
      <w:r>
        <w:rPr>
          <w:b/>
          <w:bCs/>
        </w:rPr>
        <w:t xml:space="preserve">Conclusions: </w:t>
      </w:r>
      <w:r w:rsidRPr="00B61F97">
        <w:t>POFM may represent a case study of supply-sensitive implementation under universal coverage. Formal reimbursement alone may be insufficient to ensure need-based delivery of evidence-based care; implementation capacity appears equally important. Reducing inequity may require pairing reimbursement with workforce, hospital-dental collaboration, and knowledge-transfer strategies.</w:t>
      </w:r>
    </w:p>
    <w:p w14:paraId="76D72271" w14:textId="77777777" w:rsidR="0055388C" w:rsidRPr="00B61F97" w:rsidRDefault="00000000">
      <w:pPr>
        <w:pStyle w:val="a0"/>
      </w:pPr>
      <w:r>
        <w:rPr>
          <w:b/>
          <w:bCs/>
        </w:rPr>
        <w:t xml:space="preserve">Keywords: </w:t>
      </w:r>
      <w:r w:rsidRPr="00B61F97">
        <w:t>perioperative oral care; supply-driven care; need-based care; universal health coverage; implementation capacity;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6D02D4DD" w14:textId="77777777" w:rsidR="00515C9D" w:rsidRDefault="00000000">
      <w:r>
        <w:rPr>
          <w:b/>
        </w:rPr>
        <w:t>Research in Context</w:t>
      </w:r>
    </w:p>
    <w:p w14:paraId="20AD165A" w14:textId="77777777" w:rsidR="00515C9D" w:rsidRDefault="00000000">
      <w:r>
        <w:rPr>
          <w:b/>
        </w:rPr>
        <w:t>What is already known on this topic</w:t>
      </w:r>
    </w:p>
    <w:p w14:paraId="2B3F3C1C" w14:textId="68FF060D" w:rsidR="00515C9D" w:rsidRDefault="00000000">
      <w:r>
        <w:t>Universal health coverage aims to ensure that evidence-based care reaches patients according to clinical need. Japan incorporated perioperative oral functional management (POFM) into its national health insurance fee schedule in 2012, with further reimbursement expansion in 2020 and 2022. Prior studies have documented postoperative benefits of POFM at the patient and hospital level, but prefecture-level variation in POFM implementation had not been characteri</w:t>
      </w:r>
      <w:r w:rsidR="00E93B68">
        <w:rPr>
          <w:rFonts w:hint="eastAsia"/>
          <w:lang w:eastAsia="ja-JP"/>
        </w:rPr>
        <w:t>z</w:t>
      </w:r>
      <w:r>
        <w:t>ed.</w:t>
      </w:r>
    </w:p>
    <w:p w14:paraId="33F1C79A" w14:textId="77777777" w:rsidR="00515C9D" w:rsidRDefault="00000000">
      <w:r>
        <w:rPr>
          <w:b/>
        </w:rPr>
        <w:t>What this study adds</w:t>
      </w:r>
    </w:p>
    <w:p w14:paraId="5D833915" w14:textId="77777777" w:rsidR="00515C9D" w:rsidRDefault="00000000">
      <w:r>
        <w:t>This nationwide prefectural ecological analysis of Japan’s NDB Open Data (fiscal year 2023) demonstrates a 2.25-fold variation in POFM claim density across 47 prefectures. Cancer surgical demand—the primary clinical need indicator—was not significantly associated with POFM provision in any of seven pre-specified sensitivity specifications. By contrast, dentist density showed the strongest bivariate association (r = 0.617), and significant positive spatial autocorrelation was identified (Moran’s I = 0.210, p = 0.024).</w:t>
      </w:r>
    </w:p>
    <w:p w14:paraId="0E31C82D" w14:textId="77777777" w:rsidR="00515C9D" w:rsidRDefault="00000000">
      <w:r>
        <w:rPr>
          <w:b/>
        </w:rPr>
        <w:t>How this study might affect research, practice or policy</w:t>
      </w:r>
    </w:p>
    <w:p w14:paraId="26D92F41" w14:textId="77777777" w:rsidR="00515C9D" w:rsidRDefault="00000000">
      <w:r>
        <w:t xml:space="preserve">These findings indicate that reimbursement alone does not guarantee need-aligned implementation of POFM. Dental workforce capacity, hospital–dental integration, and </w:t>
      </w:r>
      <w:r>
        <w:lastRenderedPageBreak/>
        <w:t>referral infrastructure appear to be equally important determinants. For countries introducing perioperative oral care reimbursement, parallel investment in implementation capacity may be essential to prevent supply-driven inequity.</w:t>
      </w:r>
    </w:p>
    <w:p w14:paraId="74F6A056" w14:textId="77777777" w:rsidR="00515C9D" w:rsidRDefault="00515C9D"/>
    <w:p w14:paraId="3471E746" w14:textId="77777777" w:rsidR="0055388C" w:rsidRDefault="00000000">
      <w:pPr>
        <w:pStyle w:val="1"/>
      </w:pPr>
      <w:bookmarkStart w:id="1" w:name="introduction"/>
      <w:bookmarkEnd w:id="0"/>
      <w:r>
        <w:t>1. Introduction</w:t>
      </w:r>
    </w:p>
    <w:p w14:paraId="10C22ECA" w14:textId="23643642" w:rsidR="0055388C" w:rsidRDefault="00000000">
      <w:pPr>
        <w:pStyle w:val="FirstParagraph"/>
      </w:pPr>
      <w:r>
        <w:t xml:space="preserve">Healthcare systems aim to allocate evidence-based care according to patient need. However, regional healthcare delivery often reflects provider availability, institutional capacity, and local practice patterns rather than need alone </w:t>
      </w:r>
      <w:r w:rsidR="001215DF">
        <w:rPr>
          <w:rFonts w:hint="eastAsia"/>
          <w:lang w:eastAsia="ja-JP"/>
        </w:rPr>
        <w:t>[</w:t>
      </w:r>
      <w:r>
        <w:t>1–4</w:t>
      </w:r>
      <w:r w:rsidR="001215DF">
        <w:t>]</w:t>
      </w:r>
      <w:r>
        <w:t>.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45F94DDA" w:rsidR="0055388C" w:rsidRDefault="00000000">
      <w:pPr>
        <w:pStyle w:val="a0"/>
      </w:pPr>
      <w:r>
        <w:t xml:space="preserve">Perioperative oral functional management (POFM) is an evidence-based practice that reduces postoperative complications such as aspiration pneumonia, surgical site infections, and mucositis in patients undergoing major surgery, radiotherapy, or chemotherapy </w:t>
      </w:r>
      <w:r w:rsidR="001215DF">
        <w:rPr>
          <w:rFonts w:hint="eastAsia"/>
          <w:lang w:eastAsia="ja-JP"/>
        </w:rPr>
        <w:t>[</w:t>
      </w:r>
      <w:r>
        <w:t>5–11</w:t>
      </w:r>
      <w:r w:rsidR="001215DF">
        <w:t>]</w:t>
      </w:r>
      <w:r>
        <w:t>.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386223EF" w:rsidR="0055388C" w:rsidRDefault="00000000">
      <w:pPr>
        <w:pStyle w:val="a0"/>
      </w:pPr>
      <w:r>
        <w:t xml:space="preserve">In practice, however, POFM delivery may depend not only on the number of eligible surgical patients but also on whether local health systems have the dental workforce, hospital dental departments, referral pathways, and multidisciplinary routines needed to deliver the service </w:t>
      </w:r>
      <w:r w:rsidR="001215DF">
        <w:rPr>
          <w:rFonts w:hint="eastAsia"/>
          <w:lang w:eastAsia="ja-JP"/>
        </w:rPr>
        <w:t>[</w:t>
      </w:r>
      <w:r>
        <w:t>13–16</w:t>
      </w:r>
      <w:r w:rsidR="001215DF">
        <w:t>]</w:t>
      </w:r>
      <w:r>
        <w:t>.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09C0F645" w:rsidR="0055388C" w:rsidRDefault="00000000">
      <w:pPr>
        <w:pStyle w:val="FirstParagraph"/>
      </w:pPr>
      <w:r>
        <w:t>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utili</w:t>
      </w:r>
      <w:r w:rsidR="001215DF">
        <w:rPr>
          <w:rFonts w:hint="eastAsia"/>
          <w:lang w:eastAsia="ja-JP"/>
        </w:rPr>
        <w:t>z</w:t>
      </w:r>
      <w:r>
        <w:t>ation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1A924067" w:rsidR="0055388C" w:rsidRDefault="00000000">
      <w:pPr>
        <w:pStyle w:val="FirstParagraph"/>
      </w:pPr>
      <w:r>
        <w:t xml:space="preserve">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w:t>
      </w:r>
      <w:r w:rsidR="001215DF">
        <w:rPr>
          <w:rFonts w:hint="eastAsia"/>
          <w:lang w:eastAsia="ja-JP"/>
        </w:rPr>
        <w:t>[</w:t>
      </w:r>
      <w:r>
        <w:t>5,7–11</w:t>
      </w:r>
      <w:r w:rsidR="001215DF">
        <w:t>]</w:t>
      </w:r>
      <w:r>
        <w:t>.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 xml:space="preserve">Dentists per 100,000 population (sensitivity analysis only): Calendar year 2022, derived from the Survey of Physicians, Dentists and Pharmacists (Ministry of Health, </w:t>
      </w:r>
      <w:proofErr w:type="spellStart"/>
      <w:r w:rsidRPr="00B61F97">
        <w:t>Labour</w:t>
      </w:r>
      <w:proofErr w:type="spellEnd"/>
      <w:r w:rsidRPr="00B61F97">
        <w:t xml:space="preserve">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t>2.3.3 Spatial Analysis</w:t>
      </w:r>
    </w:p>
    <w:p w14:paraId="613BA7B9"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[20,21]. Local Moran’s I (LISA) identified High-High and Low-Low clusters [22].</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[22].</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0D259C6C" w:rsidR="0055388C" w:rsidRDefault="00000000">
      <w:pPr>
        <w:pStyle w:val="a0"/>
      </w:pPr>
      <w:r>
        <w:t>All analyses were performed in Python 3.</w:t>
      </w:r>
      <w:r w:rsidR="00504C64">
        <w:rPr>
          <w:rFonts w:hint="eastAsia"/>
          <w:lang w:eastAsia="ja-JP"/>
        </w:rPr>
        <w:t>14</w:t>
      </w:r>
      <w:r>
        <w:t xml:space="preserve"> using pandas, </w:t>
      </w:r>
      <w:proofErr w:type="spellStart"/>
      <w:r>
        <w:t>statsmodels</w:t>
      </w:r>
      <w:proofErr w:type="spellEnd"/>
      <w:r>
        <w:t xml:space="preserve">, </w:t>
      </w:r>
      <w:proofErr w:type="spellStart"/>
      <w:r>
        <w:t>geopandas</w:t>
      </w:r>
      <w:proofErr w:type="spellEnd"/>
      <w:r>
        <w:t xml:space="preserve">, </w:t>
      </w:r>
      <w:proofErr w:type="spellStart"/>
      <w:r>
        <w:t>libpysal</w:t>
      </w:r>
      <w:proofErr w:type="spellEnd"/>
      <w:r>
        <w:t xml:space="preserve">, </w:t>
      </w:r>
      <w:proofErr w:type="spellStart"/>
      <w:r>
        <w:t>esda</w:t>
      </w:r>
      <w:proofErr w:type="spellEnd"/>
      <w:r>
        <w:t xml:space="preserve">, and </w:t>
      </w:r>
      <w:proofErr w:type="spellStart"/>
      <w:r>
        <w:t>spreg</w:t>
      </w:r>
      <w:proofErr w:type="spellEnd"/>
      <w:r>
        <w:t>.</w:t>
      </w:r>
    </w:p>
    <w:p w14:paraId="522C7A08" w14:textId="77777777" w:rsidR="0055388C" w:rsidRDefault="00000000">
      <w:r>
        <w:pict w14:anchorId="25214A6C">
          <v:rect id="_x0000_i1027" style="width:0;height:1.5pt" o:hralign="center" o:hrstd="t" o:hr="t"/>
        </w:pic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The POFM density map (Figure 3)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Appendix Figure A6)</w:t>
      </w:r>
    </w:p>
    <w:p w14:paraId="362496FE" w14:textId="77777777" w:rsidR="0055388C" w:rsidRDefault="00000000">
      <w:pPr>
        <w:pStyle w:val="2"/>
      </w:pPr>
      <w:bookmarkStart w:id="16" w:name="Xda1057937d0ed8cc33f4b376fb12b3e67d47e70"/>
      <w:bookmarkEnd w:id="15"/>
      <w:r>
        <w:lastRenderedPageBreak/>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31F1D8CB" w:rsidR="0055388C" w:rsidRDefault="00000000">
      <w:pPr>
        <w:pStyle w:val="FirstParagraph"/>
      </w:pPr>
      <w:r>
        <w:t>The forest plot (Figure 5) summari</w:t>
      </w:r>
      <w:r w:rsidR="00CC117D">
        <w:rPr>
          <w:rFonts w:hint="eastAsia"/>
          <w:lang w:eastAsia="ja-JP"/>
        </w:rPr>
        <w:t>z</w:t>
      </w:r>
      <w:r>
        <w:t>es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6620F231" w:rsidR="0055388C" w:rsidRDefault="00000000">
      <w:pPr>
        <w:pStyle w:val="FirstParagraph"/>
      </w:pPr>
      <w:r>
        <w:t>Global Moran’s I for POFM density was I = 0.210 (p = 0.024), indicating positive spatial autocorrelation. Two prefectures lacked Queen contiguity neighbors and were assigned median neighborhood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lastRenderedPageBreak/>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6B944007" w:rsidR="0055388C" w:rsidRDefault="00000000">
      <w:pPr>
        <w:pStyle w:val="FirstParagraph"/>
      </w:pPr>
      <w:r>
        <w:t xml:space="preserve">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w:t>
      </w:r>
      <w:r w:rsidR="0031271F">
        <w:rPr>
          <w:rFonts w:hint="eastAsia"/>
          <w:lang w:eastAsia="ja-JP"/>
        </w:rPr>
        <w:t>[</w:t>
      </w:r>
      <w:r>
        <w:t>1-4</w:t>
      </w:r>
      <w:r w:rsidR="0031271F">
        <w:t>]</w:t>
      </w:r>
      <w:r>
        <w:t>.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04371AC1" w:rsidR="0055388C" w:rsidRDefault="00000000">
      <w:pPr>
        <w:pStyle w:val="a0"/>
      </w:pPr>
      <w:r>
        <w:t xml:space="preserve">Even so, the observed pattern is difficult to explain by need alone. Supply-side capacity, including hospital dental departments, trained POFM providers, referral pathways, and multidisciplinary perioperative routines, may strongly influence local uptake </w:t>
      </w:r>
      <w:r w:rsidR="0031271F">
        <w:rPr>
          <w:rFonts w:hint="eastAsia"/>
          <w:lang w:eastAsia="ja-JP"/>
        </w:rPr>
        <w:t>[</w:t>
      </w:r>
      <w:r>
        <w:t>13-15</w:t>
      </w:r>
      <w:r w:rsidR="0031271F">
        <w:t>]</w:t>
      </w:r>
      <w:r>
        <w:t>.</w:t>
      </w:r>
    </w:p>
    <w:p w14:paraId="05B10ABE" w14:textId="0BBEAF1B" w:rsidR="0055388C" w:rsidRDefault="00000000">
      <w:pPr>
        <w:pStyle w:val="a0"/>
      </w:pPr>
      <w:r>
        <w:t>Historical implementation momentum may also matter. Early-adopting prefectures or university hospitals may have maintained higher utili</w:t>
      </w:r>
      <w:r w:rsidR="0031271F">
        <w:rPr>
          <w:rFonts w:hint="eastAsia"/>
          <w:lang w:eastAsia="ja-JP"/>
        </w:rPr>
        <w:t>z</w:t>
      </w:r>
      <w:r>
        <w:t>ation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t>4.3 Spatial Diffusion of Supply-Driven Implementation</w:t>
      </w:r>
    </w:p>
    <w:p w14:paraId="39F3FFAB" w14:textId="77777777" w:rsidR="0055388C" w:rsidRDefault="00000000">
      <w:pPr>
        <w:pStyle w:val="FirstParagraph"/>
      </w:pPr>
      <w:r>
        <w:t xml:space="preserve">The significant spatial autoregressive coefficient (ρ = 0.354, p = 0.002) indicates that POFM uptake was spatially patterned. This is compatible with regional diffusion </w:t>
      </w:r>
      <w:r>
        <w:lastRenderedPageBreak/>
        <w:t>through professional networks, dental school outreach, and shared hospital dentistry staff pools, although these mechanisms were not directly measured [14,16,25,26].</w:t>
      </w:r>
    </w:p>
    <w:p w14:paraId="60A42859" w14:textId="77777777" w:rsidR="0055388C" w:rsidRDefault="00000000">
      <w:pPr>
        <w:pStyle w:val="a0"/>
      </w:pPr>
      <w:r>
        <w:t>The SLM fit better than OLS (ΔAIC = -6.0; pseudo-R² = 0.350 vs. OLS R² = 0.197), supporting the importance of spatial dependence in prefecture-level utilisation analyses [21]. Cancer surgery density remained non-significant in the SLM, again indicating that this demand proxy alone did not explain POFM provision.</w:t>
      </w:r>
    </w:p>
    <w:p w14:paraId="14ACC762" w14:textId="2F04D4F6" w:rsidR="0055388C" w:rsidRDefault="00000000">
      <w:pPr>
        <w:pStyle w:val="a0"/>
      </w:pPr>
      <w:r>
        <w:t>LISA locali</w:t>
      </w:r>
      <w:r w:rsidR="0031271F">
        <w:rPr>
          <w:rFonts w:hint="eastAsia"/>
          <w:lang w:eastAsia="ja-JP"/>
        </w:rPr>
        <w:t>z</w:t>
      </w:r>
      <w:r>
        <w:t xml:space="preserve">ed the spatial signal to HH clusters in Hyogo, Okayama, and Saga, and LL clusters in Hokkaido, Iwate, and Okinawa (Figure 6). These patterns are compatible with established medical-dental collaboration in some western regions and more constrained healthcare access in peripheral areas </w:t>
      </w:r>
      <w:r w:rsidR="0031271F">
        <w:rPr>
          <w:rFonts w:hint="eastAsia"/>
          <w:lang w:eastAsia="ja-JP"/>
        </w:rPr>
        <w:t>[</w:t>
      </w:r>
      <w:r>
        <w:t>16,25,27-29</w:t>
      </w:r>
      <w:r w:rsidR="0031271F">
        <w:t>]</w:t>
      </w:r>
      <w:r>
        <w:t>.</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6A35B27" w:rsidR="0055388C" w:rsidRDefault="00000000">
      <w:pPr>
        <w:pStyle w:val="a0"/>
      </w:pPr>
      <w:r>
        <w:t xml:space="preserve">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w:t>
      </w:r>
      <w:r w:rsidR="000768DA">
        <w:rPr>
          <w:rFonts w:hint="eastAsia"/>
          <w:lang w:eastAsia="ja-JP"/>
        </w:rPr>
        <w:t>[</w:t>
      </w:r>
      <w:r>
        <w:t>13-16,30-33</w:t>
      </w:r>
      <w:r w:rsidR="000768DA">
        <w:t>]</w:t>
      </w:r>
      <w:r>
        <w:t>.</w:t>
      </w:r>
    </w:p>
    <w:p w14:paraId="7C7B2686" w14:textId="77777777" w:rsidR="0055388C" w:rsidRDefault="00000000">
      <w:pPr>
        <w:pStyle w:val="a0"/>
      </w:pPr>
      <w:r>
        <w:rPr>
          <w:i/>
          <w:iCs/>
        </w:rPr>
        <w:t>(See Appendix Figure A2)</w:t>
      </w:r>
    </w:p>
    <w:p w14:paraId="1B81D3C0" w14:textId="5FE596BE" w:rsidR="0055388C" w:rsidRDefault="00000000">
      <w:pPr>
        <w:pStyle w:val="a0"/>
      </w:pPr>
      <w:r>
        <w:t>Second, multidisciplinary infrastructure, including oral medicine specialists, dental representation in cancer care, and standardi</w:t>
      </w:r>
      <w:r w:rsidR="000768DA">
        <w:rPr>
          <w:rFonts w:hint="eastAsia"/>
          <w:lang w:eastAsia="ja-JP"/>
        </w:rPr>
        <w:t>z</w:t>
      </w:r>
      <w:r>
        <w:t>ed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542ED3FC" w:rsidR="0055388C" w:rsidRDefault="00000000">
      <w:pPr>
        <w:pStyle w:val="2"/>
      </w:pPr>
      <w:bookmarkStart w:id="24" w:name="comparison-with-prior-studies"/>
      <w:bookmarkEnd w:id="23"/>
      <w:r>
        <w:t xml:space="preserve">4.5 Comparison </w:t>
      </w:r>
      <w:r w:rsidR="000768DA">
        <w:rPr>
          <w:rFonts w:hint="eastAsia"/>
          <w:lang w:eastAsia="ja-JP"/>
        </w:rPr>
        <w:t>w</w:t>
      </w:r>
      <w:r>
        <w:t>ith Prior Studies and Health Policy Implications</w:t>
      </w:r>
    </w:p>
    <w:p w14:paraId="454C5AF2" w14:textId="418FB727" w:rsidR="0055388C" w:rsidRDefault="00000000">
      <w:pPr>
        <w:pStyle w:val="FirstParagraph"/>
      </w:pPr>
      <w:r>
        <w:t xml:space="preserve">Prior Japanese studies have examined POFM mainly at the hospital or patient level and documented postoperative benefits </w:t>
      </w:r>
      <w:r w:rsidR="00E012A6">
        <w:rPr>
          <w:rFonts w:hint="eastAsia"/>
          <w:lang w:eastAsia="ja-JP"/>
        </w:rPr>
        <w:t>[</w:t>
      </w:r>
      <w:r>
        <w:t>5,7-10</w:t>
      </w:r>
      <w:r w:rsidR="00E012A6">
        <w:t>]</w:t>
      </w:r>
      <w:r>
        <w:t>. This study adds a macro-level 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lastRenderedPageBreak/>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542E69C7" w:rsidR="0055388C" w:rsidRPr="00B61F97" w:rsidRDefault="00000000">
      <w:pPr>
        <w:pStyle w:val="a0"/>
      </w:pPr>
      <w:r w:rsidRPr="00B61F97">
        <w:t>Limitations: First, ecological analyses cannot support individual-level inference [35,36]. Second, POFM claim density captures utili</w:t>
      </w:r>
      <w:r w:rsidR="00B60117">
        <w:rPr>
          <w:rFonts w:hint="eastAsia"/>
          <w:lang w:eastAsia="ja-JP"/>
        </w:rPr>
        <w:t>z</w:t>
      </w:r>
      <w:r w:rsidRPr="00B61F97">
        <w:t>ation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neighborhood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20AD63EE"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w:t>
      </w:r>
      <w:r w:rsidR="00327913">
        <w:rPr>
          <w:rFonts w:hint="eastAsia"/>
          <w:lang w:eastAsia="ja-JP"/>
        </w:rPr>
        <w:t>[</w:t>
      </w:r>
      <w:r>
        <w:t>5–11</w:t>
      </w:r>
      <w:r w:rsidR="00327913">
        <w:t>]</w:t>
      </w:r>
      <w:r>
        <w:t xml:space="preserve">, reimbursement may increasingly be adopted internationally. However, this study suggests that coverage alone may be insufficient: parallel investment in dental workforce development, hospital-dental integration, referral pathway infrastructure, and multidisciplinary care </w:t>
      </w:r>
      <w:r>
        <w:lastRenderedPageBreak/>
        <w:t>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 xml:space="preserve">The authors thank the Ministry of Health, </w:t>
      </w:r>
      <w:proofErr w:type="spellStart"/>
      <w:r>
        <w:t>Labour</w:t>
      </w:r>
      <w:proofErr w:type="spellEnd"/>
      <w:r>
        <w:t xml:space="preserve">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archived on Zenodo (https://doi.org/10.5281/zenodo.20756258). A public GitHub repository link will be provided upon acceptance.</w:t>
      </w:r>
    </w:p>
    <w:p w14:paraId="719AA181" w14:textId="5FB0A8E9" w:rsidR="0055388C" w:rsidRDefault="00ED6A67">
      <w:pPr>
        <w:pStyle w:val="1"/>
      </w:pPr>
      <w:bookmarkStart w:id="31" w:name="author-contributions"/>
      <w:bookmarkEnd w:id="30"/>
      <w:r>
        <w:t>Author Contributions</w:t>
      </w:r>
    </w:p>
    <w:p w14:paraId="012A08B5" w14:textId="77777777" w:rsidR="00ED6A67" w:rsidRPr="00327913" w:rsidRDefault="00ED6A67" w:rsidP="00ED6A67">
      <w:pPr>
        <w:pStyle w:val="FirstParagraph"/>
        <w:rPr>
          <w:rFonts w:asciiTheme="majorHAnsi" w:hAnsiTheme="majorHAnsi" w:cstheme="majorHAnsi"/>
        </w:rPr>
      </w:pPr>
      <w:r w:rsidRPr="00327913">
        <w:rPr>
          <w:rFonts w:asciiTheme="majorHAnsi" w:hAnsiTheme="majorHAnsi" w:cstheme="majorHAnsi"/>
        </w:rPr>
        <w:t>[Author 1]: Conceptualization, Data curation, Formal analysis, Investigation, Methodology, Software, Visualization, Writing – original draft, Writing – review and editing.</w:t>
      </w:r>
    </w:p>
    <w:p w14:paraId="754D80FB" w14:textId="449CBFCD" w:rsidR="00EA41A2" w:rsidRPr="00EA41A2" w:rsidRDefault="00ED6A67" w:rsidP="00ED6A67">
      <w:pPr>
        <w:pStyle w:val="a0"/>
        <w:rPr>
          <w:lang w:eastAsia="ja-JP"/>
        </w:rPr>
      </w:pPr>
      <w:r w:rsidRPr="00327913">
        <w:lastRenderedPageBreak/>
        <w:t>[Author 2]: Conceptualization, Supervision, Writing – review and editing.</w:t>
      </w:r>
    </w:p>
    <w:p w14:paraId="2BEECAC9" w14:textId="77777777" w:rsidR="00A32CEB" w:rsidRDefault="00A32CEB" w:rsidP="00A32CEB">
      <w:pPr>
        <w:pStyle w:val="1"/>
        <w:rPr>
          <w:lang w:eastAsia="ja-JP"/>
        </w:rPr>
      </w:pPr>
      <w:bookmarkStart w:id="32" w:name="funding"/>
      <w:bookmarkEnd w:id="31"/>
      <w:r>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During the preparation and writing of this work, the authors used AI-assisted tools to support manuscript drafting and statistical analysis scripting. Cursor 3.0 (</w:t>
      </w:r>
      <w:proofErr w:type="spellStart"/>
      <w:r w:rsidRPr="00921003">
        <w:rPr>
          <w:lang w:eastAsia="ja-JP"/>
        </w:rPr>
        <w:t>Anysphere</w:t>
      </w:r>
      <w:proofErr w:type="spellEnd"/>
      <w:r w:rsidRPr="00921003">
        <w:rPr>
          <w:lang w:eastAsia="ja-JP"/>
        </w:rPr>
        <w:t xml:space="preserv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30"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 xml:space="preserve">1. Wennberg JE, </w:t>
      </w:r>
      <w:proofErr w:type="spellStart"/>
      <w:r>
        <w:t>Gittelsohn</w:t>
      </w:r>
      <w:proofErr w:type="spellEnd"/>
      <w:r>
        <w:t xml:space="preserve"> A. Small area variations in health care delivery. Science. 1973;182(4117):1102-8. doi:10.1126/science.182.4117.1102.</w:t>
      </w:r>
    </w:p>
    <w:p w14:paraId="00F222DC" w14:textId="77777777" w:rsidR="0055388C" w:rsidRDefault="00000000">
      <w:pPr>
        <w:pStyle w:val="a9"/>
      </w:pPr>
      <w:r>
        <w:t xml:space="preserve">2. Wennberg JE, Fisher ES, Skinner JS. Geography and the debate over Medicare reform. Health Aff (Millwood). </w:t>
      </w:r>
      <w:proofErr w:type="gramStart"/>
      <w:r>
        <w:t>2002;Suppl</w:t>
      </w:r>
      <w:proofErr w:type="gramEnd"/>
      <w:r>
        <w:t xml:space="preserve"> Web </w:t>
      </w:r>
      <w:proofErr w:type="gramStart"/>
      <w:r>
        <w:t>Exclusives:W</w:t>
      </w:r>
      <w:proofErr w:type="gramEnd"/>
      <w:r>
        <w:t>96-114. doi:10.1377/</w:t>
      </w:r>
      <w:proofErr w:type="gramStart"/>
      <w:r>
        <w:t>hlthaff.w</w:t>
      </w:r>
      <w:proofErr w:type="gramEnd"/>
      <w:r>
        <w:t>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t>4. Wennberg JE. Time to tackle unwarranted variations in practice. BMJ. 2011;</w:t>
      </w:r>
      <w:proofErr w:type="gramStart"/>
      <w:r>
        <w:t>342:d</w:t>
      </w:r>
      <w:proofErr w:type="gramEnd"/>
      <w:r>
        <w:t>1513. doi:10.1136/</w:t>
      </w:r>
      <w:proofErr w:type="gramStart"/>
      <w:r>
        <w:t>bmj.d</w:t>
      </w:r>
      <w:proofErr w:type="gramEnd"/>
      <w:r>
        <w:t>1513.</w:t>
      </w:r>
    </w:p>
    <w:p w14:paraId="7E53CF9D" w14:textId="77777777" w:rsidR="0055388C" w:rsidRDefault="00000000">
      <w:pPr>
        <w:pStyle w:val="a9"/>
      </w:pPr>
      <w:bookmarkStart w:id="34" w:name="ref-Ishimaru2018"/>
      <w:bookmarkStart w:id="35" w:name="refs"/>
      <w:r>
        <w:lastRenderedPageBreak/>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t xml:space="preserve">6. Camus-Jansson F, Longueira-Diaz N, Salinas-Diaz B, </w:t>
      </w:r>
      <w:proofErr w:type="spellStart"/>
      <w:r>
        <w:t>Granic-Chinchon</w:t>
      </w:r>
      <w:proofErr w:type="spellEnd"/>
      <w:r>
        <w:t xml:space="preserve"> A, Cueto-Urbina W, Parra-Parra M, et al. Preoperative oral practices and incidence of postoperative complications in hospital medical-surgical procedures: A meta-analysis. Med Oral </w:t>
      </w:r>
      <w:proofErr w:type="spellStart"/>
      <w:r>
        <w:t>Patol</w:t>
      </w:r>
      <w:proofErr w:type="spellEnd"/>
      <w:r>
        <w:t xml:space="preserve"> Oral Cir Bucal. 2023;28(3</w:t>
      </w:r>
      <w:proofErr w:type="gramStart"/>
      <w:r>
        <w:t>):e</w:t>
      </w:r>
      <w:proofErr w:type="gramEnd"/>
      <w:r>
        <w:t>217-28. Available from: https://pubmed.ncbi.nlm.nih.gov/37026607/</w:t>
      </w:r>
    </w:p>
    <w:p w14:paraId="6164E62B" w14:textId="77777777" w:rsidR="0055388C" w:rsidRDefault="00000000">
      <w:pPr>
        <w:pStyle w:val="a9"/>
      </w:pPr>
      <w:bookmarkStart w:id="37" w:name="ref-Shin2019"/>
      <w:bookmarkEnd w:id="36"/>
      <w:r>
        <w:t xml:space="preserve">7. Shin JH, </w:t>
      </w:r>
      <w:proofErr w:type="spellStart"/>
      <w:r>
        <w:t>Kunisawa</w:t>
      </w:r>
      <w:proofErr w:type="spellEnd"/>
      <w:r>
        <w:t xml:space="preserve"> S, Fushimi K, </w:t>
      </w:r>
      <w:proofErr w:type="spellStart"/>
      <w:r>
        <w:t>Imanaka</w:t>
      </w:r>
      <w:proofErr w:type="spellEnd"/>
      <w:r>
        <w:t xml:space="preserve"> Y. Effects of preoperative oral management by dentists on postoperative outcomes following esophagectomy: Multilevel propensity score matching and weighting analyses using the Japanese inpatient database. Medicine (Baltimore). 2019;98(17</w:t>
      </w:r>
      <w:proofErr w:type="gramStart"/>
      <w:r>
        <w:t>):e</w:t>
      </w:r>
      <w:proofErr w:type="gramEnd"/>
      <w:r>
        <w:t>15376. Available from: https://pubmed.ncbi.nlm.nih.gov/31027127/</w:t>
      </w:r>
    </w:p>
    <w:p w14:paraId="76DEE54C" w14:textId="77777777" w:rsidR="0055388C" w:rsidRDefault="00000000">
      <w:pPr>
        <w:pStyle w:val="a9"/>
      </w:pPr>
      <w:bookmarkStart w:id="38" w:name="ref-Soutome2017"/>
      <w:bookmarkEnd w:id="37"/>
      <w:r>
        <w:t xml:space="preserve">8. </w:t>
      </w:r>
      <w:proofErr w:type="spellStart"/>
      <w:r>
        <w:t>Soutome</w:t>
      </w:r>
      <w:proofErr w:type="spellEnd"/>
      <w:r>
        <w:t xml:space="preserve"> S, </w:t>
      </w:r>
      <w:proofErr w:type="spellStart"/>
      <w:r>
        <w:t>Yanamoto</w:t>
      </w:r>
      <w:proofErr w:type="spellEnd"/>
      <w:r>
        <w:t xml:space="preserve"> S, </w:t>
      </w:r>
      <w:proofErr w:type="spellStart"/>
      <w:r>
        <w:t>Funahara</w:t>
      </w:r>
      <w:proofErr w:type="spellEnd"/>
      <w:r>
        <w:t xml:space="preserve"> M, Hasegawa T, Komori T, Yamada SI, et al. Effect of perioperative oral care on prevention of postoperative pneumonia associated with esophageal cancer surgery: A multicenter case-control study with propensity </w:t>
      </w:r>
      <w:proofErr w:type="gramStart"/>
      <w:r>
        <w:t>score</w:t>
      </w:r>
      <w:proofErr w:type="gramEnd"/>
      <w:r>
        <w:t xml:space="preserve"> matching analysis. Medicine (Baltimore). 2017;96(33</w:t>
      </w:r>
      <w:proofErr w:type="gramStart"/>
      <w:r>
        <w:t>):e</w:t>
      </w:r>
      <w:proofErr w:type="gramEnd"/>
      <w:r>
        <w:t>7436. Available from: https://pubmed.ncbi.nlm.nih.gov/28816937/</w:t>
      </w:r>
    </w:p>
    <w:p w14:paraId="600F811B" w14:textId="77777777" w:rsidR="0055388C" w:rsidRDefault="00000000">
      <w:pPr>
        <w:pStyle w:val="a9"/>
      </w:pPr>
      <w:bookmarkStart w:id="39" w:name="ref-Iwata2019"/>
      <w:bookmarkEnd w:id="38"/>
      <w:r>
        <w:t xml:space="preserve">9. Iwata E, Hasegawa T, Yamada SI, Kawashita Y, Yoshimatsu M, Mizutani T, et al. Effects of perioperative oral care on prevention of postoperative pneumonia after lung resection: Multicenter retrospective study with propensity </w:t>
      </w:r>
      <w:proofErr w:type="gramStart"/>
      <w:r>
        <w:t>score</w:t>
      </w:r>
      <w:proofErr w:type="gramEnd"/>
      <w:r>
        <w:t xml:space="preserve"> matching analysis. Surgery. 2019;165(5):1003-7. Available from: https://pubmed.ncbi.nlm.nih.gov/30765141/</w:t>
      </w:r>
    </w:p>
    <w:p w14:paraId="4DD8C33F" w14:textId="77777777" w:rsidR="0055388C" w:rsidRDefault="00000000">
      <w:pPr>
        <w:pStyle w:val="a9"/>
      </w:pPr>
      <w:bookmarkStart w:id="40" w:name="ref-Nobuhara2018"/>
      <w:bookmarkEnd w:id="39"/>
      <w:r>
        <w:t xml:space="preserve">10. </w:t>
      </w:r>
      <w:proofErr w:type="spellStart"/>
      <w:r>
        <w:t>Nobuhara</w:t>
      </w:r>
      <w:proofErr w:type="spellEnd"/>
      <w:r>
        <w:t xml:space="preserve"> H, </w:t>
      </w:r>
      <w:proofErr w:type="spellStart"/>
      <w:r>
        <w:t>Yanamoto</w:t>
      </w:r>
      <w:proofErr w:type="spellEnd"/>
      <w:r>
        <w:t xml:space="preserve"> S, </w:t>
      </w:r>
      <w:proofErr w:type="spellStart"/>
      <w:r>
        <w:t>Funahara</w:t>
      </w:r>
      <w:proofErr w:type="spellEnd"/>
      <w:r>
        <w:t xml:space="preserve"> M, </w:t>
      </w:r>
      <w:proofErr w:type="spellStart"/>
      <w:r>
        <w:t>Matsugu</w:t>
      </w:r>
      <w:proofErr w:type="spellEnd"/>
      <w:r>
        <w:t xml:space="preserve"> Y, Hayashida S, </w:t>
      </w:r>
      <w:proofErr w:type="spellStart"/>
      <w:r>
        <w:t>Soutome</w:t>
      </w:r>
      <w:proofErr w:type="spellEnd"/>
      <w:r>
        <w:t xml:space="preserve"> S, et al. Effect of perioperative oral management on the prevention of surgical site infection after colorectal cancer surgery: A multicenter retrospective analysis of 698 patients via analysis of covariance using propensity score. Medicine (Baltimore). 2018;97(40</w:t>
      </w:r>
      <w:proofErr w:type="gramStart"/>
      <w:r>
        <w:t>):e</w:t>
      </w:r>
      <w:proofErr w:type="gramEnd"/>
      <w:r>
        <w:t>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 xml:space="preserve">12. Ministry of Health, </w:t>
      </w:r>
      <w:proofErr w:type="spellStart"/>
      <w:r>
        <w:t>Labour</w:t>
      </w:r>
      <w:proofErr w:type="spellEnd"/>
      <w:r>
        <w:t xml:space="preserve">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t xml:space="preserve">13. Kodama T, Ida Y, Oshima K, Miura H. Are public oral care services evenly distributed? Nation-wide assessment of the provision of oral care in Japan using the </w:t>
      </w:r>
      <w:r>
        <w:lastRenderedPageBreak/>
        <w:t>national database of health insurance claims. Int J Environ Res Public Health. 2021;18(20):10850.</w:t>
      </w:r>
    </w:p>
    <w:p w14:paraId="5162BD2C" w14:textId="77777777" w:rsidR="0055388C" w:rsidRDefault="00000000">
      <w:pPr>
        <w:pStyle w:val="a9"/>
      </w:pPr>
      <w:bookmarkStart w:id="44" w:name="ref-Ishimaru2022b"/>
      <w:bookmarkEnd w:id="43"/>
      <w:r>
        <w:t xml:space="preserve">14. Ishimaru M, Taira K, </w:t>
      </w:r>
      <w:proofErr w:type="spellStart"/>
      <w:r>
        <w:t>Zaitsu</w:t>
      </w:r>
      <w:proofErr w:type="spellEnd"/>
      <w:r>
        <w:t xml:space="preserve">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 xml:space="preserve">15. Nomura Y, Ohara Y, Yamamoto Y, Okada A, Hosoya N, Hanada N, et al. Dental hygienists’ practice in perioperative oral care management according to the Japanese dental </w:t>
      </w:r>
      <w:proofErr w:type="gramStart"/>
      <w:r>
        <w:t>hygienists</w:t>
      </w:r>
      <w:proofErr w:type="gramEnd"/>
      <w:r>
        <w:t xml:space="preserve"> survey 2019. Int J Environ Res Public Health. 2021;18(1):114. Available from: https://pubmed.ncbi.nlm.nih.gov/33375276/</w:t>
      </w:r>
    </w:p>
    <w:p w14:paraId="2508EBB2" w14:textId="77777777" w:rsidR="0055388C" w:rsidRDefault="00000000">
      <w:pPr>
        <w:pStyle w:val="a9"/>
      </w:pPr>
      <w:bookmarkStart w:id="46" w:name="ref-Taira2021"/>
      <w:bookmarkEnd w:id="45"/>
      <w:r>
        <w:t xml:space="preserve">16. Taira K, Mori T, Ishimaru M, </w:t>
      </w:r>
      <w:proofErr w:type="spellStart"/>
      <w:r>
        <w:t>Iwagami</w:t>
      </w:r>
      <w:proofErr w:type="spellEnd"/>
      <w:r>
        <w:t xml:space="preserve"> M, Sakata N, Watanabe T, et al. </w:t>
      </w:r>
      <w:proofErr w:type="gramStart"/>
      <w:r>
        <w:t>Regional</w:t>
      </w:r>
      <w:proofErr w:type="gramEnd"/>
      <w:r>
        <w:t xml:space="preserve"> inequality in dental care utilization in Japan: An ecological study using the national database of health insurance claims. Lancet Reg Health West Pac. </w:t>
      </w:r>
      <w:proofErr w:type="gramStart"/>
      <w:r>
        <w:t>2021;12:100170</w:t>
      </w:r>
      <w:proofErr w:type="gramEnd"/>
      <w:r>
        <w:t>.</w:t>
      </w:r>
    </w:p>
    <w:p w14:paraId="6246C668" w14:textId="77777777" w:rsidR="0055388C" w:rsidRDefault="00000000">
      <w:pPr>
        <w:pStyle w:val="a9"/>
      </w:pPr>
      <w:bookmarkStart w:id="47" w:name="ref-MHLW_NDB2023"/>
      <w:bookmarkEnd w:id="46"/>
      <w:r>
        <w:t xml:space="preserve">17. Ministry of Health, </w:t>
      </w:r>
      <w:proofErr w:type="spellStart"/>
      <w:r>
        <w:t>Labour</w:t>
      </w:r>
      <w:proofErr w:type="spellEnd"/>
      <w:r>
        <w:t xml:space="preserve">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 xml:space="preserve">19. Ministry of Health, </w:t>
      </w:r>
      <w:proofErr w:type="spellStart"/>
      <w:r>
        <w:t>Labour</w:t>
      </w:r>
      <w:proofErr w:type="spellEnd"/>
      <w:r>
        <w:t xml:space="preserve">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20. Anselin L. Spatial econometrics: Methods and models. Dordrecht: Kluwer Academic Publishers; 1988.</w:t>
      </w:r>
    </w:p>
    <w:p w14:paraId="2C6F71E2" w14:textId="77777777" w:rsidR="0055388C" w:rsidRDefault="00000000">
      <w:pPr>
        <w:pStyle w:val="a9"/>
      </w:pPr>
      <w:bookmarkStart w:id="51" w:name="ref-Anselin1988"/>
      <w:bookmarkEnd w:id="50"/>
      <w:r>
        <w:t>21. LeSage JP, Pace RK. Introduction to spatial econometrics. Boca Raton: Chapman and Hall/CRC; 2009.</w:t>
      </w:r>
    </w:p>
    <w:p w14:paraId="4A70B342" w14:textId="77777777" w:rsidR="0055388C" w:rsidRDefault="00000000">
      <w:pPr>
        <w:pStyle w:val="a9"/>
      </w:pPr>
      <w:bookmarkStart w:id="52" w:name="ref-LeSage2009"/>
      <w:bookmarkEnd w:id="51"/>
      <w:r>
        <w:t>22. Anselin L. Local indicators of spatial association-LISA. Geogr Anal. 1995;27(2):93-115.</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lastRenderedPageBreak/>
        <w:t xml:space="preserve">25. Ibuka Y, Matsuda Y, Shoji K, Ishigaki T. Evaluation of regional variations in healthcare utilization. </w:t>
      </w:r>
      <w:proofErr w:type="spellStart"/>
      <w:r>
        <w:t>Jpn</w:t>
      </w:r>
      <w:proofErr w:type="spellEnd"/>
      <w:r>
        <w:t xml:space="preserve"> J Stat Data Sci. 2020;3(1):349-65.</w:t>
      </w:r>
    </w:p>
    <w:p w14:paraId="5B1A658C" w14:textId="77777777" w:rsidR="0055388C" w:rsidRDefault="00000000">
      <w:pPr>
        <w:pStyle w:val="a9"/>
      </w:pPr>
      <w:bookmarkStart w:id="56" w:name="ref-Seo2022"/>
      <w:bookmarkEnd w:id="55"/>
      <w:r>
        <w:t xml:space="preserve">26. Seo Y, </w:t>
      </w:r>
      <w:proofErr w:type="spellStart"/>
      <w:r>
        <w:t>Takikawa</w:t>
      </w:r>
      <w:proofErr w:type="spellEnd"/>
      <w:r>
        <w:t xml:space="preserve">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 xml:space="preserve">27. Shirakawa Y. Perioperative team cooperation at Okayama University Hospital [in Japanese]. Nihon </w:t>
      </w:r>
      <w:proofErr w:type="spellStart"/>
      <w:r>
        <w:t>Geka</w:t>
      </w:r>
      <w:proofErr w:type="spellEnd"/>
      <w:r>
        <w:t xml:space="preserve"> Gakkai Zasshi. 2017;118(2):149-54.</w:t>
      </w:r>
    </w:p>
    <w:p w14:paraId="5CEEA1C8" w14:textId="77777777" w:rsidR="0055388C" w:rsidRDefault="00000000">
      <w:pPr>
        <w:pStyle w:val="a9"/>
      </w:pPr>
      <w:bookmarkStart w:id="58" w:name="ref-Kunitomi2025"/>
      <w:bookmarkEnd w:id="57"/>
      <w:r>
        <w:t xml:space="preserve">28. Kunitomi T, </w:t>
      </w:r>
      <w:proofErr w:type="spellStart"/>
      <w:r>
        <w:t>Miyagami</w:t>
      </w:r>
      <w:proofErr w:type="spellEnd"/>
      <w:r>
        <w:t xml:space="preserve"> T, </w:t>
      </w:r>
      <w:proofErr w:type="spellStart"/>
      <w:r>
        <w:t>Teranaka</w:t>
      </w:r>
      <w:proofErr w:type="spellEnd"/>
      <w:r>
        <w:t xml:space="preserve"> S, Matsumoto T, Yoshimatsu Y, Matsumoto S, et al. Current state and challenges of dental intervention in aspiration pneumonia management from the perspective of hospitalists: A cross-sectional survey in Japan. Int J Gen Med. </w:t>
      </w:r>
      <w:proofErr w:type="gramStart"/>
      <w:r>
        <w:t>2025;18:6889</w:t>
      </w:r>
      <w:proofErr w:type="gramEnd"/>
      <w:r>
        <w:t>-98.</w:t>
      </w:r>
    </w:p>
    <w:p w14:paraId="49C16094" w14:textId="77777777" w:rsidR="0055388C" w:rsidRDefault="00000000">
      <w:pPr>
        <w:pStyle w:val="a9"/>
      </w:pPr>
      <w:bookmarkStart w:id="59" w:name="ref-Shirakura2024"/>
      <w:bookmarkEnd w:id="58"/>
      <w:r>
        <w:t xml:space="preserve">29. </w:t>
      </w:r>
      <w:proofErr w:type="spellStart"/>
      <w:r>
        <w:t>Shirakura</w:t>
      </w:r>
      <w:proofErr w:type="spellEnd"/>
      <w:r>
        <w:t xml:space="preserve"> Y, </w:t>
      </w:r>
      <w:proofErr w:type="spellStart"/>
      <w:r>
        <w:t>Shobugawa</w:t>
      </w:r>
      <w:proofErr w:type="spellEnd"/>
      <w:r>
        <w:t xml:space="preserve"> Y, Saito R. Geographic variation in inpatient medical expenditure among older adults aged 75 years and above in Japan: A three-level multilevel analysis of nationwide data. Front Public Health. </w:t>
      </w:r>
      <w:proofErr w:type="gramStart"/>
      <w:r>
        <w:t>2024;12:1306013</w:t>
      </w:r>
      <w:proofErr w:type="gramEnd"/>
      <w:r>
        <w:t>.</w:t>
      </w:r>
    </w:p>
    <w:p w14:paraId="1AA2EF53" w14:textId="77777777" w:rsidR="0055388C" w:rsidRDefault="00000000">
      <w:pPr>
        <w:pStyle w:val="a9"/>
      </w:pPr>
      <w:bookmarkStart w:id="60" w:name="ref-Takazawa2026"/>
      <w:bookmarkEnd w:id="59"/>
      <w:r>
        <w:t xml:space="preserve">30. </w:t>
      </w:r>
      <w:proofErr w:type="spellStart"/>
      <w:r>
        <w:t>Takazawa</w:t>
      </w:r>
      <w:proofErr w:type="spellEnd"/>
      <w:r>
        <w:t xml:space="preserve"> I, Suzuki H, Sugimoto K, </w:t>
      </w:r>
      <w:proofErr w:type="spellStart"/>
      <w:r>
        <w:t>Kabasawa</w:t>
      </w:r>
      <w:proofErr w:type="spellEnd"/>
      <w:r>
        <w:t xml:space="preserve">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 xml:space="preserve">32. </w:t>
      </w:r>
      <w:proofErr w:type="spellStart"/>
      <w:r>
        <w:t>Hashimura</w:t>
      </w:r>
      <w:proofErr w:type="spellEnd"/>
      <w:r>
        <w:t xml:space="preserve">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 xml:space="preserve">33. Yamamoto T, </w:t>
      </w:r>
      <w:proofErr w:type="spellStart"/>
      <w:r>
        <w:t>Hanazato</w:t>
      </w:r>
      <w:proofErr w:type="spellEnd"/>
      <w:r>
        <w:t xml:space="preserve">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 xml:space="preserve">34. Sato Y, Fukai K, </w:t>
      </w:r>
      <w:proofErr w:type="spellStart"/>
      <w:r>
        <w:t>Kunori</w:t>
      </w:r>
      <w:proofErr w:type="spellEnd"/>
      <w:r>
        <w:t xml:space="preserve"> Y, Yoshioka E, Saijo Y. Trends in dental expenditures in Japan with a universal health insurance system. </w:t>
      </w:r>
      <w:proofErr w:type="spellStart"/>
      <w:r>
        <w:t>PLoS</w:t>
      </w:r>
      <w:proofErr w:type="spellEnd"/>
      <w:r>
        <w:t xml:space="preserve"> One. 2023;18(10</w:t>
      </w:r>
      <w:proofErr w:type="gramStart"/>
      <w:r>
        <w:t>):e</w:t>
      </w:r>
      <w:proofErr w:type="gramEnd"/>
      <w:r>
        <w:t>0292547.</w:t>
      </w:r>
    </w:p>
    <w:p w14:paraId="0FC11EDE" w14:textId="77777777" w:rsidR="0055388C" w:rsidRDefault="00000000">
      <w:pPr>
        <w:pStyle w:val="a9"/>
      </w:pPr>
      <w:bookmarkStart w:id="65" w:name="ref-Morgenstern1998"/>
      <w:bookmarkEnd w:id="64"/>
      <w:r>
        <w:t xml:space="preserve">35. Morgenstern H. Ecologic studies in epidemiology: Concepts, principles, and methods. Annu Rev Public Health. </w:t>
      </w:r>
      <w:proofErr w:type="gramStart"/>
      <w:r>
        <w:t>1995;16:61</w:t>
      </w:r>
      <w:proofErr w:type="gramEnd"/>
      <w:r>
        <w:t>-81. Available from: https://pubmed.ncbi.nlm.nih.gov/7639884/</w:t>
      </w:r>
    </w:p>
    <w:p w14:paraId="7EC9E64A" w14:textId="77777777" w:rsidR="0055388C" w:rsidRDefault="00000000">
      <w:pPr>
        <w:pStyle w:val="a9"/>
      </w:pPr>
      <w:bookmarkStart w:id="66" w:name="ref-Greenland2001"/>
      <w:bookmarkEnd w:id="65"/>
      <w:r>
        <w:lastRenderedPageBreak/>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31" style="width:0;height:1.5pt" o:hralign="center" o:hrstd="t" o:hr="t"/>
        </w:pict>
      </w:r>
    </w:p>
    <w:bookmarkEnd w:id="33"/>
    <w:p w14:paraId="392CAA28" w14:textId="77777777" w:rsidR="0055388C" w:rsidRDefault="00000000">
      <w:pPr>
        <w:pStyle w:val="1"/>
      </w:pPr>
      <w:r>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lastRenderedPageBreak/>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p w14:paraId="1F1F60BE" w14:textId="77777777" w:rsidR="00515C9D" w:rsidRDefault="00515C9D"/>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2F649" w14:textId="77777777" w:rsidR="00843AD6" w:rsidRDefault="00843AD6" w:rsidP="00C82DA5">
      <w:pPr>
        <w:spacing w:after="0"/>
      </w:pPr>
      <w:r>
        <w:separator/>
      </w:r>
    </w:p>
  </w:endnote>
  <w:endnote w:type="continuationSeparator" w:id="0">
    <w:p w14:paraId="411F7F58" w14:textId="77777777" w:rsidR="00843AD6" w:rsidRDefault="00843AD6"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2ECA5" w14:textId="77777777" w:rsidR="00843AD6" w:rsidRDefault="00843AD6" w:rsidP="00C82DA5">
      <w:pPr>
        <w:spacing w:after="0"/>
      </w:pPr>
      <w:r>
        <w:separator/>
      </w:r>
    </w:p>
  </w:footnote>
  <w:footnote w:type="continuationSeparator" w:id="0">
    <w:p w14:paraId="24744B9D" w14:textId="77777777" w:rsidR="00843AD6" w:rsidRDefault="00843AD6"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503C94"/>
    <w:rsid w:val="00504C64"/>
    <w:rsid w:val="00515C9D"/>
    <w:rsid w:val="0055388C"/>
    <w:rsid w:val="005F29B9"/>
    <w:rsid w:val="006938A3"/>
    <w:rsid w:val="00843AD6"/>
    <w:rsid w:val="008E0C68"/>
    <w:rsid w:val="00A32CEB"/>
    <w:rsid w:val="00AC1394"/>
    <w:rsid w:val="00B60117"/>
    <w:rsid w:val="00B61F97"/>
    <w:rsid w:val="00C172D2"/>
    <w:rsid w:val="00C82DA5"/>
    <w:rsid w:val="00CC117D"/>
    <w:rsid w:val="00D50A62"/>
    <w:rsid w:val="00E012A6"/>
    <w:rsid w:val="00E46DD6"/>
    <w:rsid w:val="00E93B68"/>
    <w:rsid w:val="00EA41A2"/>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22</Pages>
  <Words>5308</Words>
  <Characters>30259</Characters>
  <Application>Microsoft Office Word</Application>
  <DocSecurity>0</DocSecurity>
  <Lines>252</Lines>
  <Paragraphs>70</Paragraphs>
  <ScaleCrop>false</ScaleCrop>
  <Company/>
  <LinksUpToDate>false</LinksUpToDate>
  <CharactersWithSpaces>35497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 Workforce Supply Rather Than Surgical Demand Drives Regional Disparities in Perioperative Oral Care: A Prefectural Ecological Analysis Using Japanese NDB Open Data</dc:title>
  <dc:creator>[REPLACE: corresponding author full name]</dc:creator>
  <cp:keywords/>
  <cp:lastModifiedBy>治輝 齋藤</cp:lastModifiedBy>
  <cp:revision>19</cp:revision>
  <dcterms:created xsi:type="dcterms:W3CDTF">2026-06-15T21:38:00Z</dcterms:created>
  <dcterms:modified xsi:type="dcterms:W3CDTF">2026-06-19T05:36:00Z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