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Highlights</w:t>
      </w:r>
    </w:p>
    <w:p>
      <w:r>
        <w:t>• POFM delivery varied 2.25-fold across 47 Japanese prefectures</w:t>
      </w:r>
    </w:p>
    <w:p>
      <w:r>
        <w:t>• Cancer surgical demand was not associated with POFM (0/7 specifications)</w:t>
      </w:r>
    </w:p>
    <w:p>
      <w:r>
        <w:t>• Dentist density was the strongest predictor of POFM (r = 0.617, p &lt; 0.0001)</w:t>
      </w:r>
    </w:p>
    <w:p>
      <w:r>
        <w:t>• Significant spatial clustering identified (Moran’s I = 0.210, p = 0.024)</w:t>
      </w:r>
    </w:p>
    <w:p>
      <w:r>
        <w:t>• Supply-side capacity, not surgical need, drives regional POFM inequity in Japan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