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dccff848fe6da1cf613f4440381d29765581e4d"/>
    <w:p>
      <w:pPr>
        <w:pStyle w:val="Heading1"/>
      </w:pPr>
      <w:r>
        <w:t xml:space="preserve">STROBE Checklist — Perioperative Oral Care Ecological Study</w:t>
      </w:r>
    </w:p>
    <w:p>
      <w:pPr>
        <w:pStyle w:val="FirstParagraph"/>
      </w:pPr>
      <w:r>
        <w:rPr>
          <w:b/>
          <w:bCs/>
        </w:rPr>
        <w:t xml:space="preserve">Study</w:t>
      </w:r>
      <w:r>
        <w:t xml:space="preserve">: When Universal Coverage Meets Local Capacity: A Prefectural Ecological Analysis of Perioperative Oral Care in Japan</w:t>
      </w:r>
      <w:r>
        <w:br/>
      </w:r>
      <w:r>
        <w:rPr>
          <w:b/>
          <w:bCs/>
        </w:rPr>
        <w:t xml:space="preserve">Design</w:t>
      </w:r>
      <w:r>
        <w:t xml:space="preserve">: Ecological study (prefectural cross-sectional; N = 47 prefectures)</w:t>
      </w:r>
      <w:r>
        <w:br/>
      </w:r>
      <w:r>
        <w:rPr>
          <w:b/>
          <w:bCs/>
        </w:rPr>
        <w:t xml:space="preserve">Reporting guideline</w:t>
      </w:r>
      <w:r>
        <w:t xml:space="preserve">: STROBE v4 (cross-sectional checklist)</w:t>
      </w:r>
      <w:r>
        <w:br/>
      </w:r>
      <w:r>
        <w:rPr>
          <w:b/>
          <w:bCs/>
        </w:rPr>
        <w:t xml:space="preserve">Date completed</w:t>
      </w:r>
      <w:r>
        <w:t xml:space="preserve">: 2026-06-19</w:t>
      </w:r>
    </w:p>
    <w:p>
      <w:r>
        <w:pict>
          <v:rect style="width:0;height:1.5pt" o:hralign="center" o:hrstd="t" o:hr="t"/>
        </w:pict>
      </w:r>
    </w:p>
    <w:bookmarkStart w:id="9" w:name="checklist"/>
    <w:p>
      <w:pPr>
        <w:pStyle w:val="Heading2"/>
      </w:pPr>
      <w:r>
        <w:t xml:space="preserve">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0"/>
        <w:gridCol w:w="1033"/>
        <w:gridCol w:w="2582"/>
        <w:gridCol w:w="1893"/>
        <w:gridCol w:w="1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Reported?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and Abstract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Indicate the study’s design with a commonly used term in the title or the abstract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Title:</w:t>
            </w:r>
            <w:r>
              <w:t xml:space="preserve"> </w:t>
            </w:r>
            <w:r>
              <w:t xml:space="preserve">“Prefectural Ecological Analysis”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Informative abstract</w:t>
            </w:r>
          </w:p>
        </w:tc>
        <w:tc>
          <w:tcPr/>
          <w:p>
            <w:pPr>
              <w:pStyle w:val="Compact"/>
            </w:pPr>
            <w:r>
              <w:t xml:space="preserve">Provide in the abstract an informative and balanced summary of what was done and what was found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Abstract (Background / Objectives / Methods / Results / Conclusions)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</w:pPr>
            <w: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1 (Introduction)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</w:t>
            </w:r>
          </w:p>
        </w:tc>
        <w:tc>
          <w:tcPr/>
          <w:p>
            <w:pPr>
              <w:pStyle w:val="Compact"/>
            </w:pPr>
            <w: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1 (final paragraph); Abstract Objectives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2.1 (Study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Describe the setting, locations, and relevant dates, including periods of data collection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2.1: Japan, 47 prefectures, NDB Open Data No.10, fiscal year 2023 (April 2023 – March 2024)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Give the eligibility criteria, and the sources and methods of selection of the ecological units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2.1: all 47 Japanese prefectures (census); no exclusions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Clearly define all outcomes, exposures, predictors, potential confounders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2.2: outcome = POFM claim density per 100,000 population; exposure = cancer surgery rate per 100,000; covariates = dentist density, aging rate, income per capita, population 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 sources / measurement</w:t>
            </w:r>
          </w:p>
        </w:tc>
        <w:tc>
          <w:tcPr/>
          <w:p>
            <w:pPr>
              <w:pStyle w:val="Compact"/>
            </w:pPr>
            <w:r>
              <w:t xml:space="preserve">For each variable, give sources of data and details of methods of assessment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2.2–2.3: NDB Open Data (B001-2/3, 16 K-codes); Statistics Bureau population; Ministry of Health workforce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2.3 (sensitivity analysis: 7 specifications); Section 4 (Limitations: ecological fallacy, MAUP, cross-sectional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Study size</w:t>
            </w:r>
          </w:p>
        </w:tc>
        <w:tc>
          <w:tcPr/>
          <w:p>
            <w:pPr>
              <w:pStyle w:val="Compact"/>
            </w:pPr>
            <w:r>
              <w:t xml:space="preserve">Explain how the study size was arrived at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2.1: N = 47 (administrative census, all prefectures included); post-hoc power analysis reported (Section 3 / Appendix)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</w:pPr>
            <w: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2.2–2.3: all variables used as continuous; log-transformation applied in Specification 5 of sensitivity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</w:pPr>
            <w:r>
              <w:t xml:space="preserve">Describe all statistical methods including those used to control for confounding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2.3: OLS regression (Model 1: unadjusted; Model 2: adjusted for aging rate, income per capita, population density)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Subgroups / interactions</w:t>
            </w:r>
          </w:p>
        </w:tc>
        <w:tc>
          <w:tcPr/>
          <w:p>
            <w:pPr>
              <w:pStyle w:val="Compact"/>
            </w:pPr>
            <w:r>
              <w:t xml:space="preserve">Describe any methods used to examine subgroups and interactions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2.3: sensitivity analysis with 7 pre-specified specifications (HC3 SE, outlier exclusion, metropolitan exclusion, log-transformation, physician density added)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  <w:r>
              <w:t xml:space="preserve">Explain how missing data were addressed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2.1: no missing data (all 47 prefectures had complete data); 2 isolated nodes in spatial weights handled by median imputation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Sampling strategy</w:t>
            </w:r>
          </w:p>
        </w:tc>
        <w:tc>
          <w:tcPr/>
          <w:p>
            <w:pPr>
              <w:pStyle w:val="Compact"/>
            </w:pPr>
            <w:r>
              <w:t xml:space="preserve">If applicable, describe analytical methods taking account of sampling strategy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N/A: census of all 47 prefectures (no sampling) — noted in Section 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12e</w:t>
            </w:r>
          </w:p>
        </w:tc>
        <w:tc>
          <w:tcPr/>
          <w:p>
            <w:pPr>
              <w:pStyle w:val="Compac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</w:pPr>
            <w:r>
              <w:t xml:space="preserve">Describe any sensitivity analyses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2.3.4: 7 pre-specified sensitivity specifications; spatial regression (SLM) as additional sensitivity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Participants — numbers</w:t>
            </w:r>
          </w:p>
        </w:tc>
        <w:tc>
          <w:tcPr/>
          <w:p>
            <w:pPr>
              <w:pStyle w:val="Compact"/>
            </w:pPr>
            <w:r>
              <w:t xml:space="preserve">Report numbers of ecological units at each stage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3.1: N = 47 prefectures; no exclusions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13b</w:t>
            </w:r>
          </w:p>
        </w:tc>
        <w:tc>
          <w:tcPr/>
          <w:p>
            <w:pPr>
              <w:pStyle w:val="Compact"/>
            </w:pPr>
            <w:r>
              <w:t xml:space="preserve">Non-participation</w:t>
            </w:r>
          </w:p>
        </w:tc>
        <w:tc>
          <w:tcPr/>
          <w:p>
            <w:pPr>
              <w:pStyle w:val="Compact"/>
            </w:pPr>
            <w:r>
              <w:t xml:space="preserve">Give reasons for non-participation at each stage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N/A: complete census; no exclusions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13c</w:t>
            </w:r>
          </w:p>
        </w:tc>
        <w:tc>
          <w:tcPr/>
          <w:p>
            <w:pPr>
              <w:pStyle w:val="Compac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</w:pPr>
            <w:r>
              <w:t xml:space="preserve">Consider use of a flow diagram</w:t>
            </w:r>
          </w:p>
        </w:tc>
        <w:tc>
          <w:tcPr/>
          <w:p>
            <w:pPr>
              <w:pStyle w:val="Compact"/>
            </w:pPr>
            <w:r>
              <w:t xml:space="preserve">➖</w:t>
            </w:r>
          </w:p>
        </w:tc>
        <w:tc>
          <w:tcPr/>
          <w:p>
            <w:pPr>
              <w:pStyle w:val="Compact"/>
            </w:pPr>
            <w:r>
              <w:t xml:space="preserve">Not used (N = 47 complete census; flow diagram not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14a</w:t>
            </w:r>
          </w:p>
        </w:tc>
        <w:tc>
          <w:tcPr/>
          <w:p>
            <w:pPr>
              <w:pStyle w:val="Compac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</w:pPr>
            <w:r>
              <w:t xml:space="preserve">Give characteristics of study units and information on exposures and potential confounders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Table 1 (descriptive statistics: mean, SD, range for all variables)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  <w:r>
              <w:t xml:space="preserve">Indicate number of participants with missing data for each variable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3.1: no missing values in any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</w:pPr>
            <w:r>
              <w:t xml:space="preserve">Report numbers of outcome events or summary measures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Table 1 (POFM claim density: mean 103,963 per 100,000; range 68,804–154,850; 2.25-fold variation)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</w:pPr>
            <w:r>
              <w:t xml:space="preserve">Give unadjusted and adjusted estimates and their precision (95% CI)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Table 2 (Model 1 unadjusted, Model 2 adjusted; β, SE, 95% CI, p-value for all variables)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16b</w:t>
            </w:r>
          </w:p>
        </w:tc>
        <w:tc>
          <w:tcPr/>
          <w:p>
            <w:pPr>
              <w:pStyle w:val="Compact"/>
            </w:pPr>
            <w:r>
              <w:t xml:space="preserve">Category boundaries</w:t>
            </w:r>
          </w:p>
        </w:tc>
        <w:tc>
          <w:tcPr/>
          <w:p>
            <w:pPr>
              <w:pStyle w:val="Compact"/>
            </w:pPr>
            <w:r>
              <w:t xml:space="preserve">Report category boundaries when continuous variables were categorised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N/A: all variables treated as 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16c</w:t>
            </w:r>
          </w:p>
        </w:tc>
        <w:tc>
          <w:tcPr/>
          <w:p>
            <w:pPr>
              <w:pStyle w:val="Compact"/>
            </w:pPr>
            <w:r>
              <w:t xml:space="preserve">Absolute risk</w:t>
            </w:r>
          </w:p>
        </w:tc>
        <w:tc>
          <w:tcPr/>
          <w:p>
            <w:pPr>
              <w:pStyle w:val="Compact"/>
            </w:pPr>
            <w:r>
              <w:t xml:space="preserve">If relevant, consider translating relative measures into absolute risk</w:t>
            </w:r>
          </w:p>
        </w:tc>
        <w:tc>
          <w:tcPr/>
          <w:p>
            <w:pPr>
              <w:pStyle w:val="Compact"/>
            </w:pPr>
            <w:r>
              <w:t xml:space="preserve">➖</w:t>
            </w:r>
          </w:p>
        </w:tc>
        <w:tc>
          <w:tcPr/>
          <w:p>
            <w:pPr>
              <w:pStyle w:val="Compact"/>
            </w:pPr>
            <w:r>
              <w:t xml:space="preserve">N/A: ecological regression study; absolute risk translation not 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</w:pPr>
            <w:r>
              <w:t xml:space="preserve">Report other analyses (subgroups, interactions, sensitivity)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3.3–3.5: sensitivity analysis (7 specifications), spatial autocorrelation (Moran’s I = 0.210, p = 0.024), LISA cluster map, spatial lag model (SLM: ρ = 0.354, p = 0.002)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Key results</w:t>
            </w:r>
          </w:p>
        </w:tc>
        <w:tc>
          <w:tcPr/>
          <w:p>
            <w:pPr>
              <w:pStyle w:val="Compact"/>
            </w:pPr>
            <w: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4.1 (Summary of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Limitations</w:t>
            </w:r>
          </w:p>
        </w:tc>
        <w:tc>
          <w:tcPr/>
          <w:p>
            <w:pPr>
              <w:pStyle w:val="Compact"/>
            </w:pPr>
            <w:r>
              <w:t xml:space="preserve">Discuss limitations, including direction and magnitude of potential bias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4.6–4.7: ecological fallacy, MAUP, cross-sectional design, supply-demand confounding, underpowered sample (power = 73% for Model 2); post-hoc power analysis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Give a cautious overall interpretation considering objectives, limitations, and similar studies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4.2–4.8: consistent null finding across 7 specifications; spatial clustering as corroborating evidence; comparison with hospital-level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</w:pPr>
            <w: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Section 4.5 &amp; 4.8: ecological fallacy caveat; international implications for countries introducing perioperative oral care reimbursement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Funding</w:t>
            </w:r>
          </w:p>
        </w:tc>
        <w:tc>
          <w:tcPr/>
          <w:p>
            <w:pPr>
              <w:pStyle w:val="Compact"/>
            </w:pPr>
            <w: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Funding section: None declared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notes-on-ecological-study-adaptations"/>
    <w:p>
      <w:pPr>
        <w:pStyle w:val="Heading2"/>
      </w:pPr>
      <w:r>
        <w:t xml:space="preserve">Notes on Ecological Study Adaptations</w:t>
      </w:r>
    </w:p>
    <w:p>
      <w:pPr>
        <w:pStyle w:val="FirstParagraph"/>
      </w:pPr>
      <w:r>
        <w:t xml:space="preserve">This checklist is adapted from the standard STROBE v4 cross-sectional format. Several items are reinterpreted for the ecological study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 6 (Participants)</w:t>
      </w:r>
      <w:r>
        <w:t xml:space="preserve">: Refers to ecological units (prefectures), not individual participants.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 10 (Study size)</w:t>
      </w:r>
      <w:r>
        <w:t xml:space="preserve">: N = 47 is fixed by the administrative structure of Japan; post-hoc power analysis is reported as a sensitivity measure.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 13c (Flow diagram)</w:t>
      </w:r>
      <w:r>
        <w:t xml:space="preserve">: Not applicable; all 47 prefectures included with no exclusions.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 16c (Absolute risk)</w:t>
      </w:r>
      <w:r>
        <w:t xml:space="preserve">: Not applicable for ecological regression.</w:t>
      </w:r>
    </w:p>
    <w:p>
      <w:r>
        <w:pict>
          <v:rect style="width:0;height:1.5pt" o:hralign="center" o:hrstd="t" o:hr="t"/>
        </w:pict>
      </w:r>
    </w:p>
    <w:bookmarkEnd w:id="10"/>
    <w:bookmarkStart w:id="11" w:name="overall-assessment"/>
    <w:p>
      <w:pPr>
        <w:pStyle w:val="Heading2"/>
      </w:pPr>
      <w:r>
        <w:t xml:space="preserve">Overall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Title/Abstract</w:t>
            </w:r>
          </w:p>
        </w:tc>
        <w:tc>
          <w:tcPr/>
          <w:p>
            <w:pPr>
              <w:pStyle w:val="Compact"/>
            </w:pPr>
            <w:r>
              <w:t xml:space="preserve">✅ Fully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✅ Fully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✅ Fully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✅ Fully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✅ Fully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Funding</w:t>
            </w:r>
          </w:p>
        </w:tc>
        <w:tc>
          <w:tcPr/>
          <w:p>
            <w:pPr>
              <w:pStyle w:val="Compact"/>
            </w:pPr>
            <w:r>
              <w:t xml:space="preserve">✅ Reported (None)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22 STROBE items addressed. Checklist ready for submission as Supplementary material.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Prepared: 2026-06-19</w:t>
      </w:r>
      <w:r>
        <w:br/>
      </w:r>
      <w:r>
        <w:rPr>
          <w:i/>
          <w:iCs/>
        </w:rPr>
        <w:t xml:space="preserve">Corresponding author: Haruki Saito (m211039@fmu.ac.jp)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2026-06-19T05:59:09Z</dcterms:created>
  <dcterms:modified xsi:type="dcterms:W3CDTF">2026-06-19T05:59:09Z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