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f401d57f47ecb97aa6a26fe26e70e647e8e025c"/>
    <w:p>
      <w:pPr>
        <w:pStyle w:val="Heading1"/>
      </w:pPr>
      <w:r>
        <w:t xml:space="preserve">Cover Letter — Journal of Evaluation in Clinical Practice (Wiley)</w:t>
      </w:r>
    </w:p>
    <w:p>
      <w:r>
        <w:pict>
          <v:rect style="width:0;height:1.5pt" o:hralign="center" o:hrstd="t" o:hr="t"/>
        </w:pict>
      </w:r>
    </w:p>
    <w:p>
      <w:pPr>
        <w:pStyle w:val="FirstParagraph"/>
      </w:pPr>
      <w:r>
        <w:t xml:space="preserve">24 June 2026</w:t>
      </w:r>
    </w:p>
    <w:p>
      <w:pPr>
        <w:pStyle w:val="BodyText"/>
      </w:pPr>
      <w:r>
        <w:t xml:space="preserve">The Editorial Office</w:t>
      </w:r>
      <w:r>
        <w:br/>
      </w:r>
      <w:r>
        <w:rPr>
          <w:i/>
          <w:iCs/>
        </w:rPr>
        <w:t xml:space="preserve">Journal of Evaluation in Clinical Practice</w:t>
      </w:r>
      <w:r>
        <w:br/>
      </w:r>
      <w:r>
        <w:t xml:space="preserve">Wiley</w:t>
      </w:r>
    </w:p>
    <w:p>
      <w:r>
        <w:pict>
          <v:rect style="width:0;height:1.5pt" o:hralign="center" o:hrstd="t" o:hr="t"/>
        </w:pict>
      </w:r>
    </w:p>
    <w:p>
      <w:pPr>
        <w:pStyle w:val="FirstParagraph"/>
      </w:pPr>
      <w:r>
        <w:t xml:space="preserve">Dear Editor-in-Chief,</w:t>
      </w:r>
    </w:p>
    <w:p>
      <w:pPr>
        <w:pStyle w:val="BodyText"/>
      </w:pPr>
      <w:r>
        <w:t xml:space="preserve">I am writing on behalf of all co-authors to submit our manuscript entitled</w:t>
      </w:r>
      <w:r>
        <w:t xml:space="preserve"> </w:t>
      </w:r>
      <w:r>
        <w:rPr>
          <w:b/>
          <w:bCs/>
        </w:rPr>
        <w:t xml:space="preserve">“When Universal Coverage Meets Local Capacity: A Prefectural Ecological Analysis of Perioperative Oral Care in Japan”</w:t>
      </w:r>
      <w:r>
        <w:t xml:space="preserve"> </w:t>
      </w:r>
      <w:r>
        <w:t xml:space="preserve">for consideration as an</w:t>
      </w:r>
      <w:r>
        <w:t xml:space="preserve"> </w:t>
      </w:r>
      <w:r>
        <w:rPr>
          <w:b/>
          <w:bCs/>
        </w:rPr>
        <w:t xml:space="preserve">Original Paper</w:t>
      </w:r>
      <w:r>
        <w:t xml:space="preserve"> </w:t>
      </w:r>
      <w:r>
        <w:t xml:space="preserve">in the</w:t>
      </w:r>
      <w:r>
        <w:t xml:space="preserve"> </w:t>
      </w:r>
      <w:r>
        <w:rPr>
          <w:i/>
          <w:iCs/>
        </w:rPr>
        <w:t xml:space="preserve">Journal of Evaluation in Clinical Practice</w:t>
      </w:r>
      <w:r>
        <w:t xml:space="preserve">.</w:t>
      </w:r>
    </w:p>
    <w:bookmarkStart w:id="9" w:name="prior-submission-history"/>
    <w:p>
      <w:pPr>
        <w:pStyle w:val="Heading2"/>
      </w:pPr>
      <w:r>
        <w:t xml:space="preserve">Prior Submission History</w:t>
      </w:r>
    </w:p>
    <w:p>
      <w:pPr>
        <w:pStyle w:val="FirstParagraph"/>
      </w:pPr>
      <w:r>
        <w:t xml:space="preserve">This manuscript was previously submitted to</w:t>
      </w:r>
      <w:r>
        <w:t xml:space="preserve"> </w:t>
      </w:r>
      <w:r>
        <w:rPr>
          <w:i/>
          <w:iCs/>
        </w:rPr>
        <w:t xml:space="preserve">Health Policy</w:t>
      </w:r>
      <w:r>
        <w:t xml:space="preserve"> </w:t>
      </w:r>
      <w:r>
        <w:t xml:space="preserve">(Elsevier; Manuscript ID: HEAP-D-26-01327) and received a desk rejection on 24 June 2026 without external peer review. The editor noted that the paper</w:t>
      </w:r>
      <w:r>
        <w:t xml:space="preserve"> </w:t>
      </w:r>
      <w:r>
        <w:t xml:space="preserve">“did not attract sufficient support”</w:t>
      </w:r>
      <w:r>
        <w:t xml:space="preserve"> </w:t>
      </w:r>
      <w:r>
        <w:t xml:space="preserve">due to competition for space and fit to that journal’s scope, rather than scientific concerns. Following that decision, we received an automated Elsevier transfer recommendation, which we have declined. We are submitting this work independently to</w:t>
      </w:r>
      <w:r>
        <w:t xml:space="preserve"> </w:t>
      </w:r>
      <w:r>
        <w:rPr>
          <w:i/>
          <w:iCs/>
        </w:rPr>
        <w:t xml:space="preserve">Journal of Evaluation in Clinical Practice</w:t>
      </w:r>
      <w:r>
        <w:t xml:space="preserve"> </w:t>
      </w:r>
      <w:r>
        <w:t xml:space="preserve">as a new submission. The manuscript has not been submitted to any other journal and is not currently under consideration elsewhere.</w:t>
      </w:r>
    </w:p>
    <w:bookmarkEnd w:id="9"/>
    <w:bookmarkStart w:id="10" w:name="scope-and-relevance-to-the-journal"/>
    <w:p>
      <w:pPr>
        <w:pStyle w:val="Heading2"/>
      </w:pPr>
      <w:r>
        <w:t xml:space="preserve">Scope and Relevance to the Journal</w:t>
      </w:r>
    </w:p>
    <w:p>
      <w:pPr>
        <w:pStyle w:val="FirstParagraph"/>
      </w:pPr>
      <w:r>
        <w:t xml:space="preserve">The</w:t>
      </w:r>
      <w:r>
        <w:t xml:space="preserve"> </w:t>
      </w:r>
      <w:r>
        <w:rPr>
          <w:i/>
          <w:iCs/>
        </w:rPr>
        <w:t xml:space="preserve">Journal of Evaluation in Clinical Practice</w:t>
      </w:r>
      <w:r>
        <w:t xml:space="preserve"> </w:t>
      </w:r>
      <w:r>
        <w:t xml:space="preserve">serves as a leading international forum for research on public health policy and health services, with a strong focus on whether clinical interventions are implemented equitably and effectively in real-world healthcare systems. Our study directly addresses this mission.</w:t>
      </w:r>
    </w:p>
    <w:p>
      <w:pPr>
        <w:pStyle w:val="BodyText"/>
      </w:pPr>
      <w:r>
        <w:t xml:space="preserve">Perioperative oral functional management (POFM) is an evidence-based intervention — endorsed by international surgical guidelines — that reduces postoperative complications including pneumonia, stomatitis, and aspiration events. In Japan, POFM has been nationally reimbursed under universal health coverage since 2012, representing a mature natural experiment in the translation of clinical evidence into reimbursement policy. We use Japan’s 47 prefectures as ecological units and the National Database (NDB) of Health Insurance Claims and Specific Health Checkups as the data source, to examine a fundamental question:</w:t>
      </w:r>
      <w:r>
        <w:t xml:space="preserve"> </w:t>
      </w:r>
      <w:r>
        <w:rPr>
          <w:i/>
          <w:iCs/>
        </w:rPr>
        <w:t xml:space="preserve">does universal insurance coverage for an evidence-based perioperative procedure translate into need-aligned, equitable implementation in clinical practice?</w:t>
      </w:r>
    </w:p>
    <w:p>
      <w:pPr>
        <w:pStyle w:val="BodyText"/>
      </w:pPr>
      <w:r>
        <w:t xml:space="preserve">Our principal findings are:</w:t>
      </w:r>
    </w:p>
    <w:p>
      <w:pPr>
        <w:pStyle w:val="Compact"/>
        <w:numPr>
          <w:ilvl w:val="0"/>
          <w:numId w:val="1001"/>
        </w:numPr>
      </w:pPr>
      <w:r>
        <w:rPr>
          <w:b/>
          <w:bCs/>
        </w:rPr>
        <w:t xml:space="preserve">POFM delivery varies 2.25-fold across 47 Japanese prefectures</w:t>
      </w:r>
      <w:r>
        <w:t xml:space="preserve"> </w:t>
      </w:r>
      <w:r>
        <w:t xml:space="preserve">(range: 68,804–154,850 per 100,000 population), indicating marked geographic inequity under a system of universal coverage.</w:t>
      </w:r>
    </w:p>
    <w:p>
      <w:pPr>
        <w:pStyle w:val="Compact"/>
        <w:numPr>
          <w:ilvl w:val="0"/>
          <w:numId w:val="1001"/>
        </w:numPr>
      </w:pPr>
      <w:r>
        <w:rPr>
          <w:b/>
          <w:bCs/>
        </w:rPr>
        <w:t xml:space="preserve">Cancer surgical demand — the primary clinical need indicator — was not significantly associated with POFM provision in any of seven pre-specified sensitivity specifications</w:t>
      </w:r>
      <w:r>
        <w:t xml:space="preserve"> </w:t>
      </w:r>
      <w:r>
        <w:t xml:space="preserve">(0/7 at p &lt; 0.05). This robust null finding persists across heteroscedasticity-consistent standard errors, outlier exclusion, metropolitan exclusion, log-transformation, and spatial lag modelling.</w:t>
      </w:r>
    </w:p>
    <w:p>
      <w:pPr>
        <w:pStyle w:val="Compact"/>
        <w:numPr>
          <w:ilvl w:val="0"/>
          <w:numId w:val="1001"/>
        </w:numPr>
      </w:pPr>
      <w:r>
        <w:rPr>
          <w:b/>
          <w:bCs/>
        </w:rPr>
        <w:t xml:space="preserve">Dentist density was the strongest predictor of POFM delivery</w:t>
      </w:r>
      <w:r>
        <w:t xml:space="preserve"> </w:t>
      </w:r>
      <w:r>
        <w:t xml:space="preserve">(Pearson r = 0.617, p &lt; 0.0001), and</w:t>
      </w:r>
      <w:r>
        <w:t xml:space="preserve"> </w:t>
      </w:r>
      <w:r>
        <w:rPr>
          <w:b/>
          <w:bCs/>
        </w:rPr>
        <w:t xml:space="preserve">significant positive spatial autocorrelation was identified</w:t>
      </w:r>
      <w:r>
        <w:t xml:space="preserve"> </w:t>
      </w:r>
      <w:r>
        <w:t xml:space="preserve">(Moran’s I = 0.210, p = 0.024), suggesting that implementation patterns are determined by dental workforce supply infrastructure rather than by clinical demand.</w:t>
      </w:r>
    </w:p>
    <w:bookmarkEnd w:id="10"/>
    <w:bookmarkStart w:id="11" w:name="X555d755d3e517bd8ae76e4c97395707770f3fbe"/>
    <w:p>
      <w:pPr>
        <w:pStyle w:val="Heading2"/>
      </w:pPr>
      <w:r>
        <w:t xml:space="preserve">Why</w:t>
      </w:r>
      <w:r>
        <w:t xml:space="preserve"> </w:t>
      </w:r>
      <w:r>
        <w:rPr>
          <w:i/>
          <w:iCs/>
        </w:rPr>
        <w:t xml:space="preserve">Journal of Evaluation in Clinical Practice</w:t>
      </w:r>
    </w:p>
    <w:p>
      <w:pPr>
        <w:pStyle w:val="FirstParagraph"/>
      </w:pPr>
      <w:r>
        <w:t xml:space="preserve">These findings are directly relevant to the journal’s mission of evaluating clinical practice implementation and health services performance:</w:t>
      </w:r>
    </w:p>
    <w:p>
      <w:pPr>
        <w:pStyle w:val="Compact"/>
        <w:numPr>
          <w:ilvl w:val="0"/>
          <w:numId w:val="1002"/>
        </w:numPr>
      </w:pPr>
      <w:r>
        <w:rPr>
          <w:b/>
          <w:bCs/>
        </w:rPr>
        <w:t xml:space="preserve">Evaluation of a nationally reimbursed clinical practice</w:t>
      </w:r>
      <w:r>
        <w:t xml:space="preserve">: POFM is a concrete, well-defined clinical procedure. Our study evaluates whether its realised delivery pattern corresponds to clinical need — a core question for health services evaluation.</w:t>
      </w:r>
    </w:p>
    <w:p>
      <w:pPr>
        <w:pStyle w:val="Compact"/>
        <w:numPr>
          <w:ilvl w:val="0"/>
          <w:numId w:val="1002"/>
        </w:numPr>
      </w:pPr>
      <w:r>
        <w:rPr>
          <w:b/>
          <w:bCs/>
        </w:rPr>
        <w:t xml:space="preserve">Implementation science perspective</w:t>
      </w:r>
      <w:r>
        <w:t xml:space="preserve">: The persistent supply-sensitivity of POFM delivery, even after 14 years of universal reimbursement, illustrates a fundamental implementation gap between coverage policy and clinical practice at the point of care.</w:t>
      </w:r>
    </w:p>
    <w:p>
      <w:pPr>
        <w:pStyle w:val="Compact"/>
        <w:numPr>
          <w:ilvl w:val="0"/>
          <w:numId w:val="1002"/>
        </w:numPr>
      </w:pPr>
      <w:r>
        <w:rPr>
          <w:b/>
          <w:bCs/>
        </w:rPr>
        <w:t xml:space="preserve">Actionable findings for clinical practice</w:t>
      </w:r>
      <w:r>
        <w:t xml:space="preserve">: The spatial clustering of POFM delivery (Moran’s I = 0.210, p = 0.024; Spatial Lag Model ρ = 0.354, p = 0.002) points to the need for region-specific hospital–dental integration and referral pathway development — directly actionable by clinical programme leaders.</w:t>
      </w:r>
    </w:p>
    <w:p>
      <w:pPr>
        <w:pStyle w:val="Compact"/>
        <w:numPr>
          <w:ilvl w:val="0"/>
          <w:numId w:val="1002"/>
        </w:numPr>
      </w:pPr>
      <w:r>
        <w:rPr>
          <w:b/>
          <w:bCs/>
        </w:rPr>
        <w:t xml:space="preserve">International transferability</w:t>
      </w:r>
      <w:r>
        <w:t xml:space="preserve">: Countries now incorporating perioperative oral care into reimbursement systems (including several European nations and South Korea) face identical implementation challenges; Japan’s 14-year experience provides a timely and instructive empirical case study.</w:t>
      </w:r>
    </w:p>
    <w:bookmarkEnd w:id="11"/>
    <w:bookmarkStart w:id="12" w:name="study-strengths"/>
    <w:p>
      <w:pPr>
        <w:pStyle w:val="Heading2"/>
      </w:pPr>
      <w:r>
        <w:t xml:space="preserve">Study Strengths</w:t>
      </w:r>
    </w:p>
    <w:p>
      <w:pPr>
        <w:pStyle w:val="Compact"/>
        <w:numPr>
          <w:ilvl w:val="0"/>
          <w:numId w:val="1003"/>
        </w:numPr>
      </w:pPr>
      <w:r>
        <w:rPr>
          <w:b/>
          <w:bCs/>
        </w:rPr>
        <w:t xml:space="preserve">Nationwide census</w:t>
      </w:r>
      <w:r>
        <w:t xml:space="preserve">: All 47 Japanese prefectures included; no sampling bias.</w:t>
      </w:r>
    </w:p>
    <w:p>
      <w:pPr>
        <w:pStyle w:val="Compact"/>
        <w:numPr>
          <w:ilvl w:val="0"/>
          <w:numId w:val="1003"/>
        </w:numPr>
      </w:pPr>
      <w:r>
        <w:rPr>
          <w:b/>
          <w:bCs/>
        </w:rPr>
        <w:t xml:space="preserve">Robust null finding</w:t>
      </w:r>
      <w:r>
        <w:t xml:space="preserve">: Consistent across 7 pre-specified sensitivity specifications.</w:t>
      </w:r>
    </w:p>
    <w:p>
      <w:pPr>
        <w:pStyle w:val="Compact"/>
        <w:numPr>
          <w:ilvl w:val="0"/>
          <w:numId w:val="1003"/>
        </w:numPr>
      </w:pPr>
      <w:r>
        <w:rPr>
          <w:b/>
          <w:bCs/>
        </w:rPr>
        <w:t xml:space="preserve">Spatial epidemiology</w:t>
      </w:r>
      <w:r>
        <w:t xml:space="preserve">: Formal spatial autocorrelation analysis (Moran’s I, LISA, spatial lag model) strengthens interpretation.</w:t>
      </w:r>
    </w:p>
    <w:p>
      <w:pPr>
        <w:pStyle w:val="Compact"/>
        <w:numPr>
          <w:ilvl w:val="0"/>
          <w:numId w:val="1003"/>
        </w:numPr>
      </w:pPr>
      <w:r>
        <w:rPr>
          <w:b/>
          <w:bCs/>
        </w:rPr>
        <w:t xml:space="preserve">Transparent and open science</w:t>
      </w:r>
      <w:r>
        <w:t xml:space="preserve">: Analysis code is openly available via GitHub (https://github.com/haruki00430/NDB_POFM) and Zenodo (https://doi.org/10.5281/zenodo.20756258).</w:t>
      </w:r>
    </w:p>
    <w:bookmarkEnd w:id="12"/>
    <w:bookmarkStart w:id="13" w:name="declarations"/>
    <w:p>
      <w:pPr>
        <w:pStyle w:val="Heading2"/>
      </w:pPr>
      <w:r>
        <w:t xml:space="preserve">Declarations</w:t>
      </w:r>
    </w:p>
    <w:p>
      <w:pPr>
        <w:pStyle w:val="Compact"/>
        <w:numPr>
          <w:ilvl w:val="0"/>
          <w:numId w:val="1004"/>
        </w:numPr>
      </w:pPr>
      <w:r>
        <w:rPr>
          <w:b/>
          <w:bCs/>
        </w:rPr>
        <w:t xml:space="preserve">Previous submission</w:t>
      </w:r>
      <w:r>
        <w:t xml:space="preserve">: Previously submitted to</w:t>
      </w:r>
      <w:r>
        <w:t xml:space="preserve"> </w:t>
      </w:r>
      <w:r>
        <w:rPr>
          <w:i/>
          <w:iCs/>
        </w:rPr>
        <w:t xml:space="preserve">Health Policy</w:t>
      </w:r>
      <w:r>
        <w:t xml:space="preserve"> </w:t>
      </w:r>
      <w:r>
        <w:t xml:space="preserve">(Elsevier; HEAP-D-26-01327); desk rejected 24 June 2026 without peer review. Elsevier’s automated transfer recommendation was declined. Not submitted elsewhere.</w:t>
      </w:r>
    </w:p>
    <w:p>
      <w:pPr>
        <w:pStyle w:val="Compact"/>
        <w:numPr>
          <w:ilvl w:val="0"/>
          <w:numId w:val="1004"/>
        </w:numPr>
      </w:pPr>
      <w:r>
        <w:rPr>
          <w:b/>
          <w:bCs/>
        </w:rPr>
        <w:t xml:space="preserve">Ethics</w:t>
      </w:r>
      <w:r>
        <w:t xml:space="preserve">: This study used publicly available aggregate data (NDB Open Data, published by the Ministry of Health, Labour and Welfare of Japan). Individual informed consent and institutional ethics review were not required under Japanese ethical guidelines for epidemiological research using publicly disclosed aggregate statistics (Ethical Guidelines for Medical and Health Research Involving Human Subjects, Ministry of Health, Labour and Welfare, Japan).</w:t>
      </w:r>
    </w:p>
    <w:p>
      <w:pPr>
        <w:pStyle w:val="Compact"/>
        <w:numPr>
          <w:ilvl w:val="0"/>
          <w:numId w:val="1004"/>
        </w:numPr>
      </w:pPr>
      <w:r>
        <w:rPr>
          <w:b/>
          <w:bCs/>
        </w:rPr>
        <w:t xml:space="preserve">Data availability</w:t>
      </w:r>
      <w:r>
        <w:t xml:space="preserve">: NDB Open Data are publicly available from the Ministry of Health, Labour and Welfare of Japan (https://www.mhlw.go.jp/stf/seisakunitsuite/bunya/0000177182.html). Analysis code is available at https://github.com/haruki00430/NDB_POFM and archived on Zenodo (https://doi.org/10.5281/zenodo.20756258).</w:t>
      </w:r>
    </w:p>
    <w:p>
      <w:pPr>
        <w:pStyle w:val="Compact"/>
        <w:numPr>
          <w:ilvl w:val="0"/>
          <w:numId w:val="1004"/>
        </w:numPr>
      </w:pPr>
      <w:r>
        <w:rPr>
          <w:b/>
          <w:bCs/>
        </w:rPr>
        <w:t xml:space="preserve">Conflicts of interest</w:t>
      </w:r>
      <w:r>
        <w:t xml:space="preserve">: The authors declare no conflicts of interest.</w:t>
      </w:r>
    </w:p>
    <w:p>
      <w:pPr>
        <w:pStyle w:val="Compact"/>
        <w:numPr>
          <w:ilvl w:val="0"/>
          <w:numId w:val="1004"/>
        </w:numPr>
      </w:pPr>
      <w:r>
        <w:rPr>
          <w:b/>
          <w:bCs/>
        </w:rPr>
        <w:t xml:space="preserve">Funding</w:t>
      </w:r>
      <w:r>
        <w:t xml:space="preserve">: None declared.</w:t>
      </w:r>
    </w:p>
    <w:p>
      <w:pPr>
        <w:pStyle w:val="Compact"/>
        <w:numPr>
          <w:ilvl w:val="0"/>
          <w:numId w:val="1004"/>
        </w:numPr>
      </w:pPr>
      <w:r>
        <w:rPr>
          <w:b/>
          <w:bCs/>
        </w:rPr>
        <w:t xml:space="preserve">AI use disclosure</w:t>
      </w:r>
      <w:r>
        <w:t xml:space="preserve">: AI-assisted tools (Claude, Anthropic) were used in manuscript preparation, including text editing and figure/table organisation. All intellectual content, analytical decisions, and interpretations are the sole responsibility of the authors.</w:t>
      </w:r>
    </w:p>
    <w:p>
      <w:pPr>
        <w:pStyle w:val="Compact"/>
        <w:numPr>
          <w:ilvl w:val="0"/>
          <w:numId w:val="1004"/>
        </w:numPr>
      </w:pPr>
      <w:r>
        <w:rPr>
          <w:b/>
          <w:bCs/>
        </w:rPr>
        <w:t xml:space="preserve">Reporting guideline</w:t>
      </w:r>
      <w:r>
        <w:t xml:space="preserve">: A completed STROBE checklist for observational research is submitted as a supplementary file.</w:t>
      </w:r>
    </w:p>
    <w:p>
      <w:pPr>
        <w:pStyle w:val="Compact"/>
        <w:numPr>
          <w:ilvl w:val="0"/>
          <w:numId w:val="1004"/>
        </w:numPr>
      </w:pPr>
      <w:r>
        <w:rPr>
          <w:b/>
          <w:bCs/>
        </w:rPr>
        <w:t xml:space="preserve">Word count</w:t>
      </w:r>
      <w:r>
        <w:t xml:space="preserve">: Approximately 2,325 words (body text, excluding Abstract, References, Tables, and Figure legends), well within the journal’s 5,000-word limit.</w:t>
      </w:r>
    </w:p>
    <w:p>
      <w:pPr>
        <w:pStyle w:val="Compact"/>
        <w:numPr>
          <w:ilvl w:val="0"/>
          <w:numId w:val="1004"/>
        </w:numPr>
      </w:pPr>
      <w:r>
        <w:rPr>
          <w:b/>
          <w:bCs/>
        </w:rPr>
        <w:t xml:space="preserve">Figures and Tables</w:t>
      </w:r>
      <w:r>
        <w:t xml:space="preserve">: 4 items in the main body (Table 1, Table 2, Figure 3, Figure 6); 5 supplementary figures (Appendix A1–A5).</w:t>
      </w:r>
    </w:p>
    <w:p>
      <w:pPr>
        <w:pStyle w:val="FirstParagraph"/>
      </w:pPr>
      <w:r>
        <w:t xml:space="preserve">We believe this study makes a timely and relevant contribution to the evaluation of clinical practice implementation under universal coverage, and we hope it will be of interest to readers of</w:t>
      </w:r>
      <w:r>
        <w:t xml:space="preserve"> </w:t>
      </w:r>
      <w:r>
        <w:rPr>
          <w:i/>
          <w:iCs/>
        </w:rPr>
        <w:t xml:space="preserve">Journal of Evaluation in Clinical Practice</w:t>
      </w:r>
      <w:r>
        <w:t xml:space="preserve">. We look forward to your consideration.</w:t>
      </w:r>
    </w:p>
    <w:p>
      <w:pPr>
        <w:pStyle w:val="BodyText"/>
      </w:pPr>
      <w:r>
        <w:t xml:space="preserve">Yours sincerely,</w:t>
      </w:r>
    </w:p>
    <w:p>
      <w:pPr>
        <w:pStyle w:val="BodyText"/>
      </w:pPr>
      <w:r>
        <w:rPr>
          <w:b/>
          <w:bCs/>
        </w:rPr>
        <w:t xml:space="preserve">Haruki Saito, MD</w:t>
      </w:r>
      <w:r>
        <w:br/>
      </w:r>
      <w:r>
        <w:t xml:space="preserve">Department of Epidemiology, Fukushima Medical University School of Medicine</w:t>
      </w:r>
      <w:r>
        <w:br/>
      </w:r>
      <w:r>
        <w:t xml:space="preserve">1 Hikarigaoka, Fukushima-shi, Fukushima 960-1295, Japan</w:t>
      </w:r>
      <w:r>
        <w:br/>
      </w:r>
      <w:r>
        <w:t xml:space="preserve">Email: m211039@fmu.ac.jp</w:t>
      </w:r>
      <w:r>
        <w:br/>
      </w:r>
      <w:r>
        <w:t xml:space="preserve">ORCID: 0009-0009-7890-6068</w:t>
      </w:r>
    </w:p>
    <w:p>
      <w:pPr>
        <w:pStyle w:val="BodyText"/>
      </w:pPr>
      <w:r>
        <w:rPr>
          <w:i/>
          <w:iCs/>
        </w:rPr>
        <w:t xml:space="preserve">On behalf of all co-authors:</w:t>
      </w:r>
      <w:r>
        <w:br/>
      </w:r>
      <w:r>
        <w:rPr>
          <w:i/>
          <w:iCs/>
        </w:rPr>
        <w:t xml:space="preserve">Tetsuya Ohira¹², ORCID: 0000-0003-4532-7165</w:t>
      </w:r>
      <w:r>
        <w:br/>
      </w:r>
      <w:r>
        <w:rPr>
          <w:i/>
          <w:iCs/>
        </w:rPr>
        <w:t xml:space="preserve">¹ Department of Epidemiology, Fukushima Medical University School of Medicine, Fukushima, Japan</w:t>
      </w:r>
      <w:r>
        <w:br/>
      </w:r>
      <w:r>
        <w:rPr>
          <w:i/>
          <w:iCs/>
        </w:rPr>
        <w:t xml:space="preserve">² Radiation Medical Science Center for the Fukushima Health Management Survey, Fukushima Medical University, Fukushima, Japan</w:t>
      </w:r>
    </w:p>
    <w:p>
      <w:r>
        <w:pict>
          <v:rect style="width:0;height:1.5pt" o:hralign="center" o:hrstd="t" o:hr="t"/>
        </w:pict>
      </w:r>
    </w:p>
    <w:p>
      <w:pPr>
        <w:pStyle w:val="FirstParagraph"/>
      </w:pPr>
      <w:r>
        <w:rPr>
          <w:i/>
          <w:iCs/>
        </w:rPr>
        <w:t xml:space="preserve">Corresponding author for all correspondence regarding this manuscript.</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2026-06-24T09:46:42Z</dcterms:created>
  <dcterms:modified xsi:type="dcterms:W3CDTF">2026-06-24T09:46:42Z</dcterms:modified>
</cp:coreProperties>
</file>

<file path=docProps/custom.xml><?xml version="1.0" encoding="utf-8"?>
<Properties xmlns="http://schemas.openxmlformats.org/officeDocument/2006/custom-properties" xmlns:vt="http://schemas.openxmlformats.org/officeDocument/2006/docPropsVTypes"/>
</file>