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B7049"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r>
        <w:rPr/>
        <w:t>Running title: Perioperative Oral Care Under Universal Coverage</w:t>
      </w:r>
    </w:p>
    <w:p w14:paraId="3441E7E3" w14:textId="77777777" w:rsidR="00515C9D" w:rsidRDefault="00515C9D"/>
    <w:p w14:paraId="5F69B2C0" w14:textId="77777777" w:rsidR="0055388C" w:rsidRDefault="00000000">
      <w:pPr>
        <w:pStyle w:val="1"/>
      </w:pPr>
      <w:r>
        <w:t>Abstract</w:t>
      </w:r>
    </w:p>
    <w:p w14:paraId="74FB4DEF" w14:textId="27D304A5" w:rsidR="0055388C" w:rsidRPr="00B61F97" w:rsidRDefault="00CE7776">
      <w:pPr>
        <w:pStyle w:val="FirstParagraph"/>
      </w:pPr>
      <w:r w:rsidRPr="00CE7776">
        <w:rPr>
          <w:b/>
          <w:bCs/>
        </w:rPr>
        <w:t>Rationale</w:t>
      </w:r>
      <w:r>
        <w:rPr>
          <w:b/>
          <w:bCs/>
        </w:rPr>
        <w:t xml:space="preserve">: </w:t>
      </w:r>
      <w:r w:rsidRPr="00B61F97">
        <w:t xml:space="preserve"> Universal health coverage should align evidence-based care with clinical need, yet regional delivery may remain supply-sensitive. Perioperative oral functional management (POFM) is nationally reimbursed in Japan since 2012, but whether provision reflects surgical demand or healthcare supply capacity is unknown.</w:t>
      </w:r>
    </w:p>
    <w:p w14:paraId="67E9B006" w14:textId="388C041F" w:rsidR="00515C9D" w:rsidRDefault="00985A50">
      <w:r w:rsidRPr="00985A50">
        <w:rPr>
          <w:b/>
          <w:bCs/>
        </w:rPr>
        <w:t>Aims and Objectives</w:t>
      </w:r>
      <w:r w:rsidR="00000000" w:rsidRPr="003C1EF6">
        <w:rPr>
          <w:b/>
          <w:bCs/>
        </w:rPr>
        <w:t>:</w:t>
      </w:r>
      <w:r w:rsidR="00000000">
        <w:t xml:space="preserve"> To characterize prefectural variation in POFM delivery across Japan, identify its association with cancer surgical demand and dental workforce supply, and assess spatial clustering.</w:t>
      </w:r>
    </w:p>
    <w:p w14:paraId="0B12CD18" w14:textId="1BBD21FB" w:rsidR="0055388C" w:rsidRPr="00B61F97" w:rsidRDefault="00000000">
      <w:pPr>
        <w:pStyle w:val="a0"/>
      </w:pPr>
      <w:r>
        <w:rPr>
          <w:b/>
          <w:bCs/>
        </w:rPr>
        <w:t>Method:</w:t>
      </w:r>
      <w:r w:rsidRPr="00B61F97">
        <w:t xml:space="preserve"> Prefectural ecological study (N = 47) using Japan’s 10th NDB Open Data (fiscal year 2023). The primary outcome was POFM claim density per 100,000 population; the need-side exposure was major cancer surgery density (16 K-codes). We applied OLS regression with HC3 robust standard errors, seven pre-specified sensitivity analyses, Global Moran’s I, Lagrange Multiplier tests, and spatial lag regression.</w:t>
      </w:r>
    </w:p>
    <w:p w14:paraId="6B52CF4F" w14:textId="77777777" w:rsidR="0055388C" w:rsidRPr="00B61F97" w:rsidRDefault="00000000">
      <w:pPr>
        <w:pStyle w:val="a0"/>
      </w:pPr>
      <w:r>
        <w:rPr>
          <w:b/>
          <w:bCs/>
        </w:rPr>
        <w:t>Results:</w:t>
      </w:r>
      <w:r w:rsidRPr="00B61F97">
        <w:t xml:space="preserve"> POFM density varied 2.25-fold across 47 prefectures (68,804–154,850 per 100,000). Cancer surgery density was not significantly associated with POFM density in any sensitivity specification (0/7 significant). Dentist density was the strongest predictor (r = 0.617, p &lt; 0.0001). Significant positive spatial autocorrelation was identified (Moran’s I = 0.210, p = 0.024). The Spatial Lag Model confirmed a significant </w:t>
      </w:r>
      <w:r w:rsidRPr="00B61F97">
        <w:lastRenderedPageBreak/>
        <w:t>autoregressive coefficient (ρ = 0.354, p = 0.002), with cancer surgery density remaining non-significant.</w:t>
      </w:r>
    </w:p>
    <w:p w14:paraId="62E7EF60" w14:textId="41CD5933" w:rsidR="0055388C" w:rsidRPr="00B61F97" w:rsidRDefault="00000000">
      <w:pPr>
        <w:pStyle w:val="a0"/>
      </w:pPr>
      <w:r>
        <w:rPr>
          <w:b/>
          <w:bCs/>
        </w:rPr>
        <w:t xml:space="preserve">Conclusion: </w:t>
      </w:r>
      <w:r w:rsidRPr="00B61F97">
        <w:t>POFM delivery is supply-sensitive rather than need-aligned under Japan’s universal coverage system. Equitable implementation may require simultaneous investment in dental workforce capacity, hospital–dental integration, and knowledge transfer alongside reimbursement.</w:t>
      </w:r>
    </w:p>
    <w:p w14:paraId="76D72271" w14:textId="77777777" w:rsidR="0055388C" w:rsidRPr="00B61F97" w:rsidRDefault="00000000">
      <w:pPr>
        <w:pStyle w:val="a0"/>
      </w:pPr>
      <w:r>
        <w:rPr>
          <w:b/>
          <w:bCs/>
        </w:rPr>
        <w:t xml:space="preserve">Keywords: </w:t>
      </w:r>
      <w:r w:rsidRPr="00B61F97">
        <w:t>perioperative oral care; supply-driven care; universal health coverage; NDB Open Data; ecological study; spatial autocorrelation; Japan</w:t>
      </w:r>
    </w:p>
    <w:p w14:paraId="365150D2" w14:textId="77777777" w:rsidR="0055388C" w:rsidRDefault="00000000">
      <w:r>
        <w:pict w14:anchorId="0E82CCFC">
          <v:rect id="_x0000_i1025" style="width:0;height:1.5pt" o:hralign="center" o:hrstd="t" o:hr="t"/>
        </w:pict>
      </w:r>
    </w:p>
    <w:p w14:paraId="68966739" w14:textId="77777777" w:rsidR="00515C9D" w:rsidRDefault="00515C9D"/>
    <w:p w14:paraId="3471E746" w14:textId="77777777" w:rsidR="0055388C" w:rsidRDefault="00000000">
      <w:pPr>
        <w:pStyle w:val="1"/>
      </w:pPr>
      <w:bookmarkStart w:id="1" w:name="introduction"/>
      <w:bookmarkEnd w:id="0"/>
      <w:r>
        <w:t>1. Introduction</w:t>
      </w:r>
    </w:p>
    <w:p w14:paraId="10C22ECA" w14:textId="23643642" w:rsidR="0055388C" w:rsidRDefault="00000000">
      <w:pPr>
        <w:pStyle w:val="FirstParagraph"/>
      </w:pPr>
      <w:r>
        <w:t xml:space="preserve">Healthcare systems aim to allocate evidence-based care according to patient need. However, regional healthcare delivery often reflects provider availability, institutional capacity, and local practice patterns rather than need alone </w:t>
      </w:r>
      <w:r w:rsidR="001215DF">
        <w:rPr>
          <w:rFonts w:hint="eastAsia"/>
          <w:lang w:eastAsia="ja-JP"/>
        </w:rPr>
        <w:t>[</w:t>
      </w:r>
      <w:r>
        <w:t>1–4</w:t>
      </w:r>
      <w:r w:rsidR="001215DF">
        <w:t>]</w:t>
      </w:r>
      <w:r>
        <w:t>. This gap between need-driven allocation and supply-sensitive delivery has been central to the literature on unwarranted geographic variation in healthcare, but has been less often examined for dental-medical integration within universal health insurance systems.</w:t>
      </w:r>
    </w:p>
    <w:p w14:paraId="0489C45E" w14:textId="45F94DDA" w:rsidR="0055388C" w:rsidRDefault="00000000">
      <w:pPr>
        <w:pStyle w:val="a0"/>
      </w:pPr>
      <w:r>
        <w:t xml:space="preserve">Perioperative oral functional management (POFM) is an evidence-based practice that reduces postoperative complications such as aspiration pneumonia, surgical site infections, and mucositis in patients undergoing major surgery, radiotherapy, or chemotherapy </w:t>
      </w:r>
      <w:r w:rsidR="001215DF">
        <w:rPr>
          <w:rFonts w:hint="eastAsia"/>
          <w:lang w:eastAsia="ja-JP"/>
        </w:rPr>
        <w:t>[</w:t>
      </w:r>
      <w:r>
        <w:t>5–11</w:t>
      </w:r>
      <w:r w:rsidR="001215DF">
        <w:t>]</w:t>
      </w:r>
      <w:r>
        <w:t>.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343EFA7A" w14:textId="386223EF" w:rsidR="0055388C" w:rsidRDefault="00000000">
      <w:pPr>
        <w:pStyle w:val="a0"/>
      </w:pPr>
      <w:r>
        <w:t xml:space="preserve">In practice, however, POFM delivery may depend not only on the number of eligible surgical patients but also on whether local health systems have the dental workforce, hospital dental departments, referral pathways, and multidisciplinary routines needed to deliver the service </w:t>
      </w:r>
      <w:r w:rsidR="001215DF">
        <w:rPr>
          <w:rFonts w:hint="eastAsia"/>
          <w:lang w:eastAsia="ja-JP"/>
        </w:rPr>
        <w:t>[</w:t>
      </w:r>
      <w:r>
        <w:t>13–16</w:t>
      </w:r>
      <w:r w:rsidR="001215DF">
        <w:t>]</w:t>
      </w:r>
      <w:r>
        <w:t>. This distinction is important because universal coverage creates formal eligibility, but implementation capacity determines whether evidence-based care actually reaches patients.</w:t>
      </w:r>
    </w:p>
    <w:p w14:paraId="6F1BFA3A"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1F5B7018" w14:textId="77777777" w:rsidR="0055388C" w:rsidRDefault="00000000">
      <w:r>
        <w:pict w14:anchorId="4AFE9EDC">
          <v:rect id="_x0000_i1026" style="width:0;height:1.5pt" o:hralign="center" o:hrstd="t" o:hr="t"/>
        </w:pict>
      </w:r>
    </w:p>
    <w:p w14:paraId="11E80749" w14:textId="77777777" w:rsidR="0055388C" w:rsidRDefault="00000000">
      <w:pPr>
        <w:pStyle w:val="1"/>
      </w:pPr>
      <w:bookmarkStart w:id="2" w:name="methods"/>
      <w:bookmarkEnd w:id="1"/>
      <w:r>
        <w:lastRenderedPageBreak/>
        <w:t>2. Methods</w:t>
      </w:r>
    </w:p>
    <w:p w14:paraId="0D6C48B3" w14:textId="77777777" w:rsidR="0055388C" w:rsidRDefault="00000000">
      <w:pPr>
        <w:pStyle w:val="2"/>
      </w:pPr>
      <w:bookmarkStart w:id="3" w:name="study-design-and-setting"/>
      <w:r>
        <w:t>2.1 Study Design and Setting</w:t>
      </w:r>
    </w:p>
    <w:p w14:paraId="0E2DB1F4"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0A109697" w14:textId="77777777" w:rsidR="0055388C" w:rsidRDefault="00000000">
      <w:pPr>
        <w:pStyle w:val="2"/>
      </w:pPr>
      <w:bookmarkStart w:id="4" w:name="data-sources"/>
      <w:bookmarkEnd w:id="3"/>
      <w:r>
        <w:t>2.2 Data Sources</w:t>
      </w:r>
    </w:p>
    <w:p w14:paraId="396DD421" w14:textId="77777777" w:rsidR="0055388C" w:rsidRDefault="00000000">
      <w:pPr>
        <w:pStyle w:val="3"/>
      </w:pPr>
      <w:bookmarkStart w:id="5" w:name="primary-outcome-pofm-density"/>
      <w:r>
        <w:t>2.2.1 Primary Outcome: POFM Density</w:t>
      </w:r>
    </w:p>
    <w:p w14:paraId="456FD572" w14:textId="77777777" w:rsidR="0055388C" w:rsidRDefault="00000000">
      <w:pPr>
        <w:pStyle w:val="FirstParagraph"/>
      </w:pPr>
      <w:r>
        <w:t>The primary outcome was perioperative oral management density (POFM density), defined as:</w:t>
      </w:r>
    </w:p>
    <w:p w14:paraId="6E5C5FF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68DB4420" w14:textId="09C0F645" w:rsidR="0055388C" w:rsidRDefault="00000000">
      <w:pPr>
        <w:pStyle w:val="FirstParagraph"/>
      </w:pPr>
      <w:r>
        <w:t>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utili</w:t>
      </w:r>
      <w:r w:rsidR="001215DF">
        <w:rPr>
          <w:rFonts w:hint="eastAsia"/>
          <w:lang w:eastAsia="ja-JP"/>
        </w:rPr>
        <w:t>z</w:t>
      </w:r>
      <w:r>
        <w:t>ation intensity across all POFM-eligible patients (including cancer surgery, chemotherapy, and radiation therapy patients) in each prefecture.</w:t>
      </w:r>
    </w:p>
    <w:p w14:paraId="3ED169F3" w14:textId="77777777" w:rsidR="0055388C" w:rsidRDefault="00000000">
      <w:pPr>
        <w:pStyle w:val="3"/>
      </w:pPr>
      <w:bookmarkStart w:id="6" w:name="X0eb28d1810381ce2e68c9ee95092723629f42a8"/>
      <w:bookmarkEnd w:id="5"/>
      <w:r>
        <w:t>2.2.2 Exposure Variable: Major Cancer Surgery Density</w:t>
      </w:r>
    </w:p>
    <w:p w14:paraId="02DA5F74" w14:textId="1A924067" w:rsidR="0055388C" w:rsidRDefault="00000000">
      <w:pPr>
        <w:pStyle w:val="FirstParagraph"/>
      </w:pPr>
      <w:r>
        <w:t xml:space="preserve">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w:t>
      </w:r>
      <w:r w:rsidR="001215DF">
        <w:rPr>
          <w:rFonts w:hint="eastAsia"/>
          <w:lang w:eastAsia="ja-JP"/>
        </w:rPr>
        <w:t>[</w:t>
      </w:r>
      <w:r>
        <w:t>5,7–11</w:t>
      </w:r>
      <w:r w:rsidR="001215DF">
        <w:t>]</w:t>
      </w:r>
      <w:r>
        <w:t>. Because POFM eligibility also extends to chemotherapy and radiotherapy patients, cancer surgery density should be regarded as a pragmatic demand-side proxy rather than a comprehensive measure of total POFM-eligible need.</w:t>
      </w:r>
    </w:p>
    <w:p w14:paraId="0E8CA642" w14:textId="77777777" w:rsidR="0055388C" w:rsidRDefault="00000000">
      <w:pPr>
        <w:pStyle w:val="3"/>
      </w:pPr>
      <w:bookmarkStart w:id="7" w:name="covariates"/>
      <w:bookmarkEnd w:id="6"/>
      <w:r>
        <w:t>2.2.3 Covariates</w:t>
      </w:r>
    </w:p>
    <w:p w14:paraId="44D2DF89"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68D66608"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041523E4" w14:textId="77777777" w:rsidR="0055388C" w:rsidRPr="00B61F97" w:rsidRDefault="00000000">
      <w:pPr>
        <w:pStyle w:val="Compact"/>
        <w:numPr>
          <w:ilvl w:val="0"/>
          <w:numId w:val="2"/>
        </w:numPr>
      </w:pPr>
      <w:r w:rsidRPr="00B61F97">
        <w:t>Population density: Persons per km², from the same prefectural statistics</w:t>
      </w:r>
    </w:p>
    <w:p w14:paraId="3A0E9348"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5C350680" w14:textId="77777777" w:rsidR="0055388C" w:rsidRPr="00B61F97" w:rsidRDefault="00000000">
      <w:pPr>
        <w:pStyle w:val="Compact"/>
        <w:numPr>
          <w:ilvl w:val="0"/>
          <w:numId w:val="2"/>
        </w:numPr>
      </w:pPr>
      <w:r w:rsidRPr="00B61F97">
        <w:t>Dentists per 100,000 population (sensitivity analysis only): Calendar year 2022, derived from the Survey of Physicians, Dentists and Pharmacists (Ministry of Health, Labour and Welfare) [19], capturing the density of dentists working in medical facilities (hospitals and clinics)</w:t>
      </w:r>
    </w:p>
    <w:p w14:paraId="79473211" w14:textId="77777777" w:rsidR="0055388C" w:rsidRDefault="00000000">
      <w:pPr>
        <w:pStyle w:val="2"/>
      </w:pPr>
      <w:bookmarkStart w:id="8" w:name="statistical-analysis"/>
      <w:bookmarkEnd w:id="4"/>
      <w:bookmarkEnd w:id="7"/>
      <w:r>
        <w:t>2.3 Statistical Analysis</w:t>
      </w:r>
    </w:p>
    <w:p w14:paraId="3B58A0A6" w14:textId="77777777" w:rsidR="0055388C" w:rsidRDefault="00000000">
      <w:pPr>
        <w:pStyle w:val="3"/>
      </w:pPr>
      <w:bookmarkStart w:id="9" w:name="primary-analysis"/>
      <w:r>
        <w:t>2.3.1 Primary Analysis</w:t>
      </w:r>
    </w:p>
    <w:p w14:paraId="5217DE7D"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78BF479C"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5D2B2295" w14:textId="77777777" w:rsidR="0055388C" w:rsidRDefault="00000000">
      <w:pPr>
        <w:pStyle w:val="3"/>
      </w:pPr>
      <w:bookmarkStart w:id="10" w:name="sensitivity-analysis"/>
      <w:bookmarkEnd w:id="9"/>
      <w:r>
        <w:t>2.3.2 Sensitivity Analysis</w:t>
      </w:r>
    </w:p>
    <w:p w14:paraId="5ADA9228"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0E25F52E" w14:textId="77777777" w:rsidR="0055388C" w:rsidRDefault="00000000">
      <w:pPr>
        <w:pStyle w:val="3"/>
      </w:pPr>
      <w:bookmarkStart w:id="11" w:name="spatial-analysis"/>
      <w:bookmarkEnd w:id="10"/>
      <w:r>
        <w:t>2.3.3 Spatial Analysis</w:t>
      </w:r>
    </w:p>
    <w:p w14:paraId="613BA7B9"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[20,21]. Local Moran’s I (LISA) identified High-High and Low-Low clusters [22].</w:t>
      </w:r>
    </w:p>
    <w:p w14:paraId="489E3F05"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[22].</w:t>
      </w:r>
    </w:p>
    <w:p w14:paraId="79E48259" w14:textId="77777777" w:rsidR="0055388C" w:rsidRDefault="00000000">
      <w:pPr>
        <w:pStyle w:val="3"/>
      </w:pPr>
      <w:bookmarkStart w:id="12" w:name="post-hoc-statistical-power"/>
      <w:bookmarkEnd w:id="11"/>
      <w:r>
        <w:t>2.3.4 Post-hoc Statistical Power</w:t>
      </w:r>
    </w:p>
    <w:p w14:paraId="4E6980E0"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4081E49F" w14:textId="0D259C6C" w:rsidR="0055388C" w:rsidRDefault="00000000">
      <w:pPr>
        <w:pStyle w:val="a0"/>
      </w:pPr>
      <w:r>
        <w:t>All analyses were performed in Python 3.</w:t>
      </w:r>
      <w:r w:rsidR="00504C64">
        <w:rPr>
          <w:rFonts w:hint="eastAsia"/>
          <w:lang w:eastAsia="ja-JP"/>
        </w:rPr>
        <w:t>14</w:t>
      </w:r>
      <w:r>
        <w:t xml:space="preserve"> using pandas, statsmodels, geopandas, libpysal, esda, and spreg.</w:t>
      </w:r>
    </w:p>
    <w:p w14:paraId="522C7A08" w14:textId="77777777" w:rsidR="0055388C" w:rsidRDefault="00000000">
      <w:r>
        <w:pict w14:anchorId="25214A6C">
          <v:rect id="_x0000_i1027" style="width:0;height:1.5pt" o:hralign="center" o:hrstd="t" o:hr="t"/>
        </w:pict>
      </w:r>
    </w:p>
    <w:p w14:paraId="0F526FAF" w14:textId="77777777" w:rsidR="0055388C" w:rsidRDefault="00000000">
      <w:pPr>
        <w:pStyle w:val="1"/>
      </w:pPr>
      <w:bookmarkStart w:id="13" w:name="results"/>
      <w:bookmarkEnd w:id="2"/>
      <w:bookmarkEnd w:id="8"/>
      <w:bookmarkEnd w:id="12"/>
      <w:r>
        <w:t>3. Results</w:t>
      </w:r>
    </w:p>
    <w:p w14:paraId="689339D4" w14:textId="77777777" w:rsidR="0055388C" w:rsidRDefault="00000000">
      <w:pPr>
        <w:pStyle w:val="2"/>
      </w:pPr>
      <w:bookmarkStart w:id="14" w:name="descriptive-statistics"/>
      <w:r>
        <w:t>3.1 Descriptive Statistics</w:t>
      </w:r>
    </w:p>
    <w:p w14:paraId="731E6F20"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719A1B27" w14:textId="77777777" w:rsidR="0055388C" w:rsidRDefault="00000000">
      <w:pPr>
        <w:pStyle w:val="a0"/>
      </w:pPr>
      <w:r>
        <w:rPr>
          <w:i/>
          <w:iCs/>
        </w:rPr>
        <w:t>(See Table 1)</w:t>
      </w:r>
    </w:p>
    <w:p w14:paraId="4010A32D" w14:textId="77777777" w:rsidR="0055388C" w:rsidRDefault="00000000">
      <w:pPr>
        <w:pStyle w:val="2"/>
      </w:pPr>
      <w:bookmarkStart w:id="15" w:name="Xaea9b64a92838ee461e6d923ac0ce37f9f5fbd4"/>
      <w:bookmarkEnd w:id="14"/>
      <w:r>
        <w:t>3.2 Spatial Distribution of POFM and Cancer Surgery Density</w:t>
      </w:r>
    </w:p>
    <w:p w14:paraId="5950C080" w14:textId="77777777" w:rsidR="0055388C" w:rsidRDefault="00000000">
      <w:pPr>
        <w:pStyle w:val="FirstParagraph"/>
      </w:pPr>
      <w:r>
        <w:t>The POFM density map (Figure 3)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09F5CF76" w14:textId="77777777" w:rsidR="0055388C" w:rsidRDefault="00000000">
      <w:pPr>
        <w:pStyle w:val="a0"/>
      </w:pPr>
      <w:r>
        <w:t>(See Figure 3 and Supplementary Figure S1)</w:t>
      </w:r>
    </w:p>
    <w:p w14:paraId="362496FE" w14:textId="77777777" w:rsidR="0055388C" w:rsidRDefault="00000000">
      <w:pPr>
        <w:pStyle w:val="2"/>
      </w:pPr>
      <w:bookmarkStart w:id="16" w:name="Xda1057937d0ed8cc33f4b376fb12b3e67d47e70"/>
      <w:bookmarkEnd w:id="15"/>
      <w:r>
        <w:lastRenderedPageBreak/>
        <w:t>3.3 Association Between Cancer Surgery Density and POFM Density</w:t>
      </w:r>
    </w:p>
    <w:p w14:paraId="34C15FCC" w14:textId="77777777" w:rsidR="0055388C" w:rsidRDefault="00000000">
      <w:pPr>
        <w:pStyle w:val="FirstParagraph"/>
      </w:pPr>
      <w:r>
        <w:t>The scatter plot (Figure 4) shows no clear linear association between cancer surgery density and POFM density across prefectures.</w:t>
      </w:r>
    </w:p>
    <w:p w14:paraId="7984E08F" w14:textId="77777777" w:rsidR="0055388C" w:rsidRDefault="00000000">
      <w:pPr>
        <w:pStyle w:val="a0"/>
      </w:pPr>
      <w:r>
        <w:t>(See Appendix Figure A4)</w:t>
      </w:r>
    </w:p>
    <w:p w14:paraId="79A7CAC7" w14:textId="77777777" w:rsidR="0055388C" w:rsidRDefault="00000000">
      <w:pPr>
        <w:pStyle w:val="a0"/>
      </w:pPr>
      <w:r>
        <w:rPr>
          <w:i/>
          <w:iCs/>
        </w:rPr>
        <w:t>(See Table 2)</w:t>
      </w:r>
    </w:p>
    <w:p w14:paraId="351B25CF"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6D86573B" w14:textId="77777777" w:rsidR="0055388C" w:rsidRDefault="00000000">
      <w:pPr>
        <w:pStyle w:val="2"/>
      </w:pPr>
      <w:bookmarkStart w:id="17" w:name="sensitivity-analysis-1"/>
      <w:bookmarkEnd w:id="16"/>
      <w:r>
        <w:t>3.4 Sensitivity Analysis</w:t>
      </w:r>
    </w:p>
    <w:p w14:paraId="55CD54E3" w14:textId="31F1D8CB" w:rsidR="0055388C" w:rsidRDefault="00000000">
      <w:pPr>
        <w:pStyle w:val="FirstParagraph"/>
      </w:pPr>
      <w:r>
        <w:t>The forest plot (Figure 5) summari</w:t>
      </w:r>
      <w:r w:rsidR="00CC117D">
        <w:rPr>
          <w:rFonts w:hint="eastAsia"/>
          <w:lang w:eastAsia="ja-JP"/>
        </w:rPr>
        <w:t>z</w:t>
      </w:r>
      <w:r>
        <w:t>es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p>
    <w:p w14:paraId="413E7C61" w14:textId="77777777" w:rsidR="0055388C" w:rsidRDefault="00000000">
      <w:pPr>
        <w:pStyle w:val="a0"/>
      </w:pPr>
      <w:r>
        <w:t>(See Appendix Figure A5)</w:t>
      </w:r>
    </w:p>
    <w:p w14:paraId="15366F01" w14:textId="77777777" w:rsidR="0055388C" w:rsidRDefault="00000000">
      <w:pPr>
        <w:pStyle w:val="2"/>
      </w:pPr>
      <w:bookmarkStart w:id="18" w:name="Xf17e011490ba64478f50f7aa3a5783be3d55067"/>
      <w:bookmarkEnd w:id="17"/>
      <w:r>
        <w:t>3.5 Spatial Autocorrelation and Spatial Regression</w:t>
      </w:r>
    </w:p>
    <w:p w14:paraId="644D4411" w14:textId="6620F231" w:rsidR="0055388C" w:rsidRDefault="00000000">
      <w:pPr>
        <w:pStyle w:val="FirstParagraph"/>
      </w:pPr>
      <w:r>
        <w:t>Global Moran’s I for POFM density was I = 0.210 (p = 0.024), indicating positive spatial autocorrelation. Two prefectures lacked Queen contiguity neighbors and were assigned median neighborhood weights.</w:t>
      </w:r>
    </w:p>
    <w:p w14:paraId="03391DB1"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4134B6CA" w14:textId="77777777" w:rsidR="0055388C" w:rsidRDefault="00000000">
      <w:pPr>
        <w:pStyle w:val="a0"/>
      </w:pPr>
      <w:r>
        <w:t>The SLM produced a significant spatial autoregressive coefficient (ρ = 0.354, z = 3.14, p = 0.002). Cancer surgery density remained non-significant (β = 114.2, z = 0.79, p = 0.431). Model fit improved relative to OLS (pseudo-R² = 0.350; AIC 1081.1 vs. 1087.1; Supplementary Table S1).</w:t>
      </w:r>
    </w:p>
    <w:p w14:paraId="1E5532A9" w14:textId="77777777" w:rsidR="0055388C" w:rsidRDefault="00000000">
      <w:pPr>
        <w:pStyle w:val="a0"/>
      </w:pPr>
      <w:r>
        <w:t>Selected spatial lag model coefficients are provided in Supplementary Table S1.</w:t>
      </w:r>
    </w:p>
    <w:p w14:paraId="45854E9E" w14:textId="77777777" w:rsidR="0055388C" w:rsidRDefault="00000000">
      <w:pPr>
        <w:pStyle w:val="a0"/>
      </w:pPr>
      <w:r>
        <w:t>LISA identified three High-High clusters in western Japan (Hyogo, Okayama, Saga) and three Low-Low clusters (Hokkaido, Iwate, Okinawa; Figure 6). No High-Low or significant Low-High clusters were detected.</w:t>
      </w:r>
    </w:p>
    <w:p w14:paraId="2625D958" w14:textId="77777777" w:rsidR="0055388C" w:rsidRDefault="00000000">
      <w:pPr>
        <w:pStyle w:val="a0"/>
      </w:pPr>
      <w:r>
        <w:lastRenderedPageBreak/>
        <w:t>(See Figure 6)</w:t>
      </w:r>
    </w:p>
    <w:p w14:paraId="150FC58F" w14:textId="77777777" w:rsidR="0055388C" w:rsidRDefault="00000000">
      <w:r>
        <w:pict w14:anchorId="0930C550">
          <v:rect id="_x0000_i1028" style="width:0;height:1.5pt" o:hralign="center" o:hrstd="t" o:hr="t"/>
        </w:pict>
      </w:r>
    </w:p>
    <w:p w14:paraId="191AC875" w14:textId="77777777" w:rsidR="0055388C" w:rsidRDefault="00000000">
      <w:pPr>
        <w:pStyle w:val="1"/>
      </w:pPr>
      <w:bookmarkStart w:id="19" w:name="discussion"/>
      <w:bookmarkEnd w:id="13"/>
      <w:bookmarkEnd w:id="18"/>
      <w:r>
        <w:t>4. Discussion</w:t>
      </w:r>
    </w:p>
    <w:p w14:paraId="3388EB40" w14:textId="77777777" w:rsidR="0055388C" w:rsidRDefault="00000000">
      <w:pPr>
        <w:pStyle w:val="2"/>
      </w:pPr>
      <w:bookmarkStart w:id="20" w:name="summary-of-findings"/>
      <w:r>
        <w:t>4.1 Summary of Findings</w:t>
      </w:r>
    </w:p>
    <w:p w14:paraId="26B5B950"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492FB58" w14:textId="77777777" w:rsidR="0055388C" w:rsidRDefault="00000000">
      <w:pPr>
        <w:pStyle w:val="2"/>
      </w:pPr>
      <w:bookmarkStart w:id="21" w:name="X0e0375f1f85cf4a79257867a1fdb80c684492f3"/>
      <w:bookmarkEnd w:id="20"/>
      <w:r>
        <w:t>4.2 Healthcare Reimbursement Does Not Equal Healthcare Implementation</w:t>
      </w:r>
    </w:p>
    <w:p w14:paraId="35C12B2C" w14:textId="6B944007" w:rsidR="0055388C" w:rsidRDefault="00000000">
      <w:pPr>
        <w:pStyle w:val="FirstParagraph"/>
      </w:pPr>
      <w:r>
        <w:t xml:space="preserve">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w:t>
      </w:r>
      <w:r w:rsidR="0031271F">
        <w:rPr>
          <w:rFonts w:hint="eastAsia"/>
          <w:lang w:eastAsia="ja-JP"/>
        </w:rPr>
        <w:t>[</w:t>
      </w:r>
      <w:r>
        <w:t>1-4</w:t>
      </w:r>
      <w:r w:rsidR="0031271F">
        <w:t>]</w:t>
      </w:r>
      <w:r>
        <w:t>. POFM may therefore serve as a signal of whether regional systems can implement an evidence-based perioperative service.</w:t>
      </w:r>
    </w:p>
    <w:p w14:paraId="4EA20668"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38DCB24D" w14:textId="04371AC1" w:rsidR="0055388C" w:rsidRDefault="00000000">
      <w:pPr>
        <w:pStyle w:val="a0"/>
      </w:pPr>
      <w:r>
        <w:t xml:space="preserve">Even so, the observed pattern is difficult to explain by need alone. Supply-side capacity, including hospital dental departments, trained POFM providers, referral pathways, and multidisciplinary perioperative routines, may strongly influence local uptake </w:t>
      </w:r>
      <w:r w:rsidR="0031271F">
        <w:rPr>
          <w:rFonts w:hint="eastAsia"/>
          <w:lang w:eastAsia="ja-JP"/>
        </w:rPr>
        <w:t>[</w:t>
      </w:r>
      <w:r>
        <w:t>13-15</w:t>
      </w:r>
      <w:r w:rsidR="0031271F">
        <w:t>]</w:t>
      </w:r>
      <w:r>
        <w:t>.</w:t>
      </w:r>
    </w:p>
    <w:p w14:paraId="05B10ABE" w14:textId="0BBEAF1B" w:rsidR="0055388C" w:rsidRDefault="00000000">
      <w:pPr>
        <w:pStyle w:val="a0"/>
      </w:pPr>
      <w:r>
        <w:t>Historical implementation momentum may also matter. Early-adopting prefectures or university hospitals may have maintained higher utili</w:t>
      </w:r>
      <w:r w:rsidR="0031271F">
        <w:rPr>
          <w:rFonts w:hint="eastAsia"/>
          <w:lang w:eastAsia="ja-JP"/>
        </w:rPr>
        <w:t>z</w:t>
      </w:r>
      <w:r>
        <w:t>ation through accumulated expertise and referral routines, consistent with diffusion of healthcare innovations [24,25].</w:t>
      </w:r>
    </w:p>
    <w:p w14:paraId="73F5DB89" w14:textId="77777777" w:rsidR="0055388C" w:rsidRDefault="00000000">
      <w:pPr>
        <w:pStyle w:val="2"/>
      </w:pPr>
      <w:bookmarkStart w:id="22" w:name="spatial-regression-and-lisa-clustering"/>
      <w:bookmarkEnd w:id="21"/>
      <w:r>
        <w:t>4.3 Spatial Diffusion of Supply-Driven Implementation</w:t>
      </w:r>
    </w:p>
    <w:p w14:paraId="39F3FFAB" w14:textId="77777777" w:rsidR="0055388C" w:rsidRDefault="00000000">
      <w:pPr>
        <w:pStyle w:val="FirstParagraph"/>
      </w:pPr>
      <w:r>
        <w:t xml:space="preserve">The significant spatial autoregressive coefficient (ρ = 0.354, p = 0.002) indicates that POFM uptake was spatially patterned. This is compatible with regional diffusion </w:t>
      </w:r>
      <w:r>
        <w:lastRenderedPageBreak/>
        <w:t>through professional networks, dental school outreach, and shared hospital dentistry staff pools, although these mechanisms were not directly measured [14,16,25,26].</w:t>
      </w:r>
    </w:p>
    <w:p w14:paraId="60A42859" w14:textId="77777777" w:rsidR="0055388C" w:rsidRDefault="00000000">
      <w:pPr>
        <w:pStyle w:val="a0"/>
      </w:pPr>
      <w:r>
        <w:t>The SLM fit better than OLS (ΔAIC = -6.0; pseudo-R² = 0.350 vs. OLS R² = 0.197), supporting the importance of spatial dependence in prefecture-level utilisation analyses [21]. Cancer surgery density remained non-significant in the SLM, again indicating that this demand proxy alone did not explain POFM provision.</w:t>
      </w:r>
    </w:p>
    <w:p w14:paraId="14ACC762" w14:textId="2F04D4F6" w:rsidR="0055388C" w:rsidRDefault="00000000">
      <w:pPr>
        <w:pStyle w:val="a0"/>
      </w:pPr>
      <w:r>
        <w:t>LISA locali</w:t>
      </w:r>
      <w:r w:rsidR="0031271F">
        <w:rPr>
          <w:rFonts w:hint="eastAsia"/>
          <w:lang w:eastAsia="ja-JP"/>
        </w:rPr>
        <w:t>z</w:t>
      </w:r>
      <w:r>
        <w:t xml:space="preserve">ed the spatial signal to HH clusters in Hyogo, Okayama, and Saga, and LL clusters in Hokkaido, Iwate, and Okinawa (Figure 6). These patterns are compatible with established medical-dental collaboration in some western regions and more constrained healthcare access in peripheral areas </w:t>
      </w:r>
      <w:r w:rsidR="0031271F">
        <w:rPr>
          <w:rFonts w:hint="eastAsia"/>
          <w:lang w:eastAsia="ja-JP"/>
        </w:rPr>
        <w:t>[</w:t>
      </w:r>
      <w:r>
        <w:t>16,25,27-29</w:t>
      </w:r>
      <w:r w:rsidR="0031271F">
        <w:t>]</w:t>
      </w:r>
      <w:r>
        <w:t>.</w:t>
      </w:r>
    </w:p>
    <w:p w14:paraId="4369C767" w14:textId="77777777" w:rsidR="0055388C" w:rsidRDefault="00000000">
      <w:pPr>
        <w:pStyle w:val="2"/>
      </w:pPr>
      <w:bookmarkStart w:id="23" w:name="X27902cb60bc071ff410ed64cb6a261fb90dbf71"/>
      <w:bookmarkEnd w:id="22"/>
      <w:r>
        <w:t>4.4 Supply-Side Determinants of Need-Based POFM Delivery</w:t>
      </w:r>
    </w:p>
    <w:p w14:paraId="4C139B3A" w14:textId="77777777" w:rsidR="0055388C" w:rsidRDefault="00000000">
      <w:pPr>
        <w:pStyle w:val="FirstParagraph"/>
      </w:pPr>
      <w:r>
        <w:t>The findings point to supply-side capacity as a plausible driver of POFM provision (Figure 1). Three mechanisms are relevant.</w:t>
      </w:r>
    </w:p>
    <w:p w14:paraId="2736CD9F" w14:textId="76A35B27" w:rsidR="0055388C" w:rsidRDefault="00000000">
      <w:pPr>
        <w:pStyle w:val="a0"/>
      </w:pPr>
      <w:r>
        <w:t xml:space="preserve">First, dental workforce capacity is central. Dentist density showed the strongest bivariate association with POFM density (r = 0.617, p &lt; 0.0001; Figure 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w:t>
      </w:r>
      <w:r w:rsidR="000768DA">
        <w:rPr>
          <w:rFonts w:hint="eastAsia"/>
          <w:lang w:eastAsia="ja-JP"/>
        </w:rPr>
        <w:t>[</w:t>
      </w:r>
      <w:r>
        <w:t>13-16,30-33</w:t>
      </w:r>
      <w:r w:rsidR="000768DA">
        <w:t>]</w:t>
      </w:r>
      <w:r>
        <w:t>.</w:t>
      </w:r>
    </w:p>
    <w:p w14:paraId="7C7B2686" w14:textId="77777777" w:rsidR="0055388C" w:rsidRDefault="00000000">
      <w:pPr>
        <w:pStyle w:val="a0"/>
      </w:pPr>
      <w:r>
        <w:rPr>
          <w:i/>
          <w:iCs/>
        </w:rPr>
        <w:t>(See Appendix Figure A2)</w:t>
      </w:r>
    </w:p>
    <w:p w14:paraId="1B81D3C0" w14:textId="5FE596BE" w:rsidR="0055388C" w:rsidRDefault="00000000">
      <w:pPr>
        <w:pStyle w:val="a0"/>
      </w:pPr>
      <w:r>
        <w:t>Second, multidisciplinary infrastructure, including oral medicine specialists, dental representation in cancer care, and standardi</w:t>
      </w:r>
      <w:r w:rsidR="000768DA">
        <w:rPr>
          <w:rFonts w:hint="eastAsia"/>
          <w:lang w:eastAsia="ja-JP"/>
        </w:rPr>
        <w:t>z</w:t>
      </w:r>
      <w:r>
        <w:t>ed referral protocols, can facilitate POFM implementation even where surgical caseload is not high [16,28].</w:t>
      </w:r>
    </w:p>
    <w:p w14:paraId="5EA523F8" w14:textId="77777777" w:rsidR="0055388C" w:rsidRDefault="00000000">
      <w:pPr>
        <w:pStyle w:val="a0"/>
      </w:pPr>
      <w:r>
        <w:t>Third, implementation lags may follow fee-schedule revisions. Expanded reimbursement requires institutional registration, credentialled personnel, and functioning referral routes; these requirements may diffuse unevenly across regions [12,24,34].</w:t>
      </w:r>
    </w:p>
    <w:p w14:paraId="0061DC48" w14:textId="542ED3FC" w:rsidR="0055388C" w:rsidRDefault="00000000">
      <w:pPr>
        <w:pStyle w:val="2"/>
      </w:pPr>
      <w:bookmarkStart w:id="24" w:name="comparison-with-prior-studies"/>
      <w:bookmarkEnd w:id="23"/>
      <w:r>
        <w:t xml:space="preserve">4.5 Comparison </w:t>
      </w:r>
      <w:r w:rsidR="000768DA">
        <w:rPr>
          <w:rFonts w:hint="eastAsia"/>
          <w:lang w:eastAsia="ja-JP"/>
        </w:rPr>
        <w:t>w</w:t>
      </w:r>
      <w:r>
        <w:t>ith Prior Studies and Health Policy Implications</w:t>
      </w:r>
    </w:p>
    <w:p w14:paraId="454C5AF2" w14:textId="418FB727" w:rsidR="0055388C" w:rsidRDefault="00000000">
      <w:pPr>
        <w:pStyle w:val="FirstParagraph"/>
      </w:pPr>
      <w:r>
        <w:t xml:space="preserve">Prior Japanese studies have examined POFM mainly at the hospital or patient level and documented postoperative benefits </w:t>
      </w:r>
      <w:r w:rsidR="00E012A6">
        <w:rPr>
          <w:rFonts w:hint="eastAsia"/>
          <w:lang w:eastAsia="ja-JP"/>
        </w:rPr>
        <w:t>[</w:t>
      </w:r>
      <w:r>
        <w:t>5,7-10</w:t>
      </w:r>
      <w:r w:rsidR="00E012A6">
        <w:t>]</w:t>
      </w:r>
      <w:r>
        <w:t>. This study adds a macro-level health services perspective: even nationally reimbursed evidence-based care may remain supply-sensitive. POFM may therefore function as a case study of supply-driven implementation within universal health insurance.</w:t>
      </w:r>
    </w:p>
    <w:p w14:paraId="1D49D6E0" w14:textId="77777777" w:rsidR="0055388C" w:rsidRDefault="00000000">
      <w:pPr>
        <w:pStyle w:val="FirstParagraph"/>
      </w:pPr>
      <w:r>
        <w:lastRenderedPageBreak/>
        <w:t>The implications may extend beyond perioperative oral care. Other multidisciplinary services requiring cross-professional coordination may similarly depend on local implementation capacity rather than clinical need alone.</w:t>
      </w:r>
    </w:p>
    <w:p w14:paraId="34C512E3" w14:textId="77777777" w:rsidR="0055388C" w:rsidRDefault="00000000">
      <w:pPr>
        <w:pStyle w:val="2"/>
      </w:pPr>
      <w:bookmarkStart w:id="25" w:name="strengths-and-limitations"/>
      <w:bookmarkEnd w:id="24"/>
      <w:r>
        <w:t>4.6 Strengths and Limitations</w:t>
      </w:r>
    </w:p>
    <w:p w14:paraId="07725B32"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492140A4" w14:textId="542E69C7" w:rsidR="0055388C" w:rsidRPr="00B61F97" w:rsidRDefault="00000000">
      <w:pPr>
        <w:pStyle w:val="a0"/>
      </w:pPr>
      <w:r w:rsidRPr="00B61F97">
        <w:t>Limitations: First, ecological analyses cannot support individual-level inference [35,36]. Second, POFM claim density captures utili</w:t>
      </w:r>
      <w:r w:rsidR="00B60117">
        <w:rPr>
          <w:rFonts w:hint="eastAsia"/>
          <w:lang w:eastAsia="ja-JP"/>
        </w:rPr>
        <w:t>z</w:t>
      </w:r>
      <w:r w:rsidRPr="00B61F97">
        <w:t>ation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neighborhood weights for two island prefectures may marginally influence spatial estimates.</w:t>
      </w:r>
    </w:p>
    <w:p w14:paraId="1BB9A541" w14:textId="77777777" w:rsidR="0055388C" w:rsidRDefault="00000000">
      <w:pPr>
        <w:pStyle w:val="2"/>
      </w:pPr>
      <w:bookmarkStart w:id="26" w:name="policy-implications"/>
      <w:bookmarkEnd w:id="25"/>
      <w:r>
        <w:t>4.7 Policy Implications: Coverage Alone Does Not Ensure Equitable Implementation</w:t>
      </w:r>
    </w:p>
    <w:p w14:paraId="3C0561A4" w14:textId="77777777" w:rsidR="0055388C" w:rsidRDefault="00000000">
      <w:pPr>
        <w:pStyle w:val="FirstParagraph"/>
      </w:pPr>
      <w:r>
        <w:t>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implementation capacity remains heterogeneous. Monitoring claims-based regional variation can identify evidence-based services that are formally covered but not yet delivered in a need-aligned manner.</w:t>
      </w:r>
    </w:p>
    <w:p w14:paraId="357F9ECE" w14:textId="20AD63EE"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w:t>
      </w:r>
      <w:r w:rsidR="00327913">
        <w:rPr>
          <w:rFonts w:hint="eastAsia"/>
          <w:lang w:eastAsia="ja-JP"/>
        </w:rPr>
        <w:t>[</w:t>
      </w:r>
      <w:r>
        <w:t>5–11</w:t>
      </w:r>
      <w:r w:rsidR="00327913">
        <w:t>]</w:t>
      </w:r>
      <w:r>
        <w:t xml:space="preserve">, reimbursement may increasingly be adopted internationally. However, this study suggests that coverage alone may be insufficient: parallel investment in dental workforce development, hospital-dental integration, referral pathway infrastructure, and multidisciplinary care </w:t>
      </w:r>
      <w:r>
        <w:lastRenderedPageBreak/>
        <w:t>routines may be equally necessary to translate formal eligibility into equitable access to evidence-based perioperative care.</w:t>
      </w:r>
    </w:p>
    <w:p w14:paraId="7BFC1096" w14:textId="77777777" w:rsidR="0055388C" w:rsidRDefault="00000000">
      <w:pPr>
        <w:pStyle w:val="2"/>
      </w:pPr>
      <w:bookmarkStart w:id="27" w:name="conclusions"/>
      <w:bookmarkEnd w:id="26"/>
      <w:r>
        <w:t>4.8 Conclusions</w:t>
      </w:r>
    </w:p>
    <w:p w14:paraId="10153CD6"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19CB986A" w14:textId="77777777" w:rsidR="0055388C" w:rsidRDefault="00000000">
      <w:r>
        <w:pict w14:anchorId="2F0E4AC1">
          <v:rect id="_x0000_i1029" style="width:0;height:1.5pt" o:hralign="center" o:hrstd="t" o:hr="t"/>
        </w:pict>
      </w:r>
    </w:p>
    <w:p w14:paraId="32A2D69A" w14:textId="77777777" w:rsidR="0055388C" w:rsidRDefault="00000000">
      <w:pPr>
        <w:pStyle w:val="1"/>
      </w:pPr>
      <w:bookmarkStart w:id="28" w:name="acknowledgments"/>
      <w:bookmarkEnd w:id="19"/>
      <w:bookmarkEnd w:id="27"/>
      <w:r>
        <w:t>Acknowledgments</w:t>
      </w:r>
    </w:p>
    <w:p w14:paraId="2C0F9F59" w14:textId="77777777" w:rsidR="0055388C" w:rsidRDefault="00000000">
      <w:pPr>
        <w:pStyle w:val="FirstParagraph"/>
      </w:pPr>
      <w:r>
        <w:t>The authors thank the Ministry of Health, Labour and Welfare of Japan for providing access to the NDB Open Data. All data used are publicly available aggregate statistics.</w:t>
      </w:r>
    </w:p>
    <w:p w14:paraId="6E60E528" w14:textId="77777777" w:rsidR="0055388C" w:rsidRDefault="00000000">
      <w:pPr>
        <w:pStyle w:val="1"/>
      </w:pPr>
      <w:bookmarkStart w:id="29" w:name="conflicts-of-interest"/>
      <w:bookmarkEnd w:id="28"/>
      <w:r>
        <w:t>Conflicts of Interest</w:t>
      </w:r>
    </w:p>
    <w:p w14:paraId="164428D8" w14:textId="77777777" w:rsidR="0055388C" w:rsidRDefault="00000000">
      <w:pPr>
        <w:pStyle w:val="FirstParagraph"/>
      </w:pPr>
      <w:r>
        <w:t>The authors declare no conflicts of interest.</w:t>
      </w:r>
    </w:p>
    <w:p w14:paraId="4FDF9CF1" w14:textId="77777777" w:rsidR="0055388C" w:rsidRDefault="00000000">
      <w:pPr>
        <w:pStyle w:val="1"/>
      </w:pPr>
      <w:bookmarkStart w:id="30" w:name="data-availability"/>
      <w:bookmarkEnd w:id="29"/>
      <w:r>
        <w:t>Data Availability</w:t>
      </w:r>
    </w:p>
    <w:p w14:paraId="5094A56A" w14:textId="77777777" w:rsidR="0055388C" w:rsidRDefault="00000000">
      <w:pPr>
        <w:pStyle w:val="FirstParagraph"/>
      </w:pPr>
      <w:r>
        <w:t>The NDB Open Data used in this analysis are publicly available from the Ministry of Health, Labour and Welfare of Japan (https://www.mhlw.go.jp/stf/seisakunitsuite/bunya/0000177182.html). Analysis code is available at https://github.com/haruki00430/NDB_POFM and archived on Zenodo (https://doi.org/10.5281/zenodo.20756258).</w:t>
      </w:r>
    </w:p>
    <w:p w14:paraId="719AA181" w14:textId="5FB0A8E9" w:rsidR="0055388C" w:rsidRDefault="00ED6A67">
      <w:pPr>
        <w:pStyle w:val="1"/>
      </w:pPr>
      <w:bookmarkStart w:id="31" w:name="author-contributions"/>
      <w:bookmarkEnd w:id="30"/>
      <w:r>
        <w:t>Author Contributions</w:t>
      </w:r>
    </w:p>
    <w:p w14:paraId="012A08B5" w14:textId="77777777" w:rsidR="00ED6A67" w:rsidRPr="00327913" w:rsidRDefault="00ED6A67" w:rsidP="00ED6A67">
      <w:pPr>
        <w:pStyle w:val="FirstParagraph"/>
        <w:rPr>
          <w:rFonts w:asciiTheme="majorHAnsi" w:hAnsiTheme="majorHAnsi" w:cstheme="majorHAnsi"/>
        </w:rPr>
      </w:pPr>
      <w:r w:rsidRPr="00327913">
        <w:rPr>
          <w:rFonts w:asciiTheme="majorHAnsi" w:hAnsiTheme="majorHAnsi" w:cstheme="majorHAnsi"/>
        </w:rPr>
        <w:t>Haruki Saito: Conceptualization, Data curation, Formal analysis, Investigation, Methodology, Software, Visualization, Writing – original draft, Writing – review and editing.</w:t>
      </w:r>
    </w:p>
    <w:p w14:paraId="754D80FB" w14:textId="449CBFCD" w:rsidR="00EA41A2" w:rsidRPr="00EA41A2" w:rsidRDefault="00ED6A67" w:rsidP="00ED6A67">
      <w:pPr>
        <w:pStyle w:val="a0"/>
        <w:rPr>
          <w:lang w:eastAsia="ja-JP"/>
        </w:rPr>
      </w:pPr>
      <w:r w:rsidRPr="00327913">
        <w:t>Tetsuya Ohira: Conceptualization, Supervision, Writing – review and editing.</w:t>
      </w:r>
    </w:p>
    <w:p w14:paraId="2BEECAC9" w14:textId="77777777" w:rsidR="00A32CEB" w:rsidRDefault="00A32CEB" w:rsidP="00A32CEB">
      <w:pPr>
        <w:pStyle w:val="1"/>
        <w:rPr>
          <w:lang w:eastAsia="ja-JP"/>
        </w:rPr>
      </w:pPr>
      <w:bookmarkStart w:id="32" w:name="funding"/>
      <w:bookmarkEnd w:id="31"/>
      <w:r>
        <w:t>Funding</w:t>
      </w:r>
    </w:p>
    <w:p w14:paraId="02E63D57" w14:textId="77777777" w:rsidR="00A32CEB" w:rsidRPr="00A47AEE" w:rsidRDefault="00A32CEB" w:rsidP="00A32CEB">
      <w:pPr>
        <w:rPr>
          <w:lang w:eastAsia="ja-JP"/>
        </w:rPr>
      </w:pPr>
      <w:r w:rsidRPr="00F70518">
        <w:t>None declared.</w:t>
      </w:r>
    </w:p>
    <w:p w14:paraId="55CBEE8C" w14:textId="77777777" w:rsidR="00A32CEB" w:rsidRDefault="00A32CEB" w:rsidP="00A32CEB">
      <w:pPr>
        <w:pStyle w:val="1"/>
        <w:rPr>
          <w:lang w:eastAsia="ja-JP"/>
        </w:rPr>
      </w:pPr>
      <w:r w:rsidRPr="00921003">
        <w:t>Declaration of Generative AI and AI-Assisted Technologies in the Manuscript Preparation Process</w:t>
      </w:r>
    </w:p>
    <w:p w14:paraId="33B5B70F" w14:textId="0B8B56B1" w:rsidR="0055388C" w:rsidRDefault="00A32CEB" w:rsidP="00A32CEB">
      <w:r w:rsidRPr="00921003">
        <w:rPr>
          <w:lang w:eastAsia="ja-JP"/>
        </w:rP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5256ACE6">
          <v:rect id="_x0000_i1030" style="width:0;height:1.5pt" o:hralign="center" o:hrstd="t" o:hr="t"/>
        </w:pict>
      </w:r>
    </w:p>
    <w:p w14:paraId="5D3C812E" w14:textId="77777777" w:rsidR="0055388C" w:rsidRDefault="00000000">
      <w:pPr>
        <w:pStyle w:val="1"/>
      </w:pPr>
      <w:bookmarkStart w:id="33" w:name="references"/>
      <w:bookmarkEnd w:id="32"/>
      <w:r>
        <w:t>References</w:t>
      </w:r>
    </w:p>
    <w:p w14:paraId="7534AD88" w14:textId="77777777" w:rsidR="0055388C" w:rsidRDefault="00000000">
      <w:pPr>
        <w:pStyle w:val="a9"/>
      </w:pPr>
      <w:r>
        <w:t>1. Wennberg JE, Gittelsohn A. Small area variations in health care delivery. Science. 1973;182(4117):1102-8. doi:10.1126/science.182.4117.1102.</w:t>
      </w:r>
    </w:p>
    <w:p w14:paraId="00F222DC" w14:textId="77777777" w:rsidR="0055388C" w:rsidRDefault="00000000">
      <w:pPr>
        <w:pStyle w:val="a9"/>
      </w:pPr>
      <w:r>
        <w:t>2. Wennberg JE, Fisher ES, Skinner JS. Geography and the debate over Medicare reform. Health Aff (Millwood). 2002;Suppl Web Exclusives:W96-114. doi:10.1377/hlthaff.w2.96.</w:t>
      </w:r>
    </w:p>
    <w:p w14:paraId="64300D7D" w14:textId="77777777" w:rsidR="0055388C" w:rsidRDefault="00000000">
      <w:pPr>
        <w:pStyle w:val="a9"/>
      </w:pPr>
      <w:r>
        <w:t>3. Fisher ES, Wennberg DE, Stukel TA, Gottlieb DJ, Lucas FL, Pinder EL. The implications of regional variations in Medicare spending. Part 1: The content, quality, and accessibility of care. Ann Intern Med. 2003;138(4):273-87. doi:10.7326/0003-4819-138-4-200302180-00006.</w:t>
      </w:r>
    </w:p>
    <w:p w14:paraId="22825DC3" w14:textId="77777777" w:rsidR="0055388C" w:rsidRDefault="00000000">
      <w:pPr>
        <w:pStyle w:val="a9"/>
      </w:pPr>
      <w:r>
        <w:t>4. Wennberg JE. Time to tackle unwarranted variations in practice. BMJ. 2011;342:d1513. doi:10.1136/bmj.d1513.</w:t>
      </w:r>
    </w:p>
    <w:p w14:paraId="7E53CF9D" w14:textId="77777777" w:rsidR="0055388C" w:rsidRDefault="00000000">
      <w:pPr>
        <w:pStyle w:val="a9"/>
      </w:pPr>
      <w:bookmarkStart w:id="34" w:name="ref-Ishimaru2018"/>
      <w:bookmarkStart w:id="35" w:name="refs"/>
      <w:r>
        <w:lastRenderedPageBreak/>
        <w:t>5. Ishimaru M, Matsui H, Ono S, Hagiwara Y, Morita K, Yasunaga H. Preoperative oral care and effect on postoperative complications after major cancer surgery. Br J Surg. 2018;105(12):1688-96. Available from: https://pubmed.ncbi.nlm.nih.gov/30088267/</w:t>
      </w:r>
    </w:p>
    <w:p w14:paraId="7050A8B4" w14:textId="77777777" w:rsidR="0055388C" w:rsidRDefault="00000000">
      <w:pPr>
        <w:pStyle w:val="a9"/>
      </w:pPr>
      <w:bookmarkStart w:id="36" w:name="ref-CamusJansson2023"/>
      <w:bookmarkEnd w:id="34"/>
      <w:r>
        <w:t>6. Camus-Jansson F, Longueira-Diaz N, Salinas-Diaz B, Granic-Chinchon A, Cueto-Urbina W, Parra-Parra M, et al. Preoperative oral practices and incidence of postoperative complications in hospital medical-surgical procedures: A meta-analysis. Med Oral Patol Oral Cir Bucal. 2023;28(3):e217-28. Available from: https://pubmed.ncbi.nlm.nih.gov/37026607/</w:t>
      </w:r>
    </w:p>
    <w:p w14:paraId="6164E62B" w14:textId="77777777" w:rsidR="0055388C" w:rsidRDefault="00000000">
      <w:pPr>
        <w:pStyle w:val="a9"/>
      </w:pPr>
      <w:bookmarkStart w:id="37" w:name="ref-Shin2019"/>
      <w:bookmarkEnd w:id="36"/>
      <w:r>
        <w:t>7. Shin JH, Kunisawa S, Fushimi K, Imanaka Y. Effects of preoperative oral management by dentists on postoperative outcomes following esophagectomy: Multilevel propensity score matching and weighting analyses using the Japanese inpatient database. Medicine (Baltimore). 2019;98(17):e15376. Available from: https://pubmed.ncbi.nlm.nih.gov/31027127/</w:t>
      </w:r>
    </w:p>
    <w:p w14:paraId="76DEE54C" w14:textId="77777777" w:rsidR="0055388C" w:rsidRDefault="00000000">
      <w:pPr>
        <w:pStyle w:val="a9"/>
      </w:pPr>
      <w:bookmarkStart w:id="38" w:name="ref-Soutome2017"/>
      <w:bookmarkEnd w:id="37"/>
      <w:r>
        <w:t>8. Soutome S, Yanamoto S, Funahara M, Hasegawa T, Komori T, Yamada SI, et al. Effect of perioperative oral care on prevention of postoperative pneumonia associated with esophageal cancer surgery: A multicenter case-control study with propensity score matching analysis. Medicine (Baltimore). 2017;96(33):e7436. Available from: https://pubmed.ncbi.nlm.nih.gov/28816937/</w:t>
      </w:r>
    </w:p>
    <w:p w14:paraId="600F811B" w14:textId="77777777" w:rsidR="0055388C" w:rsidRDefault="00000000">
      <w:pPr>
        <w:pStyle w:val="a9"/>
      </w:pPr>
      <w:bookmarkStart w:id="39" w:name="ref-Iwata2019"/>
      <w:bookmarkEnd w:id="38"/>
      <w:r>
        <w:t>9. Iwata E, Hasegawa T, Yamada SI, Kawashita Y, Yoshimatsu M, Mizutani T, et al. Effects of perioperative oral care on prevention of postoperative pneumonia after lung resection: Multicenter retrospective study with propensity score matching analysis. Surgery. 2019;165(5):1003-7. Available from: https://pubmed.ncbi.nlm.nih.gov/30765141/</w:t>
      </w:r>
    </w:p>
    <w:p w14:paraId="4DD8C33F" w14:textId="77777777" w:rsidR="0055388C" w:rsidRDefault="00000000">
      <w:pPr>
        <w:pStyle w:val="a9"/>
      </w:pPr>
      <w:bookmarkStart w:id="40" w:name="ref-Nobuhara2018"/>
      <w:bookmarkEnd w:id="39"/>
      <w:r>
        <w:t>10. Nobuhara H, Yanamoto S, Funahara M, Matsugu Y, Hayashida S, Soutome S, et al. Effect of perioperative oral management on the prevention of surgical site infection after colorectal cancer surgery: A multicenter retrospective analysis of 698 patients via analysis of covariance using propensity score. Medicine (Baltimore). 2018;97(40):e12545. Available from: https://pubmed.ncbi.nlm.nih.gov/30290611/</w:t>
      </w:r>
    </w:p>
    <w:p w14:paraId="0FC72AF2" w14:textId="77777777" w:rsidR="0055388C" w:rsidRDefault="00000000">
      <w:pPr>
        <w:pStyle w:val="a9"/>
      </w:pPr>
      <w:bookmarkStart w:id="41" w:name="ref-Duan2025"/>
      <w:bookmarkEnd w:id="40"/>
      <w:r>
        <w:t>11. Duan L, Li D, Li Z, Luo W, Chu X. Effect of perioperative oral care on postoperative pneumonia in thoracic surgery patients: A systematic review and meta-analysis. Sci Rep. 2025 Dec 5;16(1):951. doi:10.1038/s41598-025-30492-6.</w:t>
      </w:r>
    </w:p>
    <w:p w14:paraId="66C73E55" w14:textId="77777777" w:rsidR="0055388C" w:rsidRDefault="00000000">
      <w:pPr>
        <w:pStyle w:val="a9"/>
      </w:pPr>
      <w:bookmarkStart w:id="42" w:name="ref-MHLW2022"/>
      <w:bookmarkEnd w:id="41"/>
      <w:r>
        <w:t>12. Ministry of Health, Labour and Welfare. Medical fee schedule revision for fiscal year 2022 (Reiwa 4). 2022. Available from: https://www.mhlw.go.jp/stf/seisakunitsuite/bunya/0000188411_00037.html</w:t>
      </w:r>
    </w:p>
    <w:p w14:paraId="04AF3A78" w14:textId="77777777" w:rsidR="0055388C" w:rsidRDefault="00000000">
      <w:pPr>
        <w:pStyle w:val="a9"/>
      </w:pPr>
      <w:bookmarkStart w:id="43" w:name="ref-Kodama2021"/>
      <w:bookmarkEnd w:id="42"/>
      <w:r>
        <w:t xml:space="preserve">13. Kodama T, Ida Y, Oshima K, Miura H. Are public oral care services evenly distributed? Nation-wide assessment of the provision of oral care in Japan using the </w:t>
      </w:r>
      <w:r>
        <w:lastRenderedPageBreak/>
        <w:t>national database of health insurance claims. Int J Environ Res Public Health. 2021;18(20):10850.</w:t>
      </w:r>
    </w:p>
    <w:p w14:paraId="5162BD2C" w14:textId="77777777" w:rsidR="0055388C" w:rsidRDefault="00000000">
      <w:pPr>
        <w:pStyle w:val="a9"/>
      </w:pPr>
      <w:bookmarkStart w:id="44" w:name="ref-Ishimaru2022b"/>
      <w:bookmarkEnd w:id="43"/>
      <w:r>
        <w:t>14. Ishimaru M, Taira K, Zaitsu T, Inoue Y, Kino S, Takahashi H, et al. Characteristics of hospitals employing dentists, and utilization of dental care services for hospitalized patients in Japan: A nationwide cross-sectional study. Int J Environ Res Public Health. 2022;19(11):6448.</w:t>
      </w:r>
    </w:p>
    <w:p w14:paraId="540027EF" w14:textId="77777777" w:rsidR="0055388C" w:rsidRDefault="00000000">
      <w:pPr>
        <w:pStyle w:val="a9"/>
      </w:pPr>
      <w:bookmarkStart w:id="45" w:name="ref-Nomura2021"/>
      <w:bookmarkEnd w:id="44"/>
      <w:r>
        <w:t>15. Nomura Y, Ohara Y, Yamamoto Y, Okada A, Hosoya N, Hanada N, et al. Dental hygienists’ practice in perioperative oral care management according to the Japanese dental hygienists survey 2019. Int J Environ Res Public Health. 2021;18(1):114. Available from: https://pubmed.ncbi.nlm.nih.gov/33375276/</w:t>
      </w:r>
    </w:p>
    <w:p w14:paraId="2508EBB2" w14:textId="77777777" w:rsidR="0055388C" w:rsidRDefault="00000000">
      <w:pPr>
        <w:pStyle w:val="a9"/>
      </w:pPr>
      <w:bookmarkStart w:id="46" w:name="ref-Taira2021"/>
      <w:bookmarkEnd w:id="45"/>
      <w:r>
        <w:t>16. Taira K, Mori T, Ishimaru M, Iwagami M, Sakata N, Watanabe T, et al. Regional inequality in dental care utilization in Japan: An ecological study using the national database of health insurance claims. Lancet Reg Health West Pac. 2021;12:100170.</w:t>
      </w:r>
    </w:p>
    <w:p w14:paraId="6246C668" w14:textId="77777777" w:rsidR="0055388C" w:rsidRDefault="00000000">
      <w:pPr>
        <w:pStyle w:val="a9"/>
      </w:pPr>
      <w:bookmarkStart w:id="47" w:name="ref-MHLW_NDB2023"/>
      <w:bookmarkEnd w:id="46"/>
      <w:r>
        <w:t>17. Ministry of Health, Labour and Welfare. National Database of Health Insurance Claims and Specific Health Checkups Open Data: 10th release. 2024. Available from: https://www.mhlw.go.jp/stf/seisakunitsuite/bunya/0000177182.html</w:t>
      </w:r>
    </w:p>
    <w:p w14:paraId="50366D34" w14:textId="77777777" w:rsidR="0055388C" w:rsidRDefault="00000000">
      <w:pPr>
        <w:pStyle w:val="a9"/>
      </w:pPr>
      <w:bookmarkStart w:id="48" w:name="ref-Sato2024NDB"/>
      <w:bookmarkEnd w:id="47"/>
      <w:r>
        <w:t>18. Sato S, Yasunaga H. A review of studies using Japanese nationwide administrative claims databases. Ann Clin Epidemiol. 2023;5(2):58-64. Available from: https://pubmed.ncbi.nlm.nih.gov/38505730/</w:t>
      </w:r>
    </w:p>
    <w:p w14:paraId="53085388" w14:textId="77777777" w:rsidR="0055388C" w:rsidRDefault="00000000">
      <w:pPr>
        <w:pStyle w:val="a9"/>
      </w:pPr>
      <w:bookmarkStart w:id="49" w:name="ref-MHLW_DentistSurvey2022"/>
      <w:bookmarkEnd w:id="48"/>
      <w:r>
        <w:t>19. Ministry of Health, Labour and Welfare. Survey of physicians, dentists and pharmacists: Reiwa 4 (2022). 2023. Available from: https://www.mhlw.go.jp/toukei/saikin/hw/ishi/22/index.html</w:t>
      </w:r>
    </w:p>
    <w:p w14:paraId="01797AFA" w14:textId="77777777" w:rsidR="0055388C" w:rsidRDefault="00000000">
      <w:pPr>
        <w:pStyle w:val="a9"/>
      </w:pPr>
      <w:bookmarkStart w:id="50" w:name="ref-Anselin1995"/>
      <w:bookmarkEnd w:id="49"/>
      <w:r>
        <w:t>20. Anselin L. Spatial econometrics: Methods and models. Dordrecht: Kluwer Academic Publishers; 1988.</w:t>
      </w:r>
    </w:p>
    <w:p w14:paraId="2C6F71E2" w14:textId="77777777" w:rsidR="0055388C" w:rsidRDefault="00000000">
      <w:pPr>
        <w:pStyle w:val="a9"/>
      </w:pPr>
      <w:bookmarkStart w:id="51" w:name="ref-Anselin1988"/>
      <w:bookmarkEnd w:id="50"/>
      <w:r>
        <w:t>21. LeSage JP, Pace RK. Introduction to spatial econometrics. Boca Raton: Chapman and Hall/CRC; 2009.</w:t>
      </w:r>
    </w:p>
    <w:p w14:paraId="4A70B342" w14:textId="77777777" w:rsidR="0055388C" w:rsidRDefault="00000000">
      <w:pPr>
        <w:pStyle w:val="a9"/>
      </w:pPr>
      <w:bookmarkStart w:id="52" w:name="ref-LeSage2009"/>
      <w:bookmarkEnd w:id="51"/>
      <w:r>
        <w:t>22. Anselin L. Local indicators of spatial association-LISA. Geogr Anal. 1995;27(2):93-115.</w:t>
      </w:r>
    </w:p>
    <w:p w14:paraId="6099CD3E" w14:textId="77777777" w:rsidR="0055388C" w:rsidRDefault="00000000">
      <w:pPr>
        <w:pStyle w:val="a9"/>
      </w:pPr>
      <w:bookmarkStart w:id="53" w:name="ref-Cohen1988"/>
      <w:bookmarkEnd w:id="52"/>
      <w:r>
        <w:t>23. Cohen J. Statistical power analysis for the behavioral sciences. 2nd ed. Hillsdale (NJ): Lawrence Erlbaum Associates; 1988.</w:t>
      </w:r>
    </w:p>
    <w:p w14:paraId="0763B904" w14:textId="77777777" w:rsidR="0055388C" w:rsidRDefault="00000000">
      <w:pPr>
        <w:pStyle w:val="a9"/>
      </w:pPr>
      <w:bookmarkStart w:id="54" w:name="ref-Greenhalgh2004"/>
      <w:bookmarkEnd w:id="53"/>
      <w:r>
        <w:t>24. Greenhalgh T, Robert G, Macfarlane F, Bate P, Kyriakidou O. Diffusion of innovations in service organizations: Systematic review and recommendations. Milbank Q. 2004;82(4):581-629.</w:t>
      </w:r>
    </w:p>
    <w:p w14:paraId="17BD7ABD" w14:textId="77777777" w:rsidR="0055388C" w:rsidRDefault="00000000">
      <w:pPr>
        <w:pStyle w:val="a9"/>
      </w:pPr>
      <w:bookmarkStart w:id="55" w:name="ref-Ibuka2020"/>
      <w:bookmarkEnd w:id="54"/>
      <w:r>
        <w:lastRenderedPageBreak/>
        <w:t>25. Ibuka Y, Matsuda Y, Shoji K, Ishigaki T. Evaluation of regional variations in healthcare utilization. Jpn J Stat Data Sci. 2020;3(1):349-65.</w:t>
      </w:r>
    </w:p>
    <w:p w14:paraId="5B1A658C" w14:textId="77777777" w:rsidR="0055388C" w:rsidRDefault="00000000">
      <w:pPr>
        <w:pStyle w:val="a9"/>
      </w:pPr>
      <w:bookmarkStart w:id="56" w:name="ref-Seo2022"/>
      <w:bookmarkEnd w:id="55"/>
      <w:r>
        <w:t>26. Seo Y, Takikawa T. Regional variation in national healthcare expenditure and health system performance in central cities and suburbs in Japan. Healthcare (Basel). 2022;10(6):968.</w:t>
      </w:r>
    </w:p>
    <w:p w14:paraId="1EB6913D" w14:textId="77777777" w:rsidR="0055388C" w:rsidRDefault="00000000">
      <w:pPr>
        <w:pStyle w:val="a9"/>
      </w:pPr>
      <w:bookmarkStart w:id="57" w:name="ref-Okayama2017"/>
      <w:bookmarkEnd w:id="56"/>
      <w:r>
        <w:t>27. Shirakawa Y. Perioperative team cooperation at Okayama University Hospital [in Japanese]. Nihon Geka Gakkai Zasshi. 2017;118(2):149-54.</w:t>
      </w:r>
    </w:p>
    <w:p w14:paraId="5CEEA1C8" w14:textId="77777777" w:rsidR="0055388C" w:rsidRDefault="00000000">
      <w:pPr>
        <w:pStyle w:val="a9"/>
      </w:pPr>
      <w:bookmarkStart w:id="58" w:name="ref-Kunitomi2025"/>
      <w:bookmarkEnd w:id="57"/>
      <w:r>
        <w:t>28. Kunitomi T, Miyagami T, Teranaka S, Matsumoto T, Yoshimatsu Y, Matsumoto S, et al. Current state and challenges of dental intervention in aspiration pneumonia management from the perspective of hospitalists: A cross-sectional survey in Japan. Int J Gen Med. 2025;18:6889-98.</w:t>
      </w:r>
    </w:p>
    <w:p w14:paraId="49C16094" w14:textId="77777777" w:rsidR="0055388C" w:rsidRDefault="00000000">
      <w:pPr>
        <w:pStyle w:val="a9"/>
      </w:pPr>
      <w:bookmarkStart w:id="59" w:name="ref-Shirakura2024"/>
      <w:bookmarkEnd w:id="58"/>
      <w:r>
        <w:t>29. Shirakura Y, Shobugawa Y, Saito R. Geographic variation in inpatient medical expenditure among older adults aged 75 years and above in Japan: A three-level multilevel analysis of nationwide data. Front Public Health. 2024;12:1306013.</w:t>
      </w:r>
    </w:p>
    <w:p w14:paraId="1AA2EF53" w14:textId="77777777" w:rsidR="0055388C" w:rsidRDefault="00000000">
      <w:pPr>
        <w:pStyle w:val="a9"/>
      </w:pPr>
      <w:bookmarkStart w:id="60" w:name="ref-Takazawa2026"/>
      <w:bookmarkEnd w:id="59"/>
      <w:r>
        <w:t>30. Takazawa I, Suzuki H, Sugimoto K, Kabasawa Y, Adachi N, Yoshida N. Survey on status of oral care practices and factors associated with confidence in oral care skills in ward nurses at an acute hospital in Japan. BMC Oral Health. 2026;26(1):469.</w:t>
      </w:r>
    </w:p>
    <w:p w14:paraId="77C409A8" w14:textId="77777777" w:rsidR="0055388C" w:rsidRDefault="00000000">
      <w:pPr>
        <w:pStyle w:val="a9"/>
      </w:pPr>
      <w:bookmarkStart w:id="61" w:name="ref-Koike2022"/>
      <w:bookmarkEnd w:id="60"/>
      <w:r>
        <w:t>31. Koike T, Ohta R, Matsuda Y, Sano C, Kanno T. Oral care awareness and factors related to the burden of nurses at a community hospital in Japan. Healthcare (Basel). 2022;10(6):1073.</w:t>
      </w:r>
    </w:p>
    <w:p w14:paraId="36B36F50" w14:textId="77777777" w:rsidR="0055388C" w:rsidRDefault="00000000">
      <w:pPr>
        <w:pStyle w:val="a9"/>
      </w:pPr>
      <w:bookmarkStart w:id="62" w:name="ref-Hashimura2018"/>
      <w:bookmarkEnd w:id="61"/>
      <w:r>
        <w:t>32. Hashimura T, Tanimoto T, Morita T, Kami M. Distribution of dentists in the greater Tokyo area, Japan. Int Dent J. 2019;69(2):150-7. Available from: https://pubmed.ncbi.nlm.nih.gov/30350864/</w:t>
      </w:r>
    </w:p>
    <w:p w14:paraId="1CC21E84" w14:textId="77777777" w:rsidR="0055388C" w:rsidRDefault="00000000">
      <w:pPr>
        <w:pStyle w:val="a9"/>
      </w:pPr>
      <w:bookmarkStart w:id="63" w:name="ref-Yamamoto2023access"/>
      <w:bookmarkEnd w:id="62"/>
      <w:r>
        <w:t>33. Yamamoto T, Hanazato M, Hikichi H, Kondo K, Osaka K, Kawachi I, et al. Change in geographic accessibility to dental clinics affects access to care. J Dent Res. 2023;102(7):719-26. Available from: https://pubmed.ncbi.nlm.nih.gov/37204154/</w:t>
      </w:r>
    </w:p>
    <w:p w14:paraId="5E19683F" w14:textId="77777777" w:rsidR="0055388C" w:rsidRDefault="00000000">
      <w:pPr>
        <w:pStyle w:val="a9"/>
      </w:pPr>
      <w:bookmarkStart w:id="64" w:name="ref-Sato2023dental"/>
      <w:bookmarkEnd w:id="63"/>
      <w:r>
        <w:t>34. Sato Y, Fukai K, Kunori Y, Yoshioka E, Saijo Y. Trends in dental expenditures in Japan with a universal health insurance system. PLoS One. 2023;18(10):e0292547.</w:t>
      </w:r>
    </w:p>
    <w:p w14:paraId="0FC11EDE" w14:textId="77777777" w:rsidR="0055388C" w:rsidRDefault="00000000">
      <w:pPr>
        <w:pStyle w:val="a9"/>
      </w:pPr>
      <w:bookmarkStart w:id="65" w:name="ref-Morgenstern1998"/>
      <w:bookmarkEnd w:id="64"/>
      <w:r>
        <w:t>35. Morgenstern H. Ecologic studies in epidemiology: Concepts, principles, and methods. Annu Rev Public Health. 1995;16:61-81. Available from: https://pubmed.ncbi.nlm.nih.gov/7639884/</w:t>
      </w:r>
    </w:p>
    <w:p w14:paraId="7EC9E64A" w14:textId="77777777" w:rsidR="0055388C" w:rsidRDefault="00000000">
      <w:pPr>
        <w:pStyle w:val="a9"/>
      </w:pPr>
      <w:bookmarkStart w:id="66" w:name="ref-Greenland2001"/>
      <w:bookmarkEnd w:id="65"/>
      <w:r>
        <w:lastRenderedPageBreak/>
        <w:t>36. Greenland S. Ecologic versus individual-level sources of bias in ecologic estimates of contextual health effects. Int J Epidemiol. 2001;30(6):1343-50. Available from: https://pubmed.ncbi.nlm.nih.gov/11821344/</w:t>
      </w:r>
    </w:p>
    <w:bookmarkEnd w:id="35"/>
    <w:bookmarkEnd w:id="66"/>
    <w:p w14:paraId="22949534" w14:textId="77777777" w:rsidR="0055388C" w:rsidRDefault="00000000">
      <w:r>
        <w:pict w14:anchorId="6233C4C6">
          <v:rect id="_x0000_i1031" style="width:0;height:1.5pt" o:hralign="center" o:hrstd="t" o:hr="t"/>
        </w:pict>
      </w:r>
    </w:p>
    <w:bookmarkEnd w:id="33"/>
    <w:p w14:paraId="392CAA28" w14:textId="77777777" w:rsidR="0055388C" w:rsidRDefault="00000000">
      <w:pPr>
        <w:pStyle w:val="1"/>
      </w:pPr>
      <w:r>
        <w:t>Tables</w:t>
      </w:r>
    </w:p>
    <w:p w14:paraId="01889834"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2FC7302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7043A3EE" w14:textId="77777777" w:rsidR="0055388C" w:rsidRDefault="00000000">
            <w:pPr>
              <w:pStyle w:val="Compact"/>
            </w:pPr>
            <w:r>
              <w:t>Variable</w:t>
            </w:r>
          </w:p>
        </w:tc>
        <w:tc>
          <w:tcPr>
            <w:tcW w:w="0" w:type="auto"/>
          </w:tcPr>
          <w:p w14:paraId="6DF4E5A2" w14:textId="77777777" w:rsidR="0055388C" w:rsidRDefault="00000000">
            <w:pPr>
              <w:pStyle w:val="Compact"/>
            </w:pPr>
            <w:r>
              <w:t>Mean (SD)</w:t>
            </w:r>
          </w:p>
        </w:tc>
        <w:tc>
          <w:tcPr>
            <w:tcW w:w="0" w:type="auto"/>
          </w:tcPr>
          <w:p w14:paraId="671A6D1D" w14:textId="77777777" w:rsidR="0055388C" w:rsidRDefault="00000000">
            <w:pPr>
              <w:pStyle w:val="Compact"/>
            </w:pPr>
            <w:r>
              <w:t>Min</w:t>
            </w:r>
          </w:p>
        </w:tc>
        <w:tc>
          <w:tcPr>
            <w:tcW w:w="0" w:type="auto"/>
          </w:tcPr>
          <w:p w14:paraId="7BD8D5B6" w14:textId="77777777" w:rsidR="0055388C" w:rsidRDefault="00000000">
            <w:pPr>
              <w:pStyle w:val="Compact"/>
            </w:pPr>
            <w:r>
              <w:t>Max</w:t>
            </w:r>
          </w:p>
        </w:tc>
        <w:tc>
          <w:tcPr>
            <w:tcW w:w="0" w:type="auto"/>
          </w:tcPr>
          <w:p w14:paraId="488BA1B3" w14:textId="77777777" w:rsidR="0055388C" w:rsidRDefault="00000000">
            <w:pPr>
              <w:pStyle w:val="Compact"/>
            </w:pPr>
            <w:r>
              <w:t>CV (%)</w:t>
            </w:r>
          </w:p>
        </w:tc>
      </w:tr>
      <w:tr w:rsidR="0055388C" w14:paraId="336F8C0D" w14:textId="77777777">
        <w:tc>
          <w:tcPr>
            <w:tcW w:w="0" w:type="auto"/>
          </w:tcPr>
          <w:p w14:paraId="078F7076" w14:textId="77777777" w:rsidR="0055388C" w:rsidRDefault="00000000">
            <w:pPr>
              <w:pStyle w:val="Compact"/>
            </w:pPr>
            <w:r>
              <w:t>POFM density (/100K)</w:t>
            </w:r>
          </w:p>
        </w:tc>
        <w:tc>
          <w:tcPr>
            <w:tcW w:w="0" w:type="auto"/>
          </w:tcPr>
          <w:p w14:paraId="24DA10FF" w14:textId="77777777" w:rsidR="0055388C" w:rsidRDefault="00000000">
            <w:pPr>
              <w:pStyle w:val="Compact"/>
            </w:pPr>
            <w:r>
              <w:t>103,963 (20,390)</w:t>
            </w:r>
          </w:p>
        </w:tc>
        <w:tc>
          <w:tcPr>
            <w:tcW w:w="0" w:type="auto"/>
          </w:tcPr>
          <w:p w14:paraId="5CCACDF8" w14:textId="77777777" w:rsidR="0055388C" w:rsidRDefault="00000000">
            <w:pPr>
              <w:pStyle w:val="Compact"/>
            </w:pPr>
            <w:r>
              <w:t>68,804</w:t>
            </w:r>
          </w:p>
        </w:tc>
        <w:tc>
          <w:tcPr>
            <w:tcW w:w="0" w:type="auto"/>
          </w:tcPr>
          <w:p w14:paraId="6B4C79EF" w14:textId="77777777" w:rsidR="0055388C" w:rsidRDefault="00000000">
            <w:pPr>
              <w:pStyle w:val="Compact"/>
            </w:pPr>
            <w:r>
              <w:t>154,850</w:t>
            </w:r>
          </w:p>
        </w:tc>
        <w:tc>
          <w:tcPr>
            <w:tcW w:w="0" w:type="auto"/>
          </w:tcPr>
          <w:p w14:paraId="6FEEB3AB" w14:textId="77777777" w:rsidR="0055388C" w:rsidRDefault="00000000">
            <w:pPr>
              <w:pStyle w:val="Compact"/>
            </w:pPr>
            <w:r>
              <w:t>19.6</w:t>
            </w:r>
          </w:p>
        </w:tc>
      </w:tr>
      <w:tr w:rsidR="0055388C" w14:paraId="42B1DA1C" w14:textId="77777777">
        <w:tc>
          <w:tcPr>
            <w:tcW w:w="0" w:type="auto"/>
          </w:tcPr>
          <w:p w14:paraId="595C9BF9" w14:textId="77777777" w:rsidR="0055388C" w:rsidRDefault="00000000">
            <w:pPr>
              <w:pStyle w:val="Compact"/>
            </w:pPr>
            <w:r>
              <w:t>Cancer surgery density (/100K)</w:t>
            </w:r>
          </w:p>
        </w:tc>
        <w:tc>
          <w:tcPr>
            <w:tcW w:w="0" w:type="auto"/>
          </w:tcPr>
          <w:p w14:paraId="50D883B6" w14:textId="77777777" w:rsidR="0055388C" w:rsidRDefault="00000000">
            <w:pPr>
              <w:pStyle w:val="Compact"/>
            </w:pPr>
            <w:r>
              <w:t>237.7 (28.5)</w:t>
            </w:r>
          </w:p>
        </w:tc>
        <w:tc>
          <w:tcPr>
            <w:tcW w:w="0" w:type="auto"/>
          </w:tcPr>
          <w:p w14:paraId="1D41B84F" w14:textId="77777777" w:rsidR="0055388C" w:rsidRDefault="00000000">
            <w:pPr>
              <w:pStyle w:val="Compact"/>
            </w:pPr>
            <w:r>
              <w:t>173.6</w:t>
            </w:r>
          </w:p>
        </w:tc>
        <w:tc>
          <w:tcPr>
            <w:tcW w:w="0" w:type="auto"/>
          </w:tcPr>
          <w:p w14:paraId="7D486458" w14:textId="77777777" w:rsidR="0055388C" w:rsidRDefault="00000000">
            <w:pPr>
              <w:pStyle w:val="Compact"/>
            </w:pPr>
            <w:r>
              <w:t>287.0</w:t>
            </w:r>
          </w:p>
        </w:tc>
        <w:tc>
          <w:tcPr>
            <w:tcW w:w="0" w:type="auto"/>
          </w:tcPr>
          <w:p w14:paraId="5D3E8645" w14:textId="77777777" w:rsidR="0055388C" w:rsidRDefault="00000000">
            <w:pPr>
              <w:pStyle w:val="Compact"/>
            </w:pPr>
            <w:r>
              <w:t>12.0</w:t>
            </w:r>
          </w:p>
        </w:tc>
      </w:tr>
      <w:tr w:rsidR="0055388C" w14:paraId="1DA64305" w14:textId="77777777">
        <w:tc>
          <w:tcPr>
            <w:tcW w:w="0" w:type="auto"/>
          </w:tcPr>
          <w:p w14:paraId="3C09443B" w14:textId="77777777" w:rsidR="0055388C" w:rsidRDefault="00000000">
            <w:pPr>
              <w:pStyle w:val="Compact"/>
            </w:pPr>
            <w:r>
              <w:t>Aging rate (%)</w:t>
            </w:r>
          </w:p>
        </w:tc>
        <w:tc>
          <w:tcPr>
            <w:tcW w:w="0" w:type="auto"/>
          </w:tcPr>
          <w:p w14:paraId="4A8B6007" w14:textId="77777777" w:rsidR="0055388C" w:rsidRDefault="00000000">
            <w:pPr>
              <w:pStyle w:val="Compact"/>
            </w:pPr>
            <w:r>
              <w:t>31.2 (3.1)</w:t>
            </w:r>
          </w:p>
        </w:tc>
        <w:tc>
          <w:tcPr>
            <w:tcW w:w="0" w:type="auto"/>
          </w:tcPr>
          <w:p w14:paraId="5FEFC927" w14:textId="77777777" w:rsidR="0055388C" w:rsidRDefault="00000000">
            <w:pPr>
              <w:pStyle w:val="Compact"/>
            </w:pPr>
            <w:r>
              <w:t>24.4</w:t>
            </w:r>
          </w:p>
        </w:tc>
        <w:tc>
          <w:tcPr>
            <w:tcW w:w="0" w:type="auto"/>
          </w:tcPr>
          <w:p w14:paraId="0D04CA7E" w14:textId="77777777" w:rsidR="0055388C" w:rsidRDefault="00000000">
            <w:pPr>
              <w:pStyle w:val="Compact"/>
            </w:pPr>
            <w:r>
              <w:t>38.3</w:t>
            </w:r>
          </w:p>
        </w:tc>
        <w:tc>
          <w:tcPr>
            <w:tcW w:w="0" w:type="auto"/>
          </w:tcPr>
          <w:p w14:paraId="0BD8F7C7" w14:textId="77777777" w:rsidR="0055388C" w:rsidRDefault="00000000">
            <w:pPr>
              <w:pStyle w:val="Compact"/>
            </w:pPr>
            <w:r>
              <w:t>—</w:t>
            </w:r>
          </w:p>
        </w:tc>
      </w:tr>
      <w:tr w:rsidR="0055388C" w14:paraId="1103C40D" w14:textId="77777777">
        <w:tc>
          <w:tcPr>
            <w:tcW w:w="0" w:type="auto"/>
          </w:tcPr>
          <w:p w14:paraId="0E65D35D" w14:textId="77777777" w:rsidR="0055388C" w:rsidRDefault="00000000">
            <w:pPr>
              <w:pStyle w:val="Compact"/>
            </w:pPr>
            <w:r>
              <w:t>Per-capita income (¥10K)</w:t>
            </w:r>
          </w:p>
        </w:tc>
        <w:tc>
          <w:tcPr>
            <w:tcW w:w="0" w:type="auto"/>
          </w:tcPr>
          <w:p w14:paraId="736A4144" w14:textId="77777777" w:rsidR="0055388C" w:rsidRDefault="00000000">
            <w:pPr>
              <w:pStyle w:val="Compact"/>
            </w:pPr>
            <w:r>
              <w:t>3,039 (280)</w:t>
            </w:r>
          </w:p>
        </w:tc>
        <w:tc>
          <w:tcPr>
            <w:tcW w:w="0" w:type="auto"/>
          </w:tcPr>
          <w:p w14:paraId="4E56CD88" w14:textId="77777777" w:rsidR="0055388C" w:rsidRDefault="00000000">
            <w:pPr>
              <w:pStyle w:val="Compact"/>
            </w:pPr>
            <w:r>
              <w:t>2,553</w:t>
            </w:r>
          </w:p>
        </w:tc>
        <w:tc>
          <w:tcPr>
            <w:tcW w:w="0" w:type="auto"/>
          </w:tcPr>
          <w:p w14:paraId="7317AFBF" w14:textId="77777777" w:rsidR="0055388C" w:rsidRDefault="00000000">
            <w:pPr>
              <w:pStyle w:val="Compact"/>
            </w:pPr>
            <w:r>
              <w:t>4,055</w:t>
            </w:r>
          </w:p>
        </w:tc>
        <w:tc>
          <w:tcPr>
            <w:tcW w:w="0" w:type="auto"/>
          </w:tcPr>
          <w:p w14:paraId="6EBE2E51" w14:textId="77777777" w:rsidR="0055388C" w:rsidRDefault="00000000">
            <w:pPr>
              <w:pStyle w:val="Compact"/>
            </w:pPr>
            <w:r>
              <w:t>—</w:t>
            </w:r>
          </w:p>
        </w:tc>
      </w:tr>
      <w:tr w:rsidR="0055388C" w14:paraId="11FF9949" w14:textId="77777777">
        <w:tc>
          <w:tcPr>
            <w:tcW w:w="0" w:type="auto"/>
          </w:tcPr>
          <w:p w14:paraId="5884EC7B" w14:textId="77777777" w:rsidR="0055388C" w:rsidRDefault="00000000">
            <w:pPr>
              <w:pStyle w:val="Compact"/>
            </w:pPr>
            <w:r>
              <w:t>Population density (persons/km²)</w:t>
            </w:r>
          </w:p>
        </w:tc>
        <w:tc>
          <w:tcPr>
            <w:tcW w:w="0" w:type="auto"/>
          </w:tcPr>
          <w:p w14:paraId="7E7108A4" w14:textId="77777777" w:rsidR="0055388C" w:rsidRDefault="00000000">
            <w:pPr>
              <w:pStyle w:val="Compact"/>
            </w:pPr>
            <w:r>
              <w:t>329 (482)</w:t>
            </w:r>
          </w:p>
        </w:tc>
        <w:tc>
          <w:tcPr>
            <w:tcW w:w="0" w:type="auto"/>
          </w:tcPr>
          <w:p w14:paraId="5165733D" w14:textId="77777777" w:rsidR="0055388C" w:rsidRDefault="00000000">
            <w:pPr>
              <w:pStyle w:val="Compact"/>
            </w:pPr>
            <w:r>
              <w:t>63</w:t>
            </w:r>
          </w:p>
        </w:tc>
        <w:tc>
          <w:tcPr>
            <w:tcW w:w="0" w:type="auto"/>
          </w:tcPr>
          <w:p w14:paraId="3C02C826" w14:textId="77777777" w:rsidR="0055388C" w:rsidRDefault="00000000">
            <w:pPr>
              <w:pStyle w:val="Compact"/>
            </w:pPr>
            <w:r>
              <w:t>6,363</w:t>
            </w:r>
          </w:p>
        </w:tc>
        <w:tc>
          <w:tcPr>
            <w:tcW w:w="0" w:type="auto"/>
          </w:tcPr>
          <w:p w14:paraId="51C51D3D" w14:textId="77777777" w:rsidR="0055388C" w:rsidRDefault="00000000">
            <w:pPr>
              <w:pStyle w:val="Compact"/>
            </w:pPr>
            <w:r>
              <w:t>—</w:t>
            </w:r>
          </w:p>
        </w:tc>
      </w:tr>
      <w:tr w:rsidR="0055388C" w14:paraId="7E3E5CEE" w14:textId="77777777">
        <w:tc>
          <w:tcPr>
            <w:tcW w:w="0" w:type="auto"/>
          </w:tcPr>
          <w:p w14:paraId="15A83D1F" w14:textId="77777777" w:rsidR="0055388C" w:rsidRDefault="00000000">
            <w:pPr>
              <w:pStyle w:val="Compact"/>
            </w:pPr>
            <w:r>
              <w:t>Dentists per 100,000 population</w:t>
            </w:r>
          </w:p>
        </w:tc>
        <w:tc>
          <w:tcPr>
            <w:tcW w:w="0" w:type="auto"/>
          </w:tcPr>
          <w:p w14:paraId="723D7931" w14:textId="77777777" w:rsidR="0055388C" w:rsidRDefault="00000000">
            <w:pPr>
              <w:pStyle w:val="Compact"/>
            </w:pPr>
            <w:r>
              <w:t>77.0 (12.9)</w:t>
            </w:r>
          </w:p>
        </w:tc>
        <w:tc>
          <w:tcPr>
            <w:tcW w:w="0" w:type="auto"/>
          </w:tcPr>
          <w:p w14:paraId="3B5F5013" w14:textId="77777777" w:rsidR="0055388C" w:rsidRDefault="00000000">
            <w:pPr>
              <w:pStyle w:val="Compact"/>
            </w:pPr>
            <w:r>
              <w:t>55.9</w:t>
            </w:r>
          </w:p>
        </w:tc>
        <w:tc>
          <w:tcPr>
            <w:tcW w:w="0" w:type="auto"/>
          </w:tcPr>
          <w:p w14:paraId="528FCBBB" w14:textId="77777777" w:rsidR="0055388C" w:rsidRDefault="00000000">
            <w:pPr>
              <w:pStyle w:val="Compact"/>
            </w:pPr>
            <w:r>
              <w:t>116.1</w:t>
            </w:r>
          </w:p>
        </w:tc>
        <w:tc>
          <w:tcPr>
            <w:tcW w:w="0" w:type="auto"/>
          </w:tcPr>
          <w:p w14:paraId="7187B52C" w14:textId="77777777" w:rsidR="0055388C" w:rsidRDefault="00000000">
            <w:pPr>
              <w:pStyle w:val="Compact"/>
            </w:pPr>
            <w:r>
              <w:t>16.7</w:t>
            </w:r>
          </w:p>
        </w:tc>
      </w:tr>
    </w:tbl>
    <w:p w14:paraId="398011B8" w14:textId="77777777" w:rsidR="0055388C" w:rsidRDefault="00000000">
      <w:r>
        <w:pict w14:anchorId="7710DC3C">
          <v:rect id="_x0000_i1032" style="width:0;height:1.5pt" o:hralign="center" o:hrstd="t" o:hr="t"/>
        </w:pict>
      </w:r>
    </w:p>
    <w:p w14:paraId="0134920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7F2D7D38"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8D36D70" w14:textId="77777777" w:rsidR="0055388C" w:rsidRDefault="00000000">
            <w:pPr>
              <w:pStyle w:val="Compact"/>
            </w:pPr>
            <w:r>
              <w:t>Model</w:t>
            </w:r>
          </w:p>
        </w:tc>
        <w:tc>
          <w:tcPr>
            <w:tcW w:w="1131" w:type="dxa"/>
          </w:tcPr>
          <w:p w14:paraId="421A396E" w14:textId="77777777" w:rsidR="0055388C" w:rsidRDefault="00000000">
            <w:pPr>
              <w:pStyle w:val="Compact"/>
            </w:pPr>
            <w:r>
              <w:t>n</w:t>
            </w:r>
          </w:p>
        </w:tc>
        <w:tc>
          <w:tcPr>
            <w:tcW w:w="1131" w:type="dxa"/>
          </w:tcPr>
          <w:p w14:paraId="031A0ACE" w14:textId="77777777" w:rsidR="0055388C" w:rsidRDefault="00000000">
            <w:pPr>
              <w:pStyle w:val="Compact"/>
            </w:pPr>
            <w:r>
              <w:t>β (cancer surgery density)</w:t>
            </w:r>
          </w:p>
        </w:tc>
        <w:tc>
          <w:tcPr>
            <w:tcW w:w="1131" w:type="dxa"/>
          </w:tcPr>
          <w:p w14:paraId="191D2C26" w14:textId="77777777" w:rsidR="0055388C" w:rsidRDefault="00000000">
            <w:pPr>
              <w:pStyle w:val="Compact"/>
            </w:pPr>
            <w:r>
              <w:t>SE</w:t>
            </w:r>
          </w:p>
        </w:tc>
        <w:tc>
          <w:tcPr>
            <w:tcW w:w="1131" w:type="dxa"/>
          </w:tcPr>
          <w:p w14:paraId="0F3360D6" w14:textId="77777777" w:rsidR="0055388C" w:rsidRDefault="00000000">
            <w:pPr>
              <w:pStyle w:val="Compact"/>
            </w:pPr>
            <w:r>
              <w:t>p-value</w:t>
            </w:r>
          </w:p>
        </w:tc>
        <w:tc>
          <w:tcPr>
            <w:tcW w:w="1131" w:type="dxa"/>
          </w:tcPr>
          <w:p w14:paraId="4116B09B" w14:textId="77777777" w:rsidR="0055388C" w:rsidRDefault="00000000">
            <w:pPr>
              <w:pStyle w:val="Compact"/>
            </w:pPr>
            <w:r>
              <w:t>95% CI</w:t>
            </w:r>
          </w:p>
        </w:tc>
        <w:tc>
          <w:tcPr>
            <w:tcW w:w="1131" w:type="dxa"/>
          </w:tcPr>
          <w:p w14:paraId="1E82135C" w14:textId="77777777" w:rsidR="0055388C" w:rsidRDefault="00000000">
            <w:pPr>
              <w:pStyle w:val="Compact"/>
            </w:pPr>
            <w:r>
              <w:t>R²</w:t>
            </w:r>
          </w:p>
        </w:tc>
      </w:tr>
      <w:tr w:rsidR="0055388C" w14:paraId="757E0FBC" w14:textId="77777777">
        <w:tc>
          <w:tcPr>
            <w:tcW w:w="1131" w:type="dxa"/>
          </w:tcPr>
          <w:p w14:paraId="0F29D485" w14:textId="77777777" w:rsidR="0055388C" w:rsidRDefault="00000000">
            <w:pPr>
              <w:pStyle w:val="Compact"/>
            </w:pPr>
            <w:r>
              <w:t>Model 1: Unadjusted</w:t>
            </w:r>
          </w:p>
        </w:tc>
        <w:tc>
          <w:tcPr>
            <w:tcW w:w="1131" w:type="dxa"/>
          </w:tcPr>
          <w:p w14:paraId="52CA9981" w14:textId="77777777" w:rsidR="0055388C" w:rsidRDefault="00000000">
            <w:pPr>
              <w:pStyle w:val="Compact"/>
            </w:pPr>
            <w:r>
              <w:t>47</w:t>
            </w:r>
          </w:p>
        </w:tc>
        <w:tc>
          <w:tcPr>
            <w:tcW w:w="1131" w:type="dxa"/>
          </w:tcPr>
          <w:p w14:paraId="416FC3A1" w14:textId="77777777" w:rsidR="0055388C" w:rsidRDefault="00000000">
            <w:pPr>
              <w:pStyle w:val="Compact"/>
            </w:pPr>
            <w:r>
              <w:t>98.3</w:t>
            </w:r>
          </w:p>
        </w:tc>
        <w:tc>
          <w:tcPr>
            <w:tcW w:w="1131" w:type="dxa"/>
          </w:tcPr>
          <w:p w14:paraId="77B0C230" w14:textId="77777777" w:rsidR="0055388C" w:rsidRDefault="00000000">
            <w:pPr>
              <w:pStyle w:val="Compact"/>
            </w:pPr>
            <w:r>
              <w:t>153.3</w:t>
            </w:r>
          </w:p>
        </w:tc>
        <w:tc>
          <w:tcPr>
            <w:tcW w:w="1131" w:type="dxa"/>
          </w:tcPr>
          <w:p w14:paraId="5316AF4F" w14:textId="77777777" w:rsidR="0055388C" w:rsidRDefault="00000000">
            <w:pPr>
              <w:pStyle w:val="Compact"/>
            </w:pPr>
            <w:r>
              <w:t>0.510</w:t>
            </w:r>
          </w:p>
        </w:tc>
        <w:tc>
          <w:tcPr>
            <w:tcW w:w="1131" w:type="dxa"/>
          </w:tcPr>
          <w:p w14:paraId="28505DEA" w14:textId="77777777" w:rsidR="0055388C" w:rsidRDefault="00000000">
            <w:pPr>
              <w:pStyle w:val="Compact"/>
            </w:pPr>
            <w:r>
              <w:t>−210.2, 406.9</w:t>
            </w:r>
          </w:p>
        </w:tc>
        <w:tc>
          <w:tcPr>
            <w:tcW w:w="1131" w:type="dxa"/>
          </w:tcPr>
          <w:p w14:paraId="2E2FA949" w14:textId="77777777" w:rsidR="0055388C" w:rsidRDefault="00000000">
            <w:pPr>
              <w:pStyle w:val="Compact"/>
            </w:pPr>
            <w:r>
              <w:t>0.009</w:t>
            </w:r>
          </w:p>
        </w:tc>
      </w:tr>
      <w:tr w:rsidR="0055388C" w14:paraId="1401C3A9" w14:textId="77777777">
        <w:tc>
          <w:tcPr>
            <w:tcW w:w="1131" w:type="dxa"/>
          </w:tcPr>
          <w:p w14:paraId="002EA4AC" w14:textId="77777777" w:rsidR="0055388C" w:rsidRDefault="00000000">
            <w:pPr>
              <w:pStyle w:val="Compact"/>
            </w:pPr>
            <w:r>
              <w:t>Model 2: Adjusted</w:t>
            </w:r>
          </w:p>
        </w:tc>
        <w:tc>
          <w:tcPr>
            <w:tcW w:w="1131" w:type="dxa"/>
          </w:tcPr>
          <w:p w14:paraId="18701A40" w14:textId="77777777" w:rsidR="0055388C" w:rsidRDefault="00000000">
            <w:pPr>
              <w:pStyle w:val="Compact"/>
            </w:pPr>
            <w:r>
              <w:t>47</w:t>
            </w:r>
          </w:p>
        </w:tc>
        <w:tc>
          <w:tcPr>
            <w:tcW w:w="1131" w:type="dxa"/>
          </w:tcPr>
          <w:p w14:paraId="1FABD2D5" w14:textId="77777777" w:rsidR="0055388C" w:rsidRDefault="00000000">
            <w:pPr>
              <w:pStyle w:val="Compact"/>
            </w:pPr>
            <w:r>
              <w:t>84.7</w:t>
            </w:r>
          </w:p>
        </w:tc>
        <w:tc>
          <w:tcPr>
            <w:tcW w:w="1131" w:type="dxa"/>
          </w:tcPr>
          <w:p w14:paraId="1DC40576" w14:textId="77777777" w:rsidR="0055388C" w:rsidRDefault="00000000">
            <w:pPr>
              <w:pStyle w:val="Compact"/>
            </w:pPr>
            <w:r>
              <w:t>178.9</w:t>
            </w:r>
          </w:p>
        </w:tc>
        <w:tc>
          <w:tcPr>
            <w:tcW w:w="1131" w:type="dxa"/>
          </w:tcPr>
          <w:p w14:paraId="041241E2" w14:textId="77777777" w:rsidR="0055388C" w:rsidRDefault="00000000">
            <w:pPr>
              <w:pStyle w:val="Compact"/>
            </w:pPr>
            <w:r>
              <w:t>0.641</w:t>
            </w:r>
          </w:p>
        </w:tc>
        <w:tc>
          <w:tcPr>
            <w:tcW w:w="1131" w:type="dxa"/>
          </w:tcPr>
          <w:p w14:paraId="4B762F8D" w14:textId="77777777" w:rsidR="0055388C" w:rsidRDefault="00000000">
            <w:pPr>
              <w:pStyle w:val="Compact"/>
            </w:pPr>
            <w:r>
              <w:t>−275.5, 444.9</w:t>
            </w:r>
          </w:p>
        </w:tc>
        <w:tc>
          <w:tcPr>
            <w:tcW w:w="1131" w:type="dxa"/>
          </w:tcPr>
          <w:p w14:paraId="100B13C2" w14:textId="77777777" w:rsidR="0055388C" w:rsidRDefault="00000000">
            <w:pPr>
              <w:pStyle w:val="Compact"/>
            </w:pPr>
            <w:r>
              <w:t>0.197</w:t>
            </w:r>
          </w:p>
        </w:tc>
      </w:tr>
    </w:tbl>
    <w:p w14:paraId="22BBD721" w14:textId="77777777" w:rsidR="0055388C" w:rsidRDefault="00000000">
      <w:pPr>
        <w:pStyle w:val="a0"/>
      </w:pPr>
      <w:r>
        <w:rPr>
          <w:i/>
          <w:iCs/>
        </w:rPr>
        <w:t>Adjusted model: adjusted for aging rate, per-capita income, and population density.</w:t>
      </w:r>
    </w:p>
    <w:p w14:paraId="1B38D153" w14:textId="77777777" w:rsidR="0055388C" w:rsidRDefault="00000000">
      <w:r>
        <w:pict w14:anchorId="5CDDD0BF">
          <v:rect id="_x0000_i1033" style="width:0;height:1.5pt" o:hralign="center" o:hrstd="t" o:hr="t"/>
        </w:pict>
      </w:r>
    </w:p>
    <w:p w14:paraId="6DC329CD" w14:textId="77777777" w:rsidR="00515C9D" w:rsidRDefault="00000000">
      <w:r>
        <w:rPr>
          <w:b/>
        </w:rPr>
        <w:t>Main Figures</w:t>
      </w:r>
    </w:p>
    <w:p w14:paraId="732796B4" w14:textId="77777777" w:rsidR="0055388C" w:rsidRPr="00B61F97" w:rsidRDefault="00000000">
      <w:pPr>
        <w:pStyle w:val="FirstParagraph"/>
      </w:pPr>
      <w:r w:rsidRPr="00B61F97">
        <w:t>Figure 3: Prefectural distribution of perioperative oral management (POFM) density (B001-2 + B001-3 claim counts per 100,000 population, FY2023).</w:t>
      </w:r>
    </w:p>
    <w:p w14:paraId="50CD73B2" w14:textId="77777777" w:rsidR="0055388C" w:rsidRDefault="00000000">
      <w:pPr>
        <w:pStyle w:val="CaptionedFigure"/>
      </w:pPr>
      <w:r>
        <w:rPr>
          <w:noProof/>
        </w:rPr>
        <w:lastRenderedPageBreak/>
        <w:drawing>
          <wp:inline distT="0" distB="0" distL="0" distR="0" wp14:anchorId="449E1F68" wp14:editId="0127A177">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74DC5AB0" w14:textId="77777777" w:rsidR="0055388C" w:rsidRDefault="00000000">
      <w:pPr>
        <w:pStyle w:val="ImageCaption"/>
      </w:pPr>
      <w:r>
        <w:t>Choropleth map of POFM density by prefecture</w:t>
      </w:r>
    </w:p>
    <w:p w14:paraId="449008C6" w14:textId="77777777" w:rsidR="0055388C" w:rsidRDefault="00000000">
      <w:pPr>
        <w:pStyle w:val="a0"/>
      </w:pPr>
      <w:r>
        <w:t>Figure 6: Local Indicators of Spatial Association (LISA) cluster map of POFM density across 47 Japanese prefectures (999 permutations, p &lt; 0.05). Red = High-High (HH, n=3); Blue = Low-Low (LL, n=3); Light blue = Low-High (LH, n=1); Grey = Not significant (n=40).</w:t>
      </w:r>
    </w:p>
    <w:p w14:paraId="64AD7110" w14:textId="77777777" w:rsidR="0055388C" w:rsidRDefault="00000000">
      <w:pPr>
        <w:pStyle w:val="CaptionedFigure"/>
      </w:pPr>
      <w:r>
        <w:rPr>
          <w:noProof/>
        </w:rPr>
        <w:lastRenderedPageBreak/>
        <w:drawing>
          <wp:inline distT="0" distB="0" distL="0" distR="0" wp14:anchorId="686A0D0C" wp14:editId="478375C1">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6CD76A8C" w14:textId="77777777" w:rsidR="0055388C" w:rsidRDefault="00000000">
      <w:pPr>
        <w:pStyle w:val="ImageCaption"/>
      </w:pPr>
      <w:r>
        <w:t>LISA cluster map of POFM density</w:t>
      </w:r>
    </w:p>
    <w:p w14:paraId="1F1F60BE" w14:textId="77777777" w:rsidR="00515C9D" w:rsidRDefault="00515C9D"/>
    <w:p w14:paraId="11CF1173" w14:textId="77777777" w:rsidR="00515C9D" w:rsidRDefault="00000000">
      <w:r>
        <w:rPr>
          <w:b/>
        </w:rPr>
        <w:t>Appendix</w:t>
      </w:r>
    </w:p>
    <w:p w14:paraId="4FDD13A3" w14:textId="77777777" w:rsidR="0055388C" w:rsidRDefault="00000000">
      <w:pPr>
        <w:pStyle w:val="FirstParagraph"/>
      </w:pPr>
      <w:r>
        <w:t>Appendix Table A1. Selected Spatial Lag Model (SLM) results</w:t>
      </w:r>
    </w:p>
    <w:tbl>
      <w:tblPr>
        <w:tblStyle w:val="Table"/>
        <w:tblW w:w="0" w:type="auto"/>
        <w:tblLook w:val="0020" w:firstRow="1" w:lastRow="0" w:firstColumn="0" w:lastColumn="0" w:noHBand="0" w:noVBand="0"/>
      </w:tblPr>
      <w:tblGrid>
        <w:gridCol w:w="2909"/>
        <w:gridCol w:w="1251"/>
        <w:gridCol w:w="1237"/>
        <w:gridCol w:w="992"/>
      </w:tblGrid>
      <w:tr w:rsidR="0055388C" w14:paraId="39999EDF"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6F472A28" w14:textId="77777777" w:rsidR="0055388C" w:rsidRDefault="00000000">
            <w:pPr>
              <w:pStyle w:val="Compact"/>
            </w:pPr>
            <w:r>
              <w:t>Parameter</w:t>
            </w:r>
          </w:p>
        </w:tc>
        <w:tc>
          <w:tcPr>
            <w:tcW w:w="0" w:type="auto"/>
          </w:tcPr>
          <w:p w14:paraId="1829277C" w14:textId="77777777" w:rsidR="0055388C" w:rsidRDefault="00000000">
            <w:pPr>
              <w:pStyle w:val="Compact"/>
            </w:pPr>
            <w:r>
              <w:t>Estimate</w:t>
            </w:r>
          </w:p>
        </w:tc>
        <w:tc>
          <w:tcPr>
            <w:tcW w:w="0" w:type="auto"/>
          </w:tcPr>
          <w:p w14:paraId="7DDC89B3" w14:textId="77777777" w:rsidR="0055388C" w:rsidRDefault="00000000">
            <w:pPr>
              <w:pStyle w:val="Compact"/>
            </w:pPr>
            <w:r>
              <w:t>z-statistic</w:t>
            </w:r>
          </w:p>
        </w:tc>
        <w:tc>
          <w:tcPr>
            <w:tcW w:w="0" w:type="auto"/>
          </w:tcPr>
          <w:p w14:paraId="109B8713" w14:textId="77777777" w:rsidR="0055388C" w:rsidRDefault="00000000">
            <w:pPr>
              <w:pStyle w:val="Compact"/>
            </w:pPr>
            <w:r>
              <w:t>p-value</w:t>
            </w:r>
          </w:p>
        </w:tc>
      </w:tr>
      <w:tr w:rsidR="0055388C" w14:paraId="48987873" w14:textId="77777777">
        <w:tc>
          <w:tcPr>
            <w:tcW w:w="0" w:type="auto"/>
          </w:tcPr>
          <w:p w14:paraId="5570A8FA" w14:textId="77777777" w:rsidR="0055388C" w:rsidRDefault="00000000">
            <w:pPr>
              <w:pStyle w:val="Compact"/>
            </w:pPr>
            <w:r>
              <w:t>Spatial lag (ρ)</w:t>
            </w:r>
          </w:p>
        </w:tc>
        <w:tc>
          <w:tcPr>
            <w:tcW w:w="0" w:type="auto"/>
          </w:tcPr>
          <w:p w14:paraId="5E0F6219" w14:textId="77777777" w:rsidR="0055388C" w:rsidRDefault="00000000">
            <w:pPr>
              <w:pStyle w:val="Compact"/>
            </w:pPr>
            <w:r>
              <w:t>0.354</w:t>
            </w:r>
          </w:p>
        </w:tc>
        <w:tc>
          <w:tcPr>
            <w:tcW w:w="0" w:type="auto"/>
          </w:tcPr>
          <w:p w14:paraId="0F334CC6" w14:textId="77777777" w:rsidR="0055388C" w:rsidRDefault="00000000">
            <w:pPr>
              <w:pStyle w:val="Compact"/>
            </w:pPr>
            <w:r>
              <w:t>3.14</w:t>
            </w:r>
          </w:p>
        </w:tc>
        <w:tc>
          <w:tcPr>
            <w:tcW w:w="0" w:type="auto"/>
          </w:tcPr>
          <w:p w14:paraId="3E150CCA" w14:textId="77777777" w:rsidR="0055388C" w:rsidRDefault="00000000">
            <w:pPr>
              <w:pStyle w:val="Compact"/>
            </w:pPr>
            <w:r>
              <w:rPr>
                <w:b/>
                <w:bCs/>
              </w:rPr>
              <w:t>0.002</w:t>
            </w:r>
          </w:p>
        </w:tc>
      </w:tr>
      <w:tr w:rsidR="0055388C" w14:paraId="4FFA393C" w14:textId="77777777">
        <w:tc>
          <w:tcPr>
            <w:tcW w:w="0" w:type="auto"/>
          </w:tcPr>
          <w:p w14:paraId="1C51B02B" w14:textId="77777777" w:rsidR="0055388C" w:rsidRDefault="00000000">
            <w:pPr>
              <w:pStyle w:val="Compact"/>
            </w:pPr>
            <w:r>
              <w:t>Cancer surgery density (β)</w:t>
            </w:r>
          </w:p>
        </w:tc>
        <w:tc>
          <w:tcPr>
            <w:tcW w:w="0" w:type="auto"/>
          </w:tcPr>
          <w:p w14:paraId="04E013AD" w14:textId="77777777" w:rsidR="0055388C" w:rsidRDefault="00000000">
            <w:pPr>
              <w:pStyle w:val="Compact"/>
            </w:pPr>
            <w:r>
              <w:t>114.2</w:t>
            </w:r>
          </w:p>
        </w:tc>
        <w:tc>
          <w:tcPr>
            <w:tcW w:w="0" w:type="auto"/>
          </w:tcPr>
          <w:p w14:paraId="235F9437" w14:textId="77777777" w:rsidR="0055388C" w:rsidRDefault="00000000">
            <w:pPr>
              <w:pStyle w:val="Compact"/>
            </w:pPr>
            <w:r>
              <w:t>0.79</w:t>
            </w:r>
          </w:p>
        </w:tc>
        <w:tc>
          <w:tcPr>
            <w:tcW w:w="0" w:type="auto"/>
          </w:tcPr>
          <w:p w14:paraId="24C5B695" w14:textId="77777777" w:rsidR="0055388C" w:rsidRDefault="00000000">
            <w:pPr>
              <w:pStyle w:val="Compact"/>
            </w:pPr>
            <w:r>
              <w:t>0.431</w:t>
            </w:r>
          </w:p>
        </w:tc>
      </w:tr>
      <w:tr w:rsidR="0055388C" w14:paraId="1E911311" w14:textId="77777777">
        <w:tc>
          <w:tcPr>
            <w:tcW w:w="0" w:type="auto"/>
          </w:tcPr>
          <w:p w14:paraId="4D729B19" w14:textId="77777777" w:rsidR="0055388C" w:rsidRDefault="00000000">
            <w:pPr>
              <w:pStyle w:val="Compact"/>
            </w:pPr>
            <w:r>
              <w:t>Aging rate (β)</w:t>
            </w:r>
          </w:p>
        </w:tc>
        <w:tc>
          <w:tcPr>
            <w:tcW w:w="0" w:type="auto"/>
          </w:tcPr>
          <w:p w14:paraId="40B4E1ED" w14:textId="77777777" w:rsidR="0055388C" w:rsidRDefault="00000000">
            <w:pPr>
              <w:pStyle w:val="Compact"/>
            </w:pPr>
            <w:r>
              <w:t>−1,562.2</w:t>
            </w:r>
          </w:p>
        </w:tc>
        <w:tc>
          <w:tcPr>
            <w:tcW w:w="0" w:type="auto"/>
          </w:tcPr>
          <w:p w14:paraId="764C24C0" w14:textId="77777777" w:rsidR="0055388C" w:rsidRDefault="00000000">
            <w:pPr>
              <w:pStyle w:val="Compact"/>
            </w:pPr>
            <w:r>
              <w:t>−0.87</w:t>
            </w:r>
          </w:p>
        </w:tc>
        <w:tc>
          <w:tcPr>
            <w:tcW w:w="0" w:type="auto"/>
          </w:tcPr>
          <w:p w14:paraId="622AC9EA" w14:textId="77777777" w:rsidR="0055388C" w:rsidRDefault="00000000">
            <w:pPr>
              <w:pStyle w:val="Compact"/>
            </w:pPr>
            <w:r>
              <w:t>0.385</w:t>
            </w:r>
          </w:p>
        </w:tc>
      </w:tr>
      <w:tr w:rsidR="0055388C" w14:paraId="23EFF2AB" w14:textId="77777777">
        <w:tc>
          <w:tcPr>
            <w:tcW w:w="0" w:type="auto"/>
          </w:tcPr>
          <w:p w14:paraId="3E952CB9" w14:textId="77777777" w:rsidR="0055388C" w:rsidRDefault="00000000">
            <w:pPr>
              <w:pStyle w:val="Compact"/>
            </w:pPr>
            <w:r>
              <w:t>Per-capita income (β)</w:t>
            </w:r>
          </w:p>
        </w:tc>
        <w:tc>
          <w:tcPr>
            <w:tcW w:w="0" w:type="auto"/>
          </w:tcPr>
          <w:p w14:paraId="7BE17BDC" w14:textId="77777777" w:rsidR="0055388C" w:rsidRDefault="00000000">
            <w:pPr>
              <w:pStyle w:val="Compact"/>
            </w:pPr>
            <w:r>
              <w:t>−6.2</w:t>
            </w:r>
          </w:p>
        </w:tc>
        <w:tc>
          <w:tcPr>
            <w:tcW w:w="0" w:type="auto"/>
          </w:tcPr>
          <w:p w14:paraId="1459B224" w14:textId="77777777" w:rsidR="0055388C" w:rsidRDefault="00000000">
            <w:pPr>
              <w:pStyle w:val="Compact"/>
            </w:pPr>
            <w:r>
              <w:t>−0.33</w:t>
            </w:r>
          </w:p>
        </w:tc>
        <w:tc>
          <w:tcPr>
            <w:tcW w:w="0" w:type="auto"/>
          </w:tcPr>
          <w:p w14:paraId="5013D56F" w14:textId="77777777" w:rsidR="0055388C" w:rsidRDefault="00000000">
            <w:pPr>
              <w:pStyle w:val="Compact"/>
            </w:pPr>
            <w:r>
              <w:t>0.742</w:t>
            </w:r>
          </w:p>
        </w:tc>
      </w:tr>
      <w:tr w:rsidR="0055388C" w14:paraId="70078F09" w14:textId="77777777">
        <w:tc>
          <w:tcPr>
            <w:tcW w:w="0" w:type="auto"/>
          </w:tcPr>
          <w:p w14:paraId="473D60D0" w14:textId="77777777" w:rsidR="0055388C" w:rsidRDefault="00000000">
            <w:pPr>
              <w:pStyle w:val="Compact"/>
            </w:pPr>
            <w:r>
              <w:t>Population density (β)</w:t>
            </w:r>
          </w:p>
        </w:tc>
        <w:tc>
          <w:tcPr>
            <w:tcW w:w="0" w:type="auto"/>
          </w:tcPr>
          <w:p w14:paraId="18B7EB79" w14:textId="77777777" w:rsidR="0055388C" w:rsidRDefault="00000000">
            <w:pPr>
              <w:pStyle w:val="Compact"/>
            </w:pPr>
            <w:r>
              <w:t>8.1</w:t>
            </w:r>
          </w:p>
        </w:tc>
        <w:tc>
          <w:tcPr>
            <w:tcW w:w="0" w:type="auto"/>
          </w:tcPr>
          <w:p w14:paraId="62D1479D" w14:textId="77777777" w:rsidR="0055388C" w:rsidRDefault="00000000">
            <w:pPr>
              <w:pStyle w:val="Compact"/>
            </w:pPr>
            <w:r>
              <w:t>1.81</w:t>
            </w:r>
          </w:p>
        </w:tc>
        <w:tc>
          <w:tcPr>
            <w:tcW w:w="0" w:type="auto"/>
          </w:tcPr>
          <w:p w14:paraId="11B536E4" w14:textId="77777777" w:rsidR="0055388C" w:rsidRDefault="00000000">
            <w:pPr>
              <w:pStyle w:val="Compact"/>
            </w:pPr>
            <w:r>
              <w:t>0.071</w:t>
            </w:r>
          </w:p>
        </w:tc>
      </w:tr>
      <w:tr w:rsidR="0055388C" w14:paraId="00BB11B8" w14:textId="77777777">
        <w:tc>
          <w:tcPr>
            <w:tcW w:w="0" w:type="auto"/>
          </w:tcPr>
          <w:p w14:paraId="6D072DAD" w14:textId="77777777" w:rsidR="0055388C" w:rsidRDefault="00000000">
            <w:pPr>
              <w:pStyle w:val="Compact"/>
            </w:pPr>
            <w:r>
              <w:t>Constant</w:t>
            </w:r>
          </w:p>
        </w:tc>
        <w:tc>
          <w:tcPr>
            <w:tcW w:w="0" w:type="auto"/>
          </w:tcPr>
          <w:p w14:paraId="477024C8" w14:textId="77777777" w:rsidR="0055388C" w:rsidRDefault="00000000">
            <w:pPr>
              <w:pStyle w:val="Compact"/>
            </w:pPr>
            <w:r>
              <w:t>103,519.5</w:t>
            </w:r>
          </w:p>
        </w:tc>
        <w:tc>
          <w:tcPr>
            <w:tcW w:w="0" w:type="auto"/>
          </w:tcPr>
          <w:p w14:paraId="343FEBE4" w14:textId="77777777" w:rsidR="0055388C" w:rsidRDefault="00000000">
            <w:pPr>
              <w:pStyle w:val="Compact"/>
            </w:pPr>
            <w:r>
              <w:t>1.17</w:t>
            </w:r>
          </w:p>
        </w:tc>
        <w:tc>
          <w:tcPr>
            <w:tcW w:w="0" w:type="auto"/>
          </w:tcPr>
          <w:p w14:paraId="13495E80" w14:textId="77777777" w:rsidR="0055388C" w:rsidRDefault="00000000">
            <w:pPr>
              <w:pStyle w:val="Compact"/>
            </w:pPr>
            <w:r>
              <w:t>0.241</w:t>
            </w:r>
          </w:p>
        </w:tc>
      </w:tr>
      <w:tr w:rsidR="0055388C" w14:paraId="2D6EF792" w14:textId="77777777">
        <w:tc>
          <w:tcPr>
            <w:tcW w:w="0" w:type="auto"/>
          </w:tcPr>
          <w:p w14:paraId="23A382AF" w14:textId="77777777" w:rsidR="0055388C" w:rsidRDefault="00000000">
            <w:pPr>
              <w:pStyle w:val="Compact"/>
            </w:pPr>
            <w:r>
              <w:t>Pseudo-R²</w:t>
            </w:r>
          </w:p>
        </w:tc>
        <w:tc>
          <w:tcPr>
            <w:tcW w:w="0" w:type="auto"/>
          </w:tcPr>
          <w:p w14:paraId="52D927F3" w14:textId="77777777" w:rsidR="0055388C" w:rsidRDefault="00000000">
            <w:pPr>
              <w:pStyle w:val="Compact"/>
            </w:pPr>
            <w:r>
              <w:t>0.350</w:t>
            </w:r>
          </w:p>
        </w:tc>
        <w:tc>
          <w:tcPr>
            <w:tcW w:w="0" w:type="auto"/>
          </w:tcPr>
          <w:p w14:paraId="6FDE7957" w14:textId="77777777" w:rsidR="0055388C" w:rsidRDefault="00000000">
            <w:pPr>
              <w:pStyle w:val="Compact"/>
            </w:pPr>
            <w:r>
              <w:t>—</w:t>
            </w:r>
          </w:p>
        </w:tc>
        <w:tc>
          <w:tcPr>
            <w:tcW w:w="0" w:type="auto"/>
          </w:tcPr>
          <w:p w14:paraId="44E201E1" w14:textId="77777777" w:rsidR="0055388C" w:rsidRDefault="00000000">
            <w:pPr>
              <w:pStyle w:val="Compact"/>
            </w:pPr>
            <w:r>
              <w:t>—</w:t>
            </w:r>
          </w:p>
        </w:tc>
      </w:tr>
      <w:tr w:rsidR="0055388C" w14:paraId="10CAE0CC" w14:textId="77777777">
        <w:tc>
          <w:tcPr>
            <w:tcW w:w="0" w:type="auto"/>
          </w:tcPr>
          <w:p w14:paraId="151C65EC" w14:textId="77777777" w:rsidR="0055388C" w:rsidRDefault="00000000">
            <w:pPr>
              <w:pStyle w:val="Compact"/>
            </w:pPr>
            <w:r>
              <w:lastRenderedPageBreak/>
              <w:t>AIC</w:t>
            </w:r>
          </w:p>
        </w:tc>
        <w:tc>
          <w:tcPr>
            <w:tcW w:w="0" w:type="auto"/>
          </w:tcPr>
          <w:p w14:paraId="7D7EC5F4" w14:textId="77777777" w:rsidR="0055388C" w:rsidRDefault="00000000">
            <w:pPr>
              <w:pStyle w:val="Compact"/>
            </w:pPr>
            <w:r>
              <w:t>1,081.1</w:t>
            </w:r>
          </w:p>
        </w:tc>
        <w:tc>
          <w:tcPr>
            <w:tcW w:w="0" w:type="auto"/>
          </w:tcPr>
          <w:p w14:paraId="037D1CD4" w14:textId="77777777" w:rsidR="0055388C" w:rsidRDefault="00000000">
            <w:pPr>
              <w:pStyle w:val="Compact"/>
            </w:pPr>
            <w:r>
              <w:t>—</w:t>
            </w:r>
          </w:p>
        </w:tc>
        <w:tc>
          <w:tcPr>
            <w:tcW w:w="0" w:type="auto"/>
          </w:tcPr>
          <w:p w14:paraId="71C795CD" w14:textId="77777777" w:rsidR="0055388C" w:rsidRDefault="00000000">
            <w:pPr>
              <w:pStyle w:val="Compact"/>
            </w:pPr>
            <w:r>
              <w:t>—</w:t>
            </w:r>
          </w:p>
        </w:tc>
      </w:tr>
      <w:tr w:rsidR="0055388C" w14:paraId="2CCFE8E3" w14:textId="77777777">
        <w:tc>
          <w:tcPr>
            <w:tcW w:w="0" w:type="auto"/>
          </w:tcPr>
          <w:p w14:paraId="521EA762" w14:textId="77777777" w:rsidR="0055388C" w:rsidRDefault="00000000">
            <w:pPr>
              <w:pStyle w:val="Compact"/>
            </w:pPr>
            <w:r>
              <w:t>Log-likelihood</w:t>
            </w:r>
          </w:p>
        </w:tc>
        <w:tc>
          <w:tcPr>
            <w:tcW w:w="0" w:type="auto"/>
          </w:tcPr>
          <w:p w14:paraId="7D083A0F" w14:textId="77777777" w:rsidR="0055388C" w:rsidRDefault="00000000">
            <w:pPr>
              <w:pStyle w:val="Compact"/>
            </w:pPr>
            <w:r>
              <w:t>−534.5</w:t>
            </w:r>
          </w:p>
        </w:tc>
        <w:tc>
          <w:tcPr>
            <w:tcW w:w="0" w:type="auto"/>
          </w:tcPr>
          <w:p w14:paraId="3FA83B06" w14:textId="77777777" w:rsidR="0055388C" w:rsidRDefault="00000000">
            <w:pPr>
              <w:pStyle w:val="Compact"/>
            </w:pPr>
            <w:r>
              <w:t>—</w:t>
            </w:r>
          </w:p>
        </w:tc>
        <w:tc>
          <w:tcPr>
            <w:tcW w:w="0" w:type="auto"/>
          </w:tcPr>
          <w:p w14:paraId="33ED2C79" w14:textId="77777777" w:rsidR="0055388C" w:rsidRDefault="00000000">
            <w:pPr>
              <w:pStyle w:val="Compact"/>
            </w:pPr>
            <w:r>
              <w:t>—</w:t>
            </w:r>
          </w:p>
        </w:tc>
      </w:tr>
      <w:tr w:rsidR="0055388C" w14:paraId="05082A7C" w14:textId="77777777">
        <w:tc>
          <w:tcPr>
            <w:tcW w:w="0" w:type="auto"/>
          </w:tcPr>
          <w:p w14:paraId="3F261884" w14:textId="77777777" w:rsidR="0055388C" w:rsidRDefault="00000000">
            <w:pPr>
              <w:pStyle w:val="Compact"/>
            </w:pPr>
            <w:r>
              <w:t>n</w:t>
            </w:r>
          </w:p>
        </w:tc>
        <w:tc>
          <w:tcPr>
            <w:tcW w:w="0" w:type="auto"/>
          </w:tcPr>
          <w:p w14:paraId="338767CE" w14:textId="77777777" w:rsidR="0055388C" w:rsidRDefault="00000000">
            <w:pPr>
              <w:pStyle w:val="Compact"/>
            </w:pPr>
            <w:r>
              <w:t>47</w:t>
            </w:r>
          </w:p>
        </w:tc>
        <w:tc>
          <w:tcPr>
            <w:tcW w:w="0" w:type="auto"/>
          </w:tcPr>
          <w:p w14:paraId="6CA61A3B" w14:textId="77777777" w:rsidR="0055388C" w:rsidRDefault="00000000">
            <w:pPr>
              <w:pStyle w:val="Compact"/>
            </w:pPr>
            <w:r>
              <w:t>—</w:t>
            </w:r>
          </w:p>
        </w:tc>
        <w:tc>
          <w:tcPr>
            <w:tcW w:w="0" w:type="auto"/>
          </w:tcPr>
          <w:p w14:paraId="3B4945D1" w14:textId="77777777" w:rsidR="0055388C" w:rsidRDefault="00000000">
            <w:pPr>
              <w:pStyle w:val="Compact"/>
            </w:pPr>
            <w:r>
              <w:t>—</w:t>
            </w:r>
          </w:p>
        </w:tc>
      </w:tr>
    </w:tbl>
    <w:p w14:paraId="25529C6F" w14:textId="77777777" w:rsidR="0055388C" w:rsidRDefault="00000000">
      <w:pPr>
        <w:pStyle w:val="a0"/>
      </w:pPr>
      <w:r>
        <w:t>All model coefficients, the spatial lag parameter (ρ), and model fit statistics are reported. HC3 robust standard errors were not applied to the SLM (maximum likelihood estimation). Adjusted for aging rate, per-capita income, and population density.</w:t>
      </w:r>
    </w:p>
    <w:p w14:paraId="6D480971" w14:textId="77777777" w:rsidR="0055388C" w:rsidRDefault="00000000">
      <w:r>
        <w:pict w14:anchorId="19493DBD">
          <v:rect id="_x0000_i1034" style="width:0;height:1.5pt" o:hralign="center" o:hrstd="t" o:hr="t"/>
        </w:pict>
      </w:r>
    </w:p>
    <w:p w14:paraId="7F9F19F3" w14:textId="77777777" w:rsidR="00515C9D" w:rsidRDefault="00000000">
      <w:r>
        <w:rPr>
          <w:b/>
        </w:rPr>
        <w:t>Appendix Figures</w:t>
      </w:r>
    </w:p>
    <w:p w14:paraId="15B380AE" w14:textId="77777777" w:rsidR="0055388C" w:rsidRDefault="00000000">
      <w:pPr>
        <w:pStyle w:val="FirstParagraph"/>
      </w:pPr>
      <w:r>
        <w:t>Appendix Figure A1: Conceptual framework for need-driven versus supply-driven POFM implementation under universal health coverage.</w:t>
      </w:r>
    </w:p>
    <w:p w14:paraId="225C615D" w14:textId="77777777" w:rsidR="0055388C" w:rsidRDefault="00000000">
      <w:pPr>
        <w:pStyle w:val="FirstParagraph"/>
        <w:jc w:val="center"/>
      </w:pPr>
      <w:r>
        <w:rPr>
          <w:noProof/>
        </w:rPr>
        <w:drawing>
          <wp:inline distT="0" distB="0" distL="0" distR="0" wp14:anchorId="29D24039" wp14:editId="01F685E8">
            <wp:extent cx="5852160" cy="2833677"/>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supply_need_pofm.png"/>
                    <pic:cNvPicPr/>
                  </pic:nvPicPr>
                  <pic:blipFill>
                    <a:blip r:embed="rId9"/>
                    <a:stretch>
                      <a:fillRect/>
                    </a:stretch>
                  </pic:blipFill>
                  <pic:spPr>
                    <a:xfrm>
                      <a:off x="0" y="0"/>
                      <a:ext cx="5852160" cy="2833677"/>
                    </a:xfrm>
                    <a:prstGeom prst="rect">
                      <a:avLst/>
                    </a:prstGeom>
                  </pic:spPr>
                </pic:pic>
              </a:graphicData>
            </a:graphic>
          </wp:inline>
        </w:drawing>
      </w:r>
    </w:p>
    <w:p w14:paraId="4D0FF192" w14:textId="77777777" w:rsidR="0055388C" w:rsidRPr="00B61F97" w:rsidRDefault="00000000">
      <w:pPr>
        <w:pStyle w:val="a0"/>
      </w:pPr>
      <w:r w:rsidRPr="00B61F97">
        <w:t>Appendix Figure A2: Scatter plot of prefectural dentist density (dentists per 100,000 population, 2022) vs. POFM density (B001-2 + B001-3 per 100,000 population, FY2023) across 47 Japanese prefectures. Red labels = High-High LISA clusters (Hyogo, Okayama, Saga); Blue labels = Low-Low LISA clusters (Hokkaido, Iwate, Okinawa).</w:t>
      </w:r>
    </w:p>
    <w:p w14:paraId="77B33E22" w14:textId="77777777" w:rsidR="0055388C" w:rsidRDefault="00000000">
      <w:pPr>
        <w:pStyle w:val="CaptionedFigure"/>
      </w:pPr>
      <w:r>
        <w:rPr>
          <w:noProof/>
        </w:rPr>
        <w:lastRenderedPageBreak/>
        <w:drawing>
          <wp:inline distT="0" distB="0" distL="0" distR="0" wp14:anchorId="697BB56C" wp14:editId="49EBED84">
            <wp:extent cx="4000500" cy="3097354"/>
            <wp:effectExtent l="0" t="0" r="0" b="0"/>
            <wp:docPr id="135" name="Picture" descr="Scatter plot of dentist density vs. POFM density"/>
            <wp:cNvGraphicFramePr/>
            <a:graphic xmlns:a="http://schemas.openxmlformats.org/drawingml/2006/main">
              <a:graphicData uri="http://schemas.openxmlformats.org/drawingml/2006/picture">
                <pic:pic xmlns:pic="http://schemas.openxmlformats.org/drawingml/2006/picture">
                  <pic:nvPicPr>
                    <pic:cNvPr id="136" name="Picture" descr="../results/figures/scatter_dentist_vs_dental.png"/>
                    <pic:cNvPicPr>
                      <a:picLocks noChangeAspect="1" noChangeArrowheads="1"/>
                    </pic:cNvPicPr>
                  </pic:nvPicPr>
                  <pic:blipFill>
                    <a:blip r:embed="rId10"/>
                    <a:stretch>
                      <a:fillRect/>
                    </a:stretch>
                  </pic:blipFill>
                  <pic:spPr bwMode="auto">
                    <a:xfrm>
                      <a:off x="0" y="0"/>
                      <a:ext cx="4000500" cy="3097354"/>
                    </a:xfrm>
                    <a:prstGeom prst="rect">
                      <a:avLst/>
                    </a:prstGeom>
                    <a:noFill/>
                    <a:ln w="9525">
                      <a:noFill/>
                      <a:headEnd/>
                      <a:tailEnd/>
                    </a:ln>
                  </pic:spPr>
                </pic:pic>
              </a:graphicData>
            </a:graphic>
          </wp:inline>
        </w:drawing>
      </w:r>
    </w:p>
    <w:p w14:paraId="3263A539" w14:textId="77777777" w:rsidR="0055388C" w:rsidRDefault="00000000">
      <w:pPr>
        <w:pStyle w:val="a0"/>
      </w:pPr>
      <w:r>
        <w:t>Appendix Figure A4: Scatter plot of cancer surgery density vs. POFM density by prefecture (N = 47). The dashed line indicates the OLS regression fit (β = 98.3, p = 0.510).</w:t>
      </w:r>
    </w:p>
    <w:p w14:paraId="33C653C0" w14:textId="77777777" w:rsidR="0055388C" w:rsidRDefault="00000000">
      <w:pPr>
        <w:pStyle w:val="CaptionedFigure"/>
      </w:pPr>
      <w:r>
        <w:rPr>
          <w:noProof/>
        </w:rPr>
        <w:drawing>
          <wp:inline distT="0" distB="0" distL="0" distR="0" wp14:anchorId="7B03C667" wp14:editId="5ADF5B5F">
            <wp:extent cx="4000500" cy="3083874"/>
            <wp:effectExtent l="0" t="0" r="0" b="0"/>
            <wp:docPr id="126" name="Picture" descr="Scatter plot of cancer surgery density vs. POFM density"/>
            <wp:cNvGraphicFramePr/>
            <a:graphic xmlns:a="http://schemas.openxmlformats.org/drawingml/2006/main">
              <a:graphicData uri="http://schemas.openxmlformats.org/drawingml/2006/picture">
                <pic:pic xmlns:pic="http://schemas.openxmlformats.org/drawingml/2006/picture">
                  <pic:nvPicPr>
                    <pic:cNvPr id="127" name="Picture" descr="../results/figures/scatter_surgery_vs_dental.png"/>
                    <pic:cNvPicPr>
                      <a:picLocks noChangeAspect="1" noChangeArrowheads="1"/>
                    </pic:cNvPicPr>
                  </pic:nvPicPr>
                  <pic:blipFill>
                    <a:blip r:embed="rId11"/>
                    <a:stretch>
                      <a:fillRect/>
                    </a:stretch>
                  </pic:blipFill>
                  <pic:spPr bwMode="auto">
                    <a:xfrm>
                      <a:off x="0" y="0"/>
                      <a:ext cx="4000500" cy="3083874"/>
                    </a:xfrm>
                    <a:prstGeom prst="rect">
                      <a:avLst/>
                    </a:prstGeom>
                    <a:noFill/>
                    <a:ln w="9525">
                      <a:noFill/>
                      <a:headEnd/>
                      <a:tailEnd/>
                    </a:ln>
                  </pic:spPr>
                </pic:pic>
              </a:graphicData>
            </a:graphic>
          </wp:inline>
        </w:drawing>
      </w:r>
    </w:p>
    <w:p w14:paraId="5A87B0A2" w14:textId="77777777" w:rsidR="0055388C" w:rsidRDefault="00000000">
      <w:pPr>
        <w:pStyle w:val="ImageCaption"/>
      </w:pPr>
      <w:r>
        <w:t>Scatter plot of cancer surgery density vs. POFM density</w:t>
      </w:r>
    </w:p>
    <w:p w14:paraId="2290266C" w14:textId="77777777" w:rsidR="0055388C" w:rsidRDefault="00000000">
      <w:pPr>
        <w:pStyle w:val="a0"/>
      </w:pPr>
      <w:r>
        <w:lastRenderedPageBreak/>
        <w:t>Appendix Figure A5: Forest plot of cancer surgery density regression coefficients across seven sensitivity analysis specifications. Bars represent 95% confidence intervals. Red = p&lt;0.05; Blue = p≥0.05.</w:t>
      </w:r>
    </w:p>
    <w:p w14:paraId="0F1EC279" w14:textId="77777777" w:rsidR="0055388C" w:rsidRDefault="00000000">
      <w:pPr>
        <w:pStyle w:val="CaptionedFigure"/>
      </w:pPr>
      <w:r>
        <w:rPr>
          <w:noProof/>
        </w:rPr>
        <w:drawing>
          <wp:inline distT="0" distB="0" distL="0" distR="0" wp14:anchorId="45C13263" wp14:editId="1FB6E8DE">
            <wp:extent cx="4267200" cy="2827739"/>
            <wp:effectExtent l="0" t="0" r="0" b="0"/>
            <wp:docPr id="129" name="Picture" descr="Forest plot of sensitivity analysis coefficients"/>
            <wp:cNvGraphicFramePr/>
            <a:graphic xmlns:a="http://schemas.openxmlformats.org/drawingml/2006/main">
              <a:graphicData uri="http://schemas.openxmlformats.org/drawingml/2006/picture">
                <pic:pic xmlns:pic="http://schemas.openxmlformats.org/drawingml/2006/picture">
                  <pic:nvPicPr>
                    <pic:cNvPr id="130" name="Picture" descr="../results/figures/forest_sensitivity.png"/>
                    <pic:cNvPicPr>
                      <a:picLocks noChangeAspect="1" noChangeArrowheads="1"/>
                    </pic:cNvPicPr>
                  </pic:nvPicPr>
                  <pic:blipFill>
                    <a:blip r:embed="rId12"/>
                    <a:stretch>
                      <a:fillRect/>
                    </a:stretch>
                  </pic:blipFill>
                  <pic:spPr bwMode="auto">
                    <a:xfrm>
                      <a:off x="0" y="0"/>
                      <a:ext cx="4267200" cy="2827739"/>
                    </a:xfrm>
                    <a:prstGeom prst="rect">
                      <a:avLst/>
                    </a:prstGeom>
                    <a:noFill/>
                    <a:ln w="9525">
                      <a:noFill/>
                      <a:headEnd/>
                      <a:tailEnd/>
                    </a:ln>
                  </pic:spPr>
                </pic:pic>
              </a:graphicData>
            </a:graphic>
          </wp:inline>
        </w:drawing>
      </w:r>
    </w:p>
    <w:p w14:paraId="2A174924" w14:textId="77777777" w:rsidR="0055388C" w:rsidRDefault="00000000">
      <w:pPr>
        <w:pStyle w:val="ImageCaption"/>
      </w:pPr>
      <w:r>
        <w:t>Forest plot of sensitivity analysis coefficients</w:t>
      </w:r>
    </w:p>
    <w:p w14:paraId="5A5DB1DC" w14:textId="77777777" w:rsidR="0055388C" w:rsidRDefault="00000000">
      <w:pPr>
        <w:pStyle w:val="1"/>
      </w:pPr>
      <w:r>
        <w:t>Supplementary Figures</w:t>
      </w:r>
    </w:p>
    <w:p w14:paraId="577D1F36" w14:textId="77777777" w:rsidR="0055388C" w:rsidRDefault="00000000">
      <w:pPr>
        <w:pStyle w:val="a0"/>
      </w:pPr>
      <w:r>
        <w:t>Supplementary Figure S1: Prefectural distribution of major cancer surgery density (16 K-codes per 100,000 population, FY2023).</w:t>
      </w:r>
    </w:p>
    <w:p w14:paraId="76232FBC" w14:textId="77777777" w:rsidR="0055388C" w:rsidRDefault="00000000">
      <w:pPr>
        <w:pStyle w:val="CaptionedFigure"/>
      </w:pPr>
      <w:r>
        <w:rPr>
          <w:noProof/>
        </w:rPr>
        <w:lastRenderedPageBreak/>
        <w:drawing>
          <wp:inline distT="0" distB="0" distL="0" distR="0" wp14:anchorId="47104B83" wp14:editId="572DC9A3">
            <wp:extent cx="4267200" cy="3710541"/>
            <wp:effectExtent l="0" t="0" r="0" b="0"/>
            <wp:docPr id="123" name="Picture" descr="Choropleth map of cancer surgery density by prefecture"/>
            <wp:cNvGraphicFramePr/>
            <a:graphic xmlns:a="http://schemas.openxmlformats.org/drawingml/2006/main">
              <a:graphicData uri="http://schemas.openxmlformats.org/drawingml/2006/picture">
                <pic:pic xmlns:pic="http://schemas.openxmlformats.org/drawingml/2006/picture">
                  <pic:nvPicPr>
                    <pic:cNvPr id="124" name="Picture" descr="../results/figures/choropleth_cancer_surgery_rate.png"/>
                    <pic:cNvPicPr>
                      <a:picLocks noChangeAspect="1" noChangeArrowheads="1"/>
                    </pic:cNvPicPr>
                  </pic:nvPicPr>
                  <pic:blipFill>
                    <a:blip r:embed="rId13"/>
                    <a:stretch>
                      <a:fillRect/>
                    </a:stretch>
                  </pic:blipFill>
                  <pic:spPr bwMode="auto">
                    <a:xfrm>
                      <a:off x="0" y="0"/>
                      <a:ext cx="4267200" cy="3710541"/>
                    </a:xfrm>
                    <a:prstGeom prst="rect">
                      <a:avLst/>
                    </a:prstGeom>
                    <a:noFill/>
                    <a:ln w="9525">
                      <a:noFill/>
                      <a:headEnd/>
                      <a:tailEnd/>
                    </a:ln>
                  </pic:spPr>
                </pic:pic>
              </a:graphicData>
            </a:graphic>
          </wp:inline>
        </w:drawing>
      </w:r>
    </w:p>
    <w:p w14:paraId="3EEB2653" w14:textId="77777777" w:rsidR="0055388C" w:rsidRDefault="00000000">
      <w:pPr>
        <w:pStyle w:val="ImageCaption"/>
      </w:pPr>
      <w:r>
        <w:t>Cancer surgery density map by prefecture</w:t>
      </w:r>
    </w:p>
    <w:p w14:paraId="5E2A0EB3" w14:textId="77777777" w:rsidR="0055388C" w:rsidRDefault="00000000">
      <w:pPr>
        <w:pStyle w:val="ImageCaption"/>
      </w:pPr>
      <w:r>
        <w:t>Scatter plot of dentist density vs. POFM density</w:t>
      </w:r>
    </w:p>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75EB0" w14:textId="77777777" w:rsidR="00AD6A64" w:rsidRDefault="00AD6A64" w:rsidP="00C82DA5">
      <w:pPr>
        <w:spacing w:after="0"/>
      </w:pPr>
      <w:r>
        <w:separator/>
      </w:r>
    </w:p>
  </w:endnote>
  <w:endnote w:type="continuationSeparator" w:id="0">
    <w:p w14:paraId="1AAD05B1" w14:textId="77777777" w:rsidR="00AD6A64" w:rsidRDefault="00AD6A64"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EEF0B" w14:textId="77777777" w:rsidR="00AD6A64" w:rsidRDefault="00AD6A64" w:rsidP="00C82DA5">
      <w:pPr>
        <w:spacing w:after="0"/>
      </w:pPr>
      <w:r>
        <w:separator/>
      </w:r>
    </w:p>
  </w:footnote>
  <w:footnote w:type="continuationSeparator" w:id="0">
    <w:p w14:paraId="77229FF6" w14:textId="77777777" w:rsidR="00AD6A64" w:rsidRDefault="00AD6A64"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0768DA"/>
    <w:rsid w:val="001215DF"/>
    <w:rsid w:val="00182249"/>
    <w:rsid w:val="001A3560"/>
    <w:rsid w:val="002930B3"/>
    <w:rsid w:val="0031271F"/>
    <w:rsid w:val="00327913"/>
    <w:rsid w:val="00337C0C"/>
    <w:rsid w:val="003C1EF6"/>
    <w:rsid w:val="003E14E5"/>
    <w:rsid w:val="004844F4"/>
    <w:rsid w:val="00491266"/>
    <w:rsid w:val="00503C94"/>
    <w:rsid w:val="00504C64"/>
    <w:rsid w:val="00515C9D"/>
    <w:rsid w:val="0055388C"/>
    <w:rsid w:val="005F29B9"/>
    <w:rsid w:val="006938A3"/>
    <w:rsid w:val="00843AD6"/>
    <w:rsid w:val="008E0C68"/>
    <w:rsid w:val="00951F32"/>
    <w:rsid w:val="00985A50"/>
    <w:rsid w:val="00A32CEB"/>
    <w:rsid w:val="00AC1394"/>
    <w:rsid w:val="00AD6A64"/>
    <w:rsid w:val="00B60117"/>
    <w:rsid w:val="00B61F97"/>
    <w:rsid w:val="00B72667"/>
    <w:rsid w:val="00C172D2"/>
    <w:rsid w:val="00C82DA5"/>
    <w:rsid w:val="00CC117D"/>
    <w:rsid w:val="00CE7776"/>
    <w:rsid w:val="00D50A62"/>
    <w:rsid w:val="00E012A6"/>
    <w:rsid w:val="00E46DD6"/>
    <w:rsid w:val="00E93B68"/>
    <w:rsid w:val="00EA41A2"/>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22</Pages>
  <Words>5252</Words>
  <Characters>29940</Characters>
  <Application>Microsoft Office Word</Application>
  <DocSecurity>0</DocSecurity>
  <Lines>249</Lines>
  <Paragraphs>70</Paragraphs>
  <ScaleCrop>false</ScaleCrop>
  <Company/>
  <LinksUpToDate>false</LinksUpToDate>
  <CharactersWithSpaces>35122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21</cp:revision>
  <dcterms:created xsi:type="dcterms:W3CDTF">2026-06-15T21:38:00Z</dcterms:created>
  <dcterms:modified xsi:type="dcterms:W3CDTF">2026-06-24T09:54:00Z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