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r>
        <w:rPr/>
        <w:t>Running title: Perioperative Oral Care Under Universal Coverage</w:t>
      </w:r>
    </w:p>
    <w:p w14:paraId="3441E7E3" w14:textId="77777777" w:rsidR="00515C9D" w:rsidRDefault="00515C9D"/>
    <w:p w14:paraId="5F69B2C0" w14:textId="77777777" w:rsidR="0055388C" w:rsidRDefault="00000000">
      <w:pPr>
        <w:pStyle w:val="1"/>
      </w:pPr>
      <w:r>
        <w:t>Abstract</w:t>
      </w:r>
    </w:p>
    <w:p w14:paraId="74FB4DEF" w14:textId="27D304A5"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67E9B006" w14:textId="388C041F" w:rsidR="00515C9D" w:rsidRDefault="00985A50">
      <w:r w:rsidRPr="00985A50">
        <w:rPr>
          <w:b/>
          <w:bCs/>
        </w:rPr>
        <w:t>Aims and Objectives</w:t>
      </w:r>
      <w:r w:rsidR="00000000" w:rsidRPr="003C1EF6">
        <w:rPr>
          <w:b/>
          <w:bCs/>
        </w:rPr>
        <w:t>:</w:t>
      </w:r>
      <w:r w:rsidR="00000000">
        <w:t xml:space="preserve"> To characterize prefectural variation in POFM delivery across Japan, identify its association with cancer surgical demand and dental workforce supply, and assess spatial clustering.</w:t>
      </w:r>
    </w:p>
    <w:p w14:paraId="0B12CD18" w14:textId="1BBD21FB"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6B52CF4F"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w:t>
      </w:r>
      <w:r w:rsidRPr="00B61F97">
        <w:lastRenderedPageBreak/>
        <w:t>autoregressive coefficient (ρ = 0.354, p = 0.002), with cancer surgery density remaining non-significant.</w:t>
      </w:r>
    </w:p>
    <w:p w14:paraId="62E7EF60" w14:textId="41CD5933"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76D72271" w14:textId="77777777" w:rsidR="0055388C" w:rsidRPr="00B61F97" w:rsidRDefault="00000000">
      <w:pPr>
        <w:pStyle w:val="a0"/>
      </w:pPr>
      <w:r>
        <w:rPr>
          <w:b/>
          <w:bCs/>
        </w:rPr>
        <w:t xml:space="preserve">Keywords: </w:t>
      </w:r>
      <w:r w:rsidRPr="00B61F97">
        <w:t>perioperative oral care; supply-driven care; universal health coverage;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3471E746" w14:textId="77777777" w:rsidR="0055388C" w:rsidRDefault="00000000">
      <w:pPr>
        <w:pStyle w:val="1"/>
      </w:pPr>
      <w:bookmarkStart w:id="1" w:name="introduction"/>
      <w:bookmarkEnd w:id="0"/>
      <w:r>
        <w:t>1. Introduction</w:t>
      </w:r>
    </w:p>
    <w:p w14:paraId="10C22ECA" w14:textId="23643642"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45F94DDA"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386223EF"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09C0F645"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1A92406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0D259C6C"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22C7A08" w14:textId="77777777" w:rsidR="0055388C" w:rsidRDefault="00000000">
      <w:r>
        <w:pict w14:anchorId="25214A6C">
          <v:rect id="_x0000_i1027" style="width:0;height:1.5pt" o:hralign="center" o:hrstd="t" o:hr="t"/>
        </w:pict>
      </w:r>
    </w:p>
    <w:p>
      <w:pPr>
        <w:pStyle w:val="2"/>
      </w:pPr>
      <w:r>
        <w:t xml:space="preserve">2.4 Use of AI-Assisted Tools</w:t>
      </w:r>
    </w:p>
    <w:p>
      <w:pPr>
        <w:pStyle w:val="a0"/>
      </w:pPr>
      <w:r>
        <w:t xml:space="preserve">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Supplementary Figure S1)</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31F1D8CB" w:rsidR="0055388C" w:rsidRDefault="00000000">
      <w:pPr>
        <w:pStyle w:val="FirstParagraph"/>
      </w:pPr>
      <w:r>
        <w:t>The forest plot (Figure 5) summari</w:t>
      </w:r>
      <w:r w:rsidR="00CC117D">
        <w:rPr>
          <w:rFonts w:hint="eastAsia"/>
          <w:lang w:eastAsia="ja-JP"/>
        </w:rPr>
        <w:t>z</w:t>
      </w:r>
      <w:r>
        <w:t>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6620F231"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6B94400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04371AC1" w:rsidR="0055388C" w:rsidRDefault="00000000">
      <w:pPr>
        <w:pStyle w:val="a0"/>
      </w:pPr>
      <w:r>
        <w:t xml:space="preserve">Even so, the observed pattern is difficult to explain by need alone. Supply-side capacity, including hospital dental departments, trained POFM providers, referral pathways, and multidisciplinary perioperative routines, may strongly influence local uptake </w:t>
      </w:r>
      <w:r w:rsidR="0031271F">
        <w:rPr>
          <w:rFonts w:hint="eastAsia"/>
          <w:lang w:eastAsia="ja-JP"/>
        </w:rPr>
        <w:t>[</w:t>
      </w:r>
      <w:r>
        <w:t>13-15</w:t>
      </w:r>
      <w:r w:rsidR="0031271F">
        <w:t>]</w:t>
      </w:r>
      <w:r>
        <w:t>.</w:t>
      </w:r>
    </w:p>
    <w:p w14:paraId="05B10ABE" w14:textId="0BBEAF1B"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14ACC762" w14:textId="2F04D4F6" w:rsidR="0055388C" w:rsidRDefault="00000000">
      <w:pPr>
        <w:pStyle w:val="a0"/>
      </w:pPr>
      <w:r>
        <w:t>LISA locali</w:t>
      </w:r>
      <w:r w:rsidR="0031271F">
        <w:rPr>
          <w:rFonts w:hint="eastAsia"/>
          <w:lang w:eastAsia="ja-JP"/>
        </w:rPr>
        <w:t>z</w:t>
      </w:r>
      <w:r>
        <w:t xml:space="preserve">ed the spatial signal to HH clusters in Hyogo, Okayama, and Saga, and LL clusters in Hokkaido, Iwate, and Okinawa (Figure 6). These patterns are compatible with established medical-dental collaboration in some western regions and more constrained healthcare access in peripheral areas </w:t>
      </w:r>
      <w:r w:rsidR="0031271F">
        <w:rPr>
          <w:rFonts w:hint="eastAsia"/>
          <w:lang w:eastAsia="ja-JP"/>
        </w:rPr>
        <w:t>[</w:t>
      </w:r>
      <w:r>
        <w:t>16,25,27-29</w:t>
      </w:r>
      <w:r w:rsidR="0031271F">
        <w:t>]</w:t>
      </w:r>
      <w:r>
        <w:t>.</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6A35B27" w:rsidR="0055388C" w:rsidRDefault="00000000">
      <w:pPr>
        <w:pStyle w:val="a0"/>
      </w:pPr>
      <w:r>
        <w:t xml:space="preserve">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7C7B2686" w14:textId="77777777" w:rsidR="0055388C" w:rsidRDefault="00000000">
      <w:pPr>
        <w:pStyle w:val="a0"/>
      </w:pPr>
      <w:r>
        <w:rPr>
          <w:i/>
          <w:iCs/>
        </w:rPr>
        <w:t>(See Appendix Figure A2)</w:t>
      </w:r>
    </w:p>
    <w:p w14:paraId="1B81D3C0" w14:textId="5FE596BE"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542ED3FC" w:rsidR="0055388C" w:rsidRDefault="00000000">
      <w:pPr>
        <w:pStyle w:val="2"/>
      </w:pPr>
      <w:bookmarkStart w:id="24" w:name="comparison-with-prior-studies"/>
      <w:bookmarkEnd w:id="23"/>
      <w:r>
        <w:t xml:space="preserve">4.5 Comparison </w:t>
      </w:r>
      <w:r w:rsidR="000768DA">
        <w:rPr>
          <w:rFonts w:hint="eastAsia"/>
          <w:lang w:eastAsia="ja-JP"/>
        </w:rPr>
        <w:t>w</w:t>
      </w:r>
      <w:r>
        <w:t>ith Prior Studies and Health Policy Implications</w:t>
      </w:r>
    </w:p>
    <w:p w14:paraId="454C5AF2" w14:textId="418FB72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542E69C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20AD63EE"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xml:space="preserve">,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available at https://github.com/haruki00430/NDB_POFM and archived on Zenodo (https://doi.org/10.5281/zenodo.20827647).</w:t>
      </w:r>
    </w:p>
    <w:p w14:paraId="719AA181" w14:textId="5FB0A8E9" w:rsidR="0055388C" w:rsidRDefault="00ED6A67">
      <w:pPr>
        <w:pStyle w:val="1"/>
      </w:pPr>
      <w:bookmarkStart w:id="31" w:name="author-contributions"/>
      <w:bookmarkEnd w:id="30"/>
      <w:r>
        <w:t>Author Contributions</w:t>
      </w:r>
    </w:p>
    <w:p w14:paraId="012A08B5"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rsidRPr="00327913">
        <w:t>Tetsuya Ohira: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1. Wennberg JE, Gittelsohn A. Small area variations in health care delivery. Science. 1973;182(4117):1102-8. doi:10.1126/science.182.4117.1102.</w:t>
      </w:r>
    </w:p>
    <w:p w14:paraId="00F222DC" w14:textId="77777777" w:rsidR="0055388C" w:rsidRDefault="00000000">
      <w:pPr>
        <w:pStyle w:val="a9"/>
      </w:pPr>
      <w:r>
        <w:t>2. Wennberg JE, Fisher ES, Skinner JS. Geography and the debate over Medicare reform. Health Aff (Millwood). 2002;Suppl Web Exclusives:W96-114. doi:10.1377/hlthaff.w2.96.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2011;342:d1513. doi:10.1136/bmj.d1513.</w:t>
      </w:r>
    </w:p>
    <w:p w14:paraId="7E53CF9D" w14:textId="77777777" w:rsidR="0055388C" w:rsidRDefault="00000000">
      <w:pPr>
        <w:pStyle w:val="a9"/>
      </w:pPr>
      <w:bookmarkStart w:id="34" w:name="ref-Ishimaru2018"/>
      <w:bookmarkStart w:id="35" w:name="refs"/>
      <w:r>
        <w:lastRenderedPageBreak/>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6164E62B" w14:textId="77777777" w:rsidR="0055388C" w:rsidRDefault="00000000">
      <w:pPr>
        <w:pStyle w:val="a9"/>
      </w:pPr>
      <w:bookmarkStart w:id="37" w:name="ref-Shin2019"/>
      <w:bookmarkEnd w:id="36"/>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76DEE54C" w14:textId="77777777" w:rsidR="0055388C" w:rsidRDefault="00000000">
      <w:pPr>
        <w:pStyle w:val="a9"/>
      </w:pPr>
      <w:bookmarkStart w:id="38" w:name="ref-Soutome2017"/>
      <w:bookmarkEnd w:id="37"/>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600F811B" w14:textId="77777777" w:rsidR="0055388C" w:rsidRDefault="00000000">
      <w:pPr>
        <w:pStyle w:val="a9"/>
      </w:pPr>
      <w:bookmarkStart w:id="39" w:name="ref-Iwata2019"/>
      <w:bookmarkEnd w:id="38"/>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4DD8C33F" w14:textId="77777777" w:rsidR="0055388C" w:rsidRDefault="00000000">
      <w:pPr>
        <w:pStyle w:val="a9"/>
      </w:pPr>
      <w:bookmarkStart w:id="40" w:name="ref-Nobuhara2018"/>
      <w:bookmarkEnd w:id="39"/>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12. Ministry of Health, Labour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 xml:space="preserve">13. Kodama T, Ida Y, Oshima K, Miura H. Are public oral care services evenly distributed? Nation-wide assessment of the provision of oral care in Japan using the </w:t>
      </w:r>
      <w:r>
        <w:lastRenderedPageBreak/>
        <w:t>national database of health insurance claims. Int J Environ Res Public Health. 2021;18(20):10850.</w:t>
      </w:r>
    </w:p>
    <w:p w14:paraId="5162BD2C" w14:textId="77777777" w:rsidR="0055388C" w:rsidRDefault="00000000">
      <w:pPr>
        <w:pStyle w:val="a9"/>
      </w:pPr>
      <w:bookmarkStart w:id="44" w:name="ref-Ishimaru2022b"/>
      <w:bookmarkEnd w:id="43"/>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508EBB2" w14:textId="77777777" w:rsidR="0055388C" w:rsidRDefault="00000000">
      <w:pPr>
        <w:pStyle w:val="a9"/>
      </w:pPr>
      <w:bookmarkStart w:id="46" w:name="ref-Taira2021"/>
      <w:bookmarkEnd w:id="45"/>
      <w:r>
        <w:t>16. Taira K, Mori T, Ishimaru M, Iwagami M, Sakata N, Watanabe T, et al. Regional inequality in dental care utilization in Japan: An ecological study using the national database of health insurance claims. Lancet Reg Health West Pac. 2021;12:100170.</w:t>
      </w:r>
    </w:p>
    <w:p w14:paraId="6246C668" w14:textId="77777777" w:rsidR="0055388C" w:rsidRDefault="00000000">
      <w:pPr>
        <w:pStyle w:val="a9"/>
      </w:pPr>
      <w:bookmarkStart w:id="47" w:name="ref-MHLW_NDB2023"/>
      <w:bookmarkEnd w:id="46"/>
      <w:r>
        <w:t>17. Ministry of Health, Labour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19. Ministry of Health, Labour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20. Anselin L. Spatial econometrics: Methods and models. Dordrecht: Kluwer Academic Publishers; 1988.</w:t>
      </w:r>
    </w:p>
    <w:p w14:paraId="2C6F71E2" w14:textId="77777777" w:rsidR="0055388C" w:rsidRDefault="00000000">
      <w:pPr>
        <w:pStyle w:val="a9"/>
      </w:pPr>
      <w:bookmarkStart w:id="51" w:name="ref-Anselin1988"/>
      <w:bookmarkEnd w:id="50"/>
      <w:r>
        <w:t>21. LeSage JP, Pace RK. Introduction to spatial econometrics. Boca Raton: Chapman and Hall/CRC; 2009.</w:t>
      </w:r>
    </w:p>
    <w:p w14:paraId="4A70B342" w14:textId="77777777" w:rsidR="0055388C" w:rsidRDefault="00000000">
      <w:pPr>
        <w:pStyle w:val="a9"/>
      </w:pPr>
      <w:bookmarkStart w:id="52" w:name="ref-LeSage2009"/>
      <w:bookmarkEnd w:id="51"/>
      <w:r>
        <w:t>22. Anselin L. Local indicators of spatial association-LISA. Geogr Anal. 1995;27(2):93-115.</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lastRenderedPageBreak/>
        <w:t>25. Ibuka Y, Matsuda Y, Shoji K, Ishigaki T. Evaluation of regional variations in healthcare utilization. Jpn J Stat Data Sci. 2020;3(1):349-65.</w:t>
      </w:r>
    </w:p>
    <w:p w14:paraId="5B1A658C" w14:textId="77777777" w:rsidR="0055388C" w:rsidRDefault="00000000">
      <w:pPr>
        <w:pStyle w:val="a9"/>
      </w:pPr>
      <w:bookmarkStart w:id="56" w:name="ref-Seo2022"/>
      <w:bookmarkEnd w:id="55"/>
      <w:r>
        <w:t>26. Seo Y, Takikawa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27. Shirakawa Y. Perioperative team cooperation at Okayama University Hospital [in Japanese]. Nihon Geka Gakkai Zasshi. 2017;118(2):149-54.</w:t>
      </w:r>
    </w:p>
    <w:p w14:paraId="5CEEA1C8" w14:textId="77777777" w:rsidR="0055388C" w:rsidRDefault="00000000">
      <w:pPr>
        <w:pStyle w:val="a9"/>
      </w:pPr>
      <w:bookmarkStart w:id="58" w:name="ref-Kunitomi2025"/>
      <w:bookmarkEnd w:id="57"/>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9C16094" w14:textId="77777777" w:rsidR="0055388C" w:rsidRDefault="00000000">
      <w:pPr>
        <w:pStyle w:val="a9"/>
      </w:pPr>
      <w:bookmarkStart w:id="59" w:name="ref-Shirakura2024"/>
      <w:bookmarkEnd w:id="58"/>
      <w:r>
        <w:t>29. Shirakura Y, Shobugawa Y, Saito R. Geographic variation in inpatient medical expenditure among older adults aged 75 years and above in Japan: A three-level multilevel analysis of nationwide data. Front Public Health. 2024;12:1306013.</w:t>
      </w:r>
    </w:p>
    <w:p w14:paraId="1AA2EF53" w14:textId="77777777" w:rsidR="0055388C" w:rsidRDefault="00000000">
      <w:pPr>
        <w:pStyle w:val="a9"/>
      </w:pPr>
      <w:bookmarkStart w:id="60" w:name="ref-Takazawa2026"/>
      <w:bookmarkEnd w:id="59"/>
      <w:r>
        <w:t>30. Takazawa I, Suzuki H, Sugimoto K, Kabasawa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32. Hashimura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33. Yamamoto T, Hanazato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34. Sato Y, Fukai K, Kunori Y, Yoshioka E, Saijo Y. Trends in dental expenditures in Japan with a universal health insurance system. PLoS One. 2023;18(10):e0292547.</w:t>
      </w:r>
    </w:p>
    <w:p w14:paraId="0FC11EDE" w14:textId="77777777" w:rsidR="0055388C" w:rsidRDefault="00000000">
      <w:pPr>
        <w:pStyle w:val="a9"/>
      </w:pPr>
      <w:bookmarkStart w:id="65" w:name="ref-Morgenstern1998"/>
      <w:bookmarkEnd w:id="64"/>
      <w:r>
        <w:t>35. Morgenstern H. Ecologic studies in epidemiology: Concepts, principles, and methods. Annu Rev Public Health. 1995;16:61-81. Available from: https://pubmed.ncbi.nlm.nih.gov/7639884/</w:t>
      </w:r>
    </w:p>
    <w:p w14:paraId="7EC9E64A" w14:textId="77777777" w:rsidR="0055388C" w:rsidRDefault="00000000">
      <w:pPr>
        <w:pStyle w:val="a9"/>
      </w:pPr>
      <w:bookmarkStart w:id="66" w:name="ref-Greenland2001"/>
      <w:bookmarkEnd w:id="65"/>
      <w:r>
        <w:lastRenderedPageBreak/>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75EB0" w14:textId="77777777" w:rsidR="00AD6A64" w:rsidRDefault="00AD6A64" w:rsidP="00C82DA5">
      <w:pPr>
        <w:spacing w:after="0"/>
      </w:pPr>
      <w:r>
        <w:separator/>
      </w:r>
    </w:p>
  </w:endnote>
  <w:endnote w:type="continuationSeparator" w:id="0">
    <w:p w14:paraId="1AAD05B1" w14:textId="77777777" w:rsidR="00AD6A64" w:rsidRDefault="00AD6A64"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EF0B" w14:textId="77777777" w:rsidR="00AD6A64" w:rsidRDefault="00AD6A64" w:rsidP="00C82DA5">
      <w:pPr>
        <w:spacing w:after="0"/>
      </w:pPr>
      <w:r>
        <w:separator/>
      </w:r>
    </w:p>
  </w:footnote>
  <w:footnote w:type="continuationSeparator" w:id="0">
    <w:p w14:paraId="77229FF6" w14:textId="77777777" w:rsidR="00AD6A64" w:rsidRDefault="00AD6A64"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C1394"/>
    <w:rsid w:val="00AD6A64"/>
    <w:rsid w:val="00B60117"/>
    <w:rsid w:val="00B61F97"/>
    <w:rsid w:val="00B72667"/>
    <w:rsid w:val="00C172D2"/>
    <w:rsid w:val="00C82DA5"/>
    <w:rsid w:val="00CC117D"/>
    <w:rsid w:val="00CE7776"/>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21</cp:revision>
  <dcterms:created xsi:type="dcterms:W3CDTF">2026-06-15T21:38:00Z</dcterms:created>
  <dcterms:modified xsi:type="dcterms:W3CDTF">2026-06-24T09:54:00Z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