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49077832" w:rsidR="00515C9D" w:rsidRDefault="00000000">
      <w:r w:rsidRPr="003C1EF6">
        <w:rPr>
          <w:b/>
          <w:bCs/>
        </w:rPr>
        <w:t>Objectives:</w:t>
      </w:r>
      <w:r>
        <w:t xml:space="preserve"> To characteri</w:t>
      </w:r>
      <w:r w:rsidR="003C1EF6">
        <w:rPr>
          <w:rFonts w:hint="eastAsia"/>
          <w:lang w:eastAsia="ja-JP"/>
        </w:rPr>
        <w:t>z</w:t>
      </w:r>
      <w:r>
        <w:t>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77777777" w:rsidR="00515C9D" w:rsidRDefault="00000000">
      <w:r>
        <w:t xml:space="preserve">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w:t>
      </w:r>
      <w:proofErr w:type="spellStart"/>
      <w:r>
        <w:t>characterised</w:t>
      </w:r>
      <w:proofErr w:type="spellEnd"/>
      <w:r>
        <w:t>.</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77777777" w:rsidR="0055388C" w:rsidRDefault="00000000">
      <w:pPr>
        <w:pStyle w:val="FirstParagraph"/>
      </w:pPr>
      <w:r>
        <w:t>Healthcare systems aim to allocate evidence-based care according to patient need. However, regional healthcare delivery often reflects provider availability, institutional capacity, and local practice patterns rather than need alone (1–4).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77777777" w:rsidR="0055388C" w:rsidRDefault="00000000">
      <w:pPr>
        <w:pStyle w:val="a0"/>
      </w:pPr>
      <w:r>
        <w:t>Perioperative oral functional management (POFM) is an evidence-based practice that reduces postoperative complications such as aspiration pneumonia, surgical site infections, and mucositis in patients undergoing major surgery, radiotherapy, or chemotherapy (5–11).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77777777" w:rsidR="0055388C" w:rsidRDefault="00000000">
      <w:pPr>
        <w:pStyle w:val="a0"/>
      </w:pPr>
      <w:r>
        <w:t>In practice, however, POFM delivery may depend not only on the number of eligible surgical patients but also on whether local health systems have the dental workforce, hospital dental departments, referral pathways, and multidisciplinary routines needed to deliver the service (13–16).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77777777" w:rsidR="0055388C" w:rsidRDefault="00000000">
      <w:pPr>
        <w:pStyle w:val="FirstParagraph"/>
      </w:pPr>
      <w:r>
        <w:t xml:space="preserve">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w:t>
      </w:r>
      <w:proofErr w:type="spellStart"/>
      <w:r>
        <w:t>utilisation</w:t>
      </w:r>
      <w:proofErr w:type="spellEnd"/>
      <w:r>
        <w:t xml:space="preserve">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77777777" w:rsidR="0055388C" w:rsidRDefault="00000000">
      <w:pPr>
        <w:pStyle w:val="FirstParagraph"/>
      </w:pPr>
      <w:r>
        <w:t>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(5,7–11).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[21,22]. Local Moran’s I (LISA) identified High-High and Low-Low clusters [20].</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[20].</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77777777" w:rsidR="0055388C" w:rsidRDefault="00000000">
      <w:pPr>
        <w:pStyle w:val="a0"/>
      </w:pPr>
      <w:r>
        <w:t xml:space="preserve">All analyses were performed in Python 3.x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77777777" w:rsidR="0055388C" w:rsidRDefault="00000000">
      <w:pPr>
        <w:pStyle w:val="FirstParagraph"/>
      </w:pPr>
      <w:r>
        <w:t xml:space="preserve">The forest plot (Figure 5) </w:t>
      </w:r>
      <w:proofErr w:type="spellStart"/>
      <w:r>
        <w:t>summarises</w:t>
      </w:r>
      <w:proofErr w:type="spellEnd"/>
      <w:r>
        <w:t xml:space="preserve">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77777777" w:rsidR="0055388C" w:rsidRDefault="00000000">
      <w:pPr>
        <w:pStyle w:val="FirstParagraph"/>
      </w:pPr>
      <w:r>
        <w:t xml:space="preserve">Global Moran’s I for POFM density was I = 0.210 (p = 0.024), indicating positive spatial autocorrelation. Two prefectures lacked Queen contiguity </w:t>
      </w:r>
      <w:proofErr w:type="spellStart"/>
      <w:r>
        <w:t>neighbours</w:t>
      </w:r>
      <w:proofErr w:type="spellEnd"/>
      <w:r>
        <w:t xml:space="preserve"> and were assigned median </w:t>
      </w:r>
      <w:proofErr w:type="spellStart"/>
      <w:r>
        <w:t>neighbourhood</w:t>
      </w:r>
      <w:proofErr w:type="spellEnd"/>
      <w:r>
        <w:t xml:space="preserve">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77777777" w:rsidR="0055388C" w:rsidRDefault="00000000">
      <w:pPr>
        <w:pStyle w:val="FirstParagraph"/>
      </w:pPr>
      <w:r>
        <w:t>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(1-4).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77777777" w:rsidR="0055388C" w:rsidRDefault="00000000">
      <w:pPr>
        <w:pStyle w:val="a0"/>
      </w:pPr>
      <w:r>
        <w:t>Even so, the observed pattern is difficult to explain by need alone. Supply-side capacity, including hospital dental departments, trained POFM providers, referral pathways, and multidisciplinary perioperative routines, may strongly influence local uptake (13-15).</w:t>
      </w:r>
    </w:p>
    <w:p w14:paraId="05B10ABE" w14:textId="77777777" w:rsidR="0055388C" w:rsidRDefault="00000000">
      <w:pPr>
        <w:pStyle w:val="a0"/>
      </w:pPr>
      <w:r>
        <w:t xml:space="preserve">Historical implementation momentum may also matter. Early-adopting prefectures or university hospitals may have maintained higher </w:t>
      </w:r>
      <w:proofErr w:type="spellStart"/>
      <w:r>
        <w:t>utilisation</w:t>
      </w:r>
      <w:proofErr w:type="spellEnd"/>
      <w:r>
        <w:t xml:space="preserve">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 xml:space="preserve">The SLM fit better than OLS (ΔAIC = -6.0; pseudo-R² = 0.350 vs. OLS R² = 0.197), supporting the importance of spatial dependence in prefecture-level </w:t>
      </w:r>
      <w:proofErr w:type="spellStart"/>
      <w:r>
        <w:t>utilisation</w:t>
      </w:r>
      <w:proofErr w:type="spellEnd"/>
      <w:r>
        <w:t xml:space="preserve"> analyses [22]. Cancer surgery density remained non-significant in the SLM, again indicating that this demand proxy alone did not explain POFM provision.</w:t>
      </w:r>
    </w:p>
    <w:p w14:paraId="14ACC762" w14:textId="77777777" w:rsidR="0055388C" w:rsidRDefault="00000000">
      <w:pPr>
        <w:pStyle w:val="a0"/>
      </w:pPr>
      <w:r>
        <w:t xml:space="preserve">LISA </w:t>
      </w:r>
      <w:proofErr w:type="spellStart"/>
      <w:r>
        <w:t>localised</w:t>
      </w:r>
      <w:proofErr w:type="spellEnd"/>
      <w:r>
        <w:t xml:space="preserve"> the spatial signal to HH clusters in Hyogo, Okayama, and Saga, and LL clusters in Hokkaido, Iwate, and Okinawa (Figure 6). These patterns are compatible with established medical-dental collaboration in some western regions and more constrained healthcare access in peripheral areas (16,25,27-29).</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7777777" w:rsidR="0055388C" w:rsidRDefault="00000000">
      <w:pPr>
        <w:pStyle w:val="a0"/>
      </w:pPr>
      <w:r>
        <w:t>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(13-16,30-33).</w:t>
      </w:r>
    </w:p>
    <w:p w14:paraId="7C7B2686" w14:textId="77777777" w:rsidR="0055388C" w:rsidRDefault="00000000">
      <w:pPr>
        <w:pStyle w:val="a0"/>
      </w:pPr>
      <w:r>
        <w:rPr>
          <w:i/>
          <w:iCs/>
        </w:rPr>
        <w:t>(See Appendix Figure A2)</w:t>
      </w:r>
    </w:p>
    <w:p w14:paraId="1B81D3C0" w14:textId="77777777" w:rsidR="0055388C" w:rsidRDefault="00000000">
      <w:pPr>
        <w:pStyle w:val="a0"/>
      </w:pPr>
      <w:r>
        <w:t xml:space="preserve">Second, multidisciplinary infrastructure, including oral medicine specialists, dental representation in cancer care, and </w:t>
      </w:r>
      <w:proofErr w:type="spellStart"/>
      <w:r>
        <w:t>standardised</w:t>
      </w:r>
      <w:proofErr w:type="spellEnd"/>
      <w:r>
        <w:t xml:space="preserve">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77777777" w:rsidR="0055388C" w:rsidRDefault="00000000">
      <w:pPr>
        <w:pStyle w:val="2"/>
      </w:pPr>
      <w:bookmarkStart w:id="24" w:name="comparison-with-prior-studies"/>
      <w:bookmarkEnd w:id="23"/>
      <w:r>
        <w:t>4.5 Comparison With Prior Studies and Health Policy Implications</w:t>
      </w:r>
    </w:p>
    <w:p w14:paraId="454C5AF2" w14:textId="77777777" w:rsidR="0055388C" w:rsidRDefault="00000000">
      <w:pPr>
        <w:pStyle w:val="FirstParagraph"/>
      </w:pPr>
      <w:r>
        <w:t>Prior Japanese studies have examined POFM mainly at the hospital or patient level and documented postoperative benefits (5,7-10).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77777777" w:rsidR="0055388C" w:rsidRPr="00B61F97" w:rsidRDefault="00000000">
      <w:pPr>
        <w:pStyle w:val="a0"/>
      </w:pPr>
      <w:r w:rsidRPr="00B61F97">
        <w:t xml:space="preserve">Limitations: First, ecological analyses cannot support individual-level inference [35,36]. Second, POFM claim density captures </w:t>
      </w:r>
      <w:proofErr w:type="spellStart"/>
      <w:r w:rsidRPr="00B61F97">
        <w:t>utilisation</w:t>
      </w:r>
      <w:proofErr w:type="spellEnd"/>
      <w:r w:rsidRPr="00B61F97">
        <w:t xml:space="preserve">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w:t>
      </w:r>
      <w:proofErr w:type="spellStart"/>
      <w:r w:rsidRPr="00B61F97">
        <w:t>neighbourhood</w:t>
      </w:r>
      <w:proofErr w:type="spellEnd"/>
      <w:r w:rsidRPr="00B61F97">
        <w:t xml:space="preserve">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(5–11),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archived on Zenodo (https://doi.org/10.5281/zenodo.20756030). A public GitHub repository link will be provided upon acceptance.</w:t>
      </w:r>
    </w:p>
    <w:p w14:paraId="719AA181" w14:textId="5FB0A8E9" w:rsidR="0055388C" w:rsidRDefault="00ED6A67">
      <w:pPr>
        <w:pStyle w:val="1"/>
      </w:pPr>
      <w:bookmarkStart w:id="31" w:name="author-contributions"/>
      <w:bookmarkEnd w:id="30"/>
      <w:r>
        <w:t>Author Contributions</w:t>
      </w:r>
    </w:p>
    <w:p w14:paraId="012A08B5" w14:textId="77777777" w:rsidR="00ED6A67" w:rsidRPr="00A47AEE" w:rsidRDefault="00ED6A67" w:rsidP="00ED6A67">
      <w:pPr>
        <w:pStyle w:val="FirstParagraph"/>
        <w:rPr>
          <w:rFonts w:asciiTheme="majorHAnsi" w:hAnsiTheme="majorHAnsi" w:cstheme="majorHAnsi"/>
          <w:sz w:val="22"/>
          <w:szCs w:val="22"/>
        </w:rPr>
      </w:pPr>
      <w:r w:rsidRPr="00A47AEE">
        <w:rPr>
          <w:rFonts w:asciiTheme="majorHAnsi" w:hAnsiTheme="majorHAnsi" w:cstheme="majorHAnsi"/>
          <w:sz w:val="22"/>
          <w:szCs w:val="22"/>
        </w:rPr>
        <w:t>[Author 1]: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lastRenderedPageBreak/>
        <w:t>[Author 2]: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2. Wennberg JE, Fisher ES, Skinner JS. Geography and the debate over Medicare reform. Health Aff (Millwood). 2002;Suppl Web Exclusives:W96-114. doi:10.1377/hlthaff.w2.96.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2011;342:d1513. doi:10.1136/bmj.d1513.</w:t>
      </w:r>
    </w:p>
    <w:p w14:paraId="7E53CF9D" w14:textId="77777777" w:rsidR="0055388C" w:rsidRDefault="00000000">
      <w:pPr>
        <w:pStyle w:val="a9"/>
      </w:pPr>
      <w:bookmarkStart w:id="34" w:name="ref-Ishimaru2018"/>
      <w:bookmarkStart w:id="35" w:name="refs"/>
      <w:r>
        <w:lastRenderedPageBreak/>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2023;28(3):e217-28.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600F811B" w14:textId="77777777" w:rsidR="0055388C" w:rsidRDefault="00000000">
      <w:pPr>
        <w:pStyle w:val="a9"/>
      </w:pPr>
      <w:bookmarkStart w:id="39" w:name="ref-Iwata2019"/>
      <w:bookmarkEnd w:id="38"/>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 xml:space="preserve">13. Kodama T, Ida Y, Oshima K, Miura H. Are public oral care services evenly distributed? Nation-wide assessment of the provision of oral care in Japan using the </w:t>
      </w:r>
      <w:r>
        <w:lastRenderedPageBreak/>
        <w:t>national database of health insurance claims. Int J Environ Res Public Health. 2021;18(20):10850.</w:t>
      </w:r>
    </w:p>
    <w:p w14:paraId="5162BD2C" w14:textId="77777777" w:rsidR="0055388C" w:rsidRDefault="00000000">
      <w:pPr>
        <w:pStyle w:val="a9"/>
      </w:pPr>
      <w:bookmarkStart w:id="44" w:name="ref-Ishimaru2022b"/>
      <w:bookmarkEnd w:id="43"/>
      <w:r>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Regional inequality in dental care utilization in Japan: An ecological study using the national database of health insurance claims. Lancet Reg Health West Pac. 2021;12:100170.</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 xml:space="preserve">20. </w:t>
      </w:r>
      <w:proofErr w:type="spellStart"/>
      <w:r>
        <w:t>Anselin</w:t>
      </w:r>
      <w:proofErr w:type="spellEnd"/>
      <w:r>
        <w:t xml:space="preserve"> L. Local indicators of spatial association-LISA. </w:t>
      </w:r>
      <w:proofErr w:type="spellStart"/>
      <w:r>
        <w:t>Geogr</w:t>
      </w:r>
      <w:proofErr w:type="spellEnd"/>
      <w:r>
        <w:t xml:space="preserve"> Anal. 1995;27(2):93-115.</w:t>
      </w:r>
    </w:p>
    <w:p w14:paraId="2C6F71E2" w14:textId="77777777" w:rsidR="0055388C" w:rsidRDefault="00000000">
      <w:pPr>
        <w:pStyle w:val="a9"/>
      </w:pPr>
      <w:bookmarkStart w:id="51" w:name="ref-Anselin1988"/>
      <w:bookmarkEnd w:id="50"/>
      <w:r>
        <w:t xml:space="preserve">21. </w:t>
      </w:r>
      <w:proofErr w:type="spellStart"/>
      <w:r>
        <w:t>Anselin</w:t>
      </w:r>
      <w:proofErr w:type="spellEnd"/>
      <w:r>
        <w:t xml:space="preserve"> L. Spatial econometrics: Methods and models. Dordrecht: Kluwer Academic Publishers; 1988.</w:t>
      </w:r>
    </w:p>
    <w:p w14:paraId="4A70B342" w14:textId="77777777" w:rsidR="0055388C" w:rsidRDefault="00000000">
      <w:pPr>
        <w:pStyle w:val="a9"/>
      </w:pPr>
      <w:bookmarkStart w:id="52" w:name="ref-LeSage2009"/>
      <w:bookmarkEnd w:id="51"/>
      <w:r>
        <w:t>22. LeSage JP, Pace RK. Introduction to spatial econometrics. Boca Raton: Chapman and Hall/CRC; 2009.</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lastRenderedPageBreak/>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2025;18:6889-98.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2024;12:1306013.</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2023;18(10):e0292547.</w:t>
      </w:r>
    </w:p>
    <w:p w14:paraId="0FC11EDE" w14:textId="77777777" w:rsidR="0055388C" w:rsidRDefault="00000000">
      <w:pPr>
        <w:pStyle w:val="a9"/>
      </w:pPr>
      <w:bookmarkStart w:id="65" w:name="ref-Morgenstern1998"/>
      <w:bookmarkEnd w:id="64"/>
      <w:r>
        <w:t>35. Morgenstern H. Ecologic studies in epidemiology: Concepts, principles, and methods. Annu Rev Public Health. 1995;16:61-81. Available from: https://pubmed.ncbi.nlm.nih.gov/7639884/</w:t>
      </w:r>
    </w:p>
    <w:p w14:paraId="7EC9E64A" w14:textId="77777777" w:rsidR="0055388C" w:rsidRDefault="00000000">
      <w:pPr>
        <w:pStyle w:val="a9"/>
      </w:pPr>
      <w:bookmarkStart w:id="66" w:name="ref-Greenland2001"/>
      <w:bookmarkEnd w:id="65"/>
      <w:r>
        <w:lastRenderedPageBreak/>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6C756" w14:textId="77777777" w:rsidR="00C172D2" w:rsidRDefault="00C172D2" w:rsidP="00C82DA5">
      <w:pPr>
        <w:spacing w:after="0"/>
      </w:pPr>
      <w:r>
        <w:separator/>
      </w:r>
    </w:p>
  </w:endnote>
  <w:endnote w:type="continuationSeparator" w:id="0">
    <w:p w14:paraId="5CA00383" w14:textId="77777777" w:rsidR="00C172D2" w:rsidRDefault="00C172D2"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D8CA3" w14:textId="77777777" w:rsidR="00C172D2" w:rsidRDefault="00C172D2" w:rsidP="00C82DA5">
      <w:pPr>
        <w:spacing w:after="0"/>
      </w:pPr>
      <w:r>
        <w:separator/>
      </w:r>
    </w:p>
  </w:footnote>
  <w:footnote w:type="continuationSeparator" w:id="0">
    <w:p w14:paraId="3F12570A" w14:textId="77777777" w:rsidR="00C172D2" w:rsidRDefault="00C172D2"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1A3560"/>
    <w:rsid w:val="003C1EF6"/>
    <w:rsid w:val="003E14E5"/>
    <w:rsid w:val="004844F4"/>
    <w:rsid w:val="00503C94"/>
    <w:rsid w:val="00515C9D"/>
    <w:rsid w:val="0055388C"/>
    <w:rsid w:val="005F29B9"/>
    <w:rsid w:val="006938A3"/>
    <w:rsid w:val="008E0C68"/>
    <w:rsid w:val="00A32CEB"/>
    <w:rsid w:val="00AC1394"/>
    <w:rsid w:val="00B61F97"/>
    <w:rsid w:val="00C172D2"/>
    <w:rsid w:val="00C82DA5"/>
    <w:rsid w:val="00D50A62"/>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5308</Words>
  <Characters>30261</Characters>
  <Application>Microsoft Office Word</Application>
  <DocSecurity>0</DocSecurity>
  <Lines>252</Lines>
  <Paragraphs>70</Paragraphs>
  <ScaleCrop>false</ScaleCrop>
  <Company/>
  <LinksUpToDate>false</LinksUpToDate>
  <CharactersWithSpaces>35499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9</cp:revision>
  <dcterms:created xsi:type="dcterms:W3CDTF">2026-06-15T21:38:00Z</dcterms:created>
  <dcterms:modified xsi:type="dcterms:W3CDTF">2026-06-19T04:48:00Z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