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68.png" ContentType="image/png"/>
  <Override PartName="/word/media/rId64.png" ContentType="image/png"/>
  <Override PartName="/word/media/rId6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Terrain Slope and Hip Fracture Surgery Rates Among Older Adults: A Nationwide Ecological Study in Japan</w:t>
      </w:r>
    </w:p>
    <w:p>
      <w:pPr>
        <w:pStyle w:val="Date"/>
      </w:pPr>
      <w:r>
        <w:t xml:space="preserve">2026-02-19</w:t>
      </w:r>
    </w:p>
    <w:p>
      <w:r>
        <w:pict>
          <v:rect style="width:0;height:1.5pt" o:hralign="center" o:hrstd="t" o:hr="t"/>
        </w:pict>
      </w:r>
    </w:p>
    <w:bookmarkStart w:id="25" w:name="abstract"/>
    <w:p>
      <w:pPr>
        <w:pStyle w:val="Heading1"/>
      </w:pPr>
      <w:r>
        <w:t xml:space="preserve">Abstract</w:t>
      </w:r>
    </w:p>
    <w:bookmarkStart w:id="20" w:name="background"/>
    <w:p>
      <w:pPr>
        <w:pStyle w:val="Heading2"/>
      </w:pPr>
      <w:r>
        <w:t xml:space="preserve">Background</w:t>
      </w:r>
    </w:p>
    <w:p>
      <w:pPr>
        <w:pStyle w:val="FirstParagraph"/>
      </w:pPr>
      <w:r>
        <w:t xml:space="preserve">Hip fracture imposes a large burden on older adults in Japan. Community-level environmental correlates of hip fracture surgery rates are incompletely understood. Terrain slope may matter; prior evidence outside Japan is limited.</w:t>
      </w:r>
    </w:p>
    <w:bookmarkEnd w:id="20"/>
    <w:bookmarkStart w:id="21" w:name="objective"/>
    <w:p>
      <w:pPr>
        <w:pStyle w:val="Heading2"/>
      </w:pPr>
      <w:r>
        <w:t xml:space="preserve">Objective</w:t>
      </w:r>
    </w:p>
    <w:p>
      <w:pPr>
        <w:pStyle w:val="FirstParagraph"/>
      </w:pPr>
      <w:r>
        <w:t xml:space="preserve">To examine whether prefecture-level habitable-area-weighted terrain slope is associated with hip fracture surgery rates independently of aging and walking speed, and whether associations differ by fracture site.</w:t>
      </w:r>
    </w:p>
    <w:bookmarkEnd w:id="21"/>
    <w:bookmarkStart w:id="22" w:name="methods"/>
    <w:p>
      <w:pPr>
        <w:pStyle w:val="Heading2"/>
      </w:pPr>
      <w:r>
        <w:t xml:space="preserve">Methods</w:t>
      </w:r>
    </w:p>
    <w:p>
      <w:pPr>
        <w:pStyle w:val="FirstParagraph"/>
      </w:pPr>
      <w:r>
        <w:t xml:space="preserve">We conducted an ecological study of 47 Japanese prefectures using fiscal year 2021 National Database (NDB) Open Data. Outcomes were fracture surgery rates per 100,000. Terrain slope was derived from 10-m digital elevation models (habitable-area weighted). Covariates were aging rate, fast walking rate (NDB Specific Health Checkup), and population density. We used unadjusted and multivariable linear regression.</w:t>
      </w:r>
    </w:p>
    <w:bookmarkEnd w:id="22"/>
    <w:bookmarkStart w:id="23" w:name="results"/>
    <w:p>
      <w:pPr>
        <w:pStyle w:val="Heading2"/>
      </w:pPr>
      <w:r>
        <w:t xml:space="preserve">Results</w:t>
      </w:r>
    </w:p>
    <w:p>
      <w:pPr>
        <w:pStyle w:val="FirstParagraph"/>
      </w:pPr>
      <w:r>
        <w:t xml:space="preserve">Mean slope was 8.57 degrees (SD 3.16); mean hip fracture rate was 254.0 per 100,000 (SD 37.6). Slope was positively associated with hip fracture rate unadjusted (β = 5.65; 95% CI, 2.50–8.79; R² = 0.225;</w:t>
      </w:r>
      <w:r>
        <w:t xml:space="preserve"> </w:t>
      </w:r>
      <w:r>
        <w:rPr>
          <w:i/>
          <w:iCs/>
        </w:rPr>
        <w:t xml:space="preserve">p</w:t>
      </w:r>
      <w:r>
        <w:t xml:space="preserve"> </w:t>
      </w:r>
      <w:r>
        <w:t xml:space="preserve">= 0.001) and adjusted (β = 3.49; 95% CI, 0.11–6.86; R² = 0.385;</w:t>
      </w:r>
      <w:r>
        <w:t xml:space="preserve"> </w:t>
      </w:r>
      <w:r>
        <w:rPr>
          <w:i/>
          <w:iCs/>
        </w:rPr>
        <w:t xml:space="preserve">p</w:t>
      </w:r>
      <w:r>
        <w:t xml:space="preserve"> </w:t>
      </w:r>
      <w:r>
        <w:t xml:space="preserve">= 0.043). Associations were absent for humerus and forearm fractures.</w:t>
      </w:r>
    </w:p>
    <w:bookmarkEnd w:id="23"/>
    <w:bookmarkStart w:id="24" w:name="conclusions"/>
    <w:p>
      <w:pPr>
        <w:pStyle w:val="Heading2"/>
      </w:pPr>
      <w:r>
        <w:t xml:space="preserve">Conclusions</w:t>
      </w:r>
    </w:p>
    <w:p>
      <w:pPr>
        <w:pStyle w:val="FirstParagraph"/>
      </w:pPr>
      <w:r>
        <w:t xml:space="preserve">Prefecture-level terrain slope was independently associated with hip fracture surgery rates after adjustment, with fracture-site specificity consistent with lateral-fall mechanisms. Individual-level studies should confirm these ecological findings.</w:t>
      </w:r>
    </w:p>
    <w:p>
      <w:pPr>
        <w:pStyle w:val="BodyText"/>
      </w:pPr>
      <w:r>
        <w:rPr>
          <w:b/>
          <w:bCs/>
        </w:rPr>
        <w:t xml:space="preserve">Keywords</w:t>
      </w:r>
      <w:r>
        <w:t xml:space="preserve">: terrain; slope; hip; fracture; ecology; Japan; epidemiology</w:t>
      </w:r>
    </w:p>
    <w:p>
      <w:r>
        <w:pict>
          <v:rect style="width:0;height:1.5pt" o:hralign="center" o:hrstd="t" o:hr="t"/>
        </w:pict>
      </w:r>
    </w:p>
    <w:bookmarkEnd w:id="24"/>
    <w:bookmarkEnd w:id="25"/>
    <w:bookmarkStart w:id="26" w:name="introduction"/>
    <w:p>
      <w:pPr>
        <w:pStyle w:val="Heading1"/>
      </w:pPr>
      <w:r>
        <w:t xml:space="preserve">Introduction</w:t>
      </w:r>
    </w:p>
    <w:p>
      <w:pPr>
        <w:pStyle w:val="FirstParagraph"/>
      </w:pPr>
      <w:r>
        <w:t xml:space="preserve">Hip fracture is a serious public health problem among older adults worldwide. In Japan, approximately 200,000 hip fractures occur annually, and this number is projected to increase with the ongoing demographic shift toward an aging society.[1, 2] Hip fracture leads to prolonged hospitalization, functional decline, institutionalization, and increased mortality, imposing a substantial burden on both individuals and the healthcare system.[1, 3] The acute care costs of hip fracture treatment in Japan reached approximately 1,000 billion yen ($989 million) in 2021, and this burden continues to escalate.[4, 5]</w:t>
      </w:r>
    </w:p>
    <w:p>
      <w:pPr>
        <w:pStyle w:val="BodyText"/>
      </w:pPr>
      <w:r>
        <w:t xml:space="preserve">Falls are the primary cause of hip fractures, accounting for more than 90% of cases.[6] Multiple risk factors for falls have been identified, including muscle weakness, impaired gait and balance, polypharmacy, and visual impairment.[7] Among environmental factors, home hazards such as slippery floors, steps, and inadequate lighting are well recognized.[8] However, broader environmental determinants of fall risk at the community level, such as outdoor terrain characteristics, have received limited attention despite their potential population-level impact.[9]</w:t>
      </w:r>
    </w:p>
    <w:p>
      <w:pPr>
        <w:pStyle w:val="BodyText"/>
      </w:pPr>
      <w:r>
        <w:t xml:space="preserve">Terrain slope is a plausible environmental determinant of fall-related fractures. Walking on inclined surfaces requires greater neuromuscular effort and alters biomechanics, increasing instability, particularly among older adults with impaired balance and reduced muscle strength.[10, 11] The control of body center of mass (CoM) during inclined walking becomes increasingly challenging with age, as margin of stability (MoS) decreases and required coefficient of friction (RCOF) changes unpredictably on uneven terrain.[12, 13]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pPr>
        <w:pStyle w:val="BodyText"/>
      </w:pPr>
      <w:r>
        <w:t xml:space="preserve">Previous studies have demonstrated that environmental terrain features are associated with physical activity levels and walking speed in community-dwelling older adults.[14] Walking speed is itself a powerful predictor of fracture risk [15, 16] and has been designated the</w:t>
      </w:r>
      <w:r>
        <w:t xml:space="preserve"> </w:t>
      </w:r>
      <w:r>
        <w:t xml:space="preserve">“sixth vital sign.”</w:t>
      </w:r>
      <w:r>
        <w:t xml:space="preserve">[17] Older adults walking on complex outdoor terrain unconsciously adopt cautious gait strategies, reducing step length and cadence, which may lead to chronic deconditioning and increased frailty.[18, 19] We therefore hypothesized that terrain slope may influence hip fracture rates through direct mechanical effects of inclined walking (direct pathway) and through its effect on walking capacity (indirect pathway).</w:t>
      </w:r>
    </w:p>
    <w:p>
      <w:pPr>
        <w:pStyle w:val="BodyText"/>
      </w:pPr>
      <w:r>
        <w:t xml:space="preserve">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risk,[20, 21]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pPr>
        <w:pStyle w:val="BodyText"/>
      </w:pPr>
      <w:r>
        <w:t xml:space="preserve">In this study, we examined whether terrain slope was associated with hip fracture surgery rates at the prefectural level, independent of aging rate and walking speed, using nationwide administrative and geospatial data.</w:t>
      </w:r>
    </w:p>
    <w:p>
      <w:r>
        <w:pict>
          <v:rect style="width:0;height:1.5pt" o:hralign="center" o:hrstd="t" o:hr="t"/>
        </w:pict>
      </w:r>
    </w:p>
    <w:bookmarkEnd w:id="26"/>
    <w:bookmarkStart w:id="33" w:name="methods-1"/>
    <w:p>
      <w:pPr>
        <w:pStyle w:val="Heading1"/>
      </w:pPr>
      <w:r>
        <w:t xml:space="preserve">Methods</w:t>
      </w:r>
    </w:p>
    <w:bookmarkStart w:id="27" w:name="study-design"/>
    <w:p>
      <w:pPr>
        <w:pStyle w:val="Heading2"/>
      </w:pPr>
      <w:r>
        <w:t xml:space="preserve">1. Study Design</w:t>
      </w:r>
    </w:p>
    <w:p>
      <w:pPr>
        <w:pStyle w:val="FirstParagraph"/>
      </w:pPr>
      <w:r>
        <w:t xml:space="preserve">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bookmarkEnd w:id="27"/>
    <w:bookmarkStart w:id="28" w:name="outcome-fracture-surgery-rates"/>
    <w:p>
      <w:pPr>
        <w:pStyle w:val="Heading2"/>
      </w:pPr>
      <w:r>
        <w:t xml:space="preserve">2. Outcome: Fracture Surgery Rates</w:t>
      </w:r>
    </w:p>
    <w:p>
      <w:pPr>
        <w:pStyle w:val="FirstParagraph"/>
      </w:pPr>
      <w:r>
        <w:t xml:space="preserve">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bookmarkEnd w:id="28"/>
    <w:bookmarkStart w:id="29" w:name="exposure-terrain-slope"/>
    <w:p>
      <w:pPr>
        <w:pStyle w:val="Heading2"/>
      </w:pPr>
      <w:r>
        <w:t xml:space="preserve">3. Exposure: Terrain Slope</w:t>
      </w:r>
    </w:p>
    <w:p>
      <w:pPr>
        <w:pStyle w:val="FirstParagraph"/>
      </w:pPr>
      <w:r>
        <w:t xml:space="preserve">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populations.[10]</w:t>
      </w:r>
    </w:p>
    <w:bookmarkEnd w:id="29"/>
    <w:bookmarkStart w:id="30" w:name="covariate-walking-speed"/>
    <w:p>
      <w:pPr>
        <w:pStyle w:val="Heading2"/>
      </w:pPr>
      <w:r>
        <w:t xml:space="preserve">4. Covariate: Walking Speed</w:t>
      </w:r>
    </w:p>
    <w:p>
      <w:pPr>
        <w:pStyle w:val="FirstParagraph"/>
      </w:pPr>
      <w:r>
        <w:t xml:space="preserve">The proportion of individuals who reported walking fast (fast walking rate, %) was derived from the NDB Specific Health Checkup (Tokutei Kenko Shinsa) questionnaire administered as part of the national annual health screening program. Participants aged 40–74 years responded to a question on habitual walking speed, and we calculated the prefecture-level proportion of respondents who reported</w:t>
      </w:r>
      <w:r>
        <w:t xml:space="preserve"> </w:t>
      </w:r>
      <w:r>
        <w:t xml:space="preserve">“fast”</w:t>
      </w:r>
      <w:r>
        <w:t xml:space="preserve"> </w:t>
      </w:r>
      <w:r>
        <w:t xml:space="preserve">walking.</w:t>
      </w:r>
    </w:p>
    <w:bookmarkEnd w:id="30"/>
    <w:bookmarkStart w:id="31" w:name="additional-covariates"/>
    <w:p>
      <w:pPr>
        <w:pStyle w:val="Heading2"/>
      </w:pPr>
      <w:r>
        <w:t xml:space="preserve">5. Additional Covariates</w:t>
      </w:r>
    </w:p>
    <w:p>
      <w:pPr>
        <w:pStyle w:val="FirstParagraph"/>
      </w:pPr>
      <w:r>
        <w:t xml:space="preserve">Aging rate (proportion of individuals aged ≥65 years, %) was obtained from the 2020 National Census. Population density (persons per km²) was calculated as total population divided by prefecture area from the same source.</w:t>
      </w:r>
    </w:p>
    <w:bookmarkEnd w:id="31"/>
    <w:bookmarkStart w:id="32" w:name="statistical-analysis"/>
    <w:p>
      <w:pPr>
        <w:pStyle w:val="Heading2"/>
      </w:pPr>
      <w:r>
        <w:t xml:space="preserve">6. Statistical Analysis</w:t>
      </w:r>
    </w:p>
    <w:p>
      <w:pPr>
        <w:pStyle w:val="FirstParagraph"/>
      </w:pPr>
      <w:r>
        <w:t xml:space="preserve">We first examined the distribution of all variables using descriptive statistics (mean, SD, minimum, and maximum). Pearson correlation coefficients were computed between terrain slope and each outcome and covariate variable. We fit two regression models for each fracture outcome:</w:t>
      </w:r>
    </w:p>
    <w:p>
      <w:pPr>
        <w:pStyle w:val="Compact"/>
        <w:numPr>
          <w:ilvl w:val="0"/>
          <w:numId w:val="1001"/>
        </w:numPr>
      </w:pPr>
      <w:r>
        <w:rPr>
          <w:b/>
          <w:bCs/>
        </w:rPr>
        <w:t xml:space="preserve">Model 1 (unadjusted)</w:t>
      </w:r>
      <w:r>
        <w:t xml:space="preserve">: Simple linear regression of fracture rate on terrain slope only.</w:t>
      </w:r>
    </w:p>
    <w:p>
      <w:pPr>
        <w:pStyle w:val="Compact"/>
        <w:numPr>
          <w:ilvl w:val="0"/>
          <w:numId w:val="1001"/>
        </w:numPr>
      </w:pPr>
      <w:r>
        <w:rPr>
          <w:b/>
          <w:bCs/>
        </w:rPr>
        <w:t xml:space="preserve">Model 2 (multivariable)</w:t>
      </w:r>
      <w:r>
        <w:t xml:space="preserve">: Multiple linear regression of fracture rate on terrain slope, aging rate, fast walking rate, and population density.</w:t>
      </w:r>
    </w:p>
    <w:p>
      <w:pPr>
        <w:pStyle w:val="FirstParagraph"/>
      </w:pPr>
      <w:r>
        <w:t xml:space="preserve">Model performance was assessed using the coefficient of determination (R²), adjusted R², and the F-statistic. Regression coefficients (β) and 95% confidence intervals (CIs) are reported. Statistical significance was defined as</w:t>
      </w:r>
      <w:r>
        <w:t xml:space="preserve"> </w:t>
      </w:r>
      <w:r>
        <w:rPr>
          <w:i/>
          <w:iCs/>
        </w:rPr>
        <w:t xml:space="preserve">p</w:t>
      </w:r>
      <w:r>
        <w:t xml:space="preserve"> </w:t>
      </w:r>
      <w:r>
        <w:t xml:space="preserve">&lt; 0.05 (two-sided). All analyses were performed using Python (version 3.11) with the</w:t>
      </w:r>
      <w:r>
        <w:t xml:space="preserve"> </w:t>
      </w:r>
      <w:r>
        <w:rPr>
          <w:rStyle w:val="VerbatimChar"/>
        </w:rPr>
        <w:t xml:space="preserve">statsmodels</w:t>
      </w:r>
      <w:r>
        <w:t xml:space="preserve"> </w:t>
      </w:r>
      <w:r>
        <w:t xml:space="preserve">library (version 0.14).</w:t>
      </w:r>
    </w:p>
    <w:p>
      <w:pPr>
        <w:pStyle w:val="BodyText"/>
      </w:pPr>
      <w:r>
        <w:t xml:space="preserve">This study used publicly available aggregate data; individual informed consent was not required, and institutional ethics review was not applicable in accordance with Japanese ethical guidelines for epidemiological research.</w:t>
      </w:r>
    </w:p>
    <w:p>
      <w:r>
        <w:pict>
          <v:rect style="width:0;height:1.5pt" o:hralign="center" o:hrstd="t" o:hr="t"/>
        </w:pict>
      </w:r>
    </w:p>
    <w:bookmarkEnd w:id="32"/>
    <w:bookmarkEnd w:id="33"/>
    <w:bookmarkStart w:id="38" w:name="results-1"/>
    <w:p>
      <w:pPr>
        <w:pStyle w:val="Heading1"/>
      </w:pPr>
      <w:r>
        <w:t xml:space="preserve">Results</w:t>
      </w:r>
    </w:p>
    <w:bookmarkStart w:id="34" w:name="descriptive-statistics"/>
    <w:p>
      <w:pPr>
        <w:pStyle w:val="Heading2"/>
      </w:pPr>
      <w:r>
        <w:t xml:space="preserve">1. Descriptive Statistics</w:t>
      </w:r>
    </w:p>
    <w:p>
      <w:pPr>
        <w:pStyle w:val="FirstParagraph"/>
      </w:pPr>
      <w:r>
        <w:t xml:space="preserve">Across the 47 Japanese prefectures, the mean habitable-area-weighted terrain slope was 8.57 ± 3.16 degrees (range: 1.81–15.43 degrees) (Table 1). The mean hip fracture surgery rate was 254.0 ± 37.6 per 100,000 population (range: 167.6–329.6), and the mean total fracture surgery rate was 352.8 ± 54.9 per 100,000. The mean aging rate was 30.7 ± 3.1%, and the mean proportion with fast walking speed was 48.6 ± 4.3%.</w:t>
      </w:r>
    </w:p>
    <w:bookmarkEnd w:id="34"/>
    <w:bookmarkStart w:id="35" w:name="correlation-analysis"/>
    <w:p>
      <w:pPr>
        <w:pStyle w:val="Heading2"/>
      </w:pPr>
      <w:r>
        <w:t xml:space="preserve">2. Correlation Analysis</w:t>
      </w:r>
    </w:p>
    <w:p>
      <w:pPr>
        <w:pStyle w:val="FirstParagraph"/>
      </w:pPr>
      <w:r>
        <w:t xml:space="preserve">Terrain slope showed a moderate positive correlation with hip fracture surgery rate (r = 0.475,</w:t>
      </w:r>
      <w:r>
        <w:t xml:space="preserve"> </w:t>
      </w:r>
      <w:r>
        <w:rPr>
          <w:i/>
          <w:iCs/>
        </w:rPr>
        <w:t xml:space="preserve">p</w:t>
      </w:r>
      <w:r>
        <w:t xml:space="preserve"> </w:t>
      </w:r>
      <w:r>
        <w:t xml:space="preserve">&lt; 0.01) and with total fracture surgery rate (r = 0.394,</w:t>
      </w:r>
      <w:r>
        <w:t xml:space="preserve"> </w:t>
      </w:r>
      <w:r>
        <w:rPr>
          <w:i/>
          <w:iCs/>
        </w:rPr>
        <w:t xml:space="preserve">p</w:t>
      </w:r>
      <w:r>
        <w:t xml:space="preserve"> </w:t>
      </w:r>
      <w:r>
        <w:t xml:space="preserve">&lt; 0.01) (Table 2). Figure 1 illustrates the bivariate association between terrain slope and hip fracture surgery rate; Figure 2 displays the correlation matrix. Slope was also positively correlated with aging rate (r = 0.505,</w:t>
      </w:r>
      <w:r>
        <w:t xml:space="preserve"> </w:t>
      </w:r>
      <w:r>
        <w:rPr>
          <w:i/>
          <w:iCs/>
        </w:rPr>
        <w:t xml:space="preserve">p</w:t>
      </w:r>
      <w:r>
        <w:t xml:space="preserve"> </w:t>
      </w:r>
      <w:r>
        <w:t xml:space="preserve">&lt; 0.01), indicating that prefectures with steeper terrain tend to have older populations. In contrast, slope showed a weak negative correlation with fast walking rate (r = −0.264), suggesting that residents in steeper prefectures were less likely to report fast walking. Slope showed weak and non-significant correlations with humerus fracture rate (r = 0.138) and forearm fracture rate (r = 0.177).</w:t>
      </w:r>
    </w:p>
    <w:bookmarkEnd w:id="35"/>
    <w:bookmarkStart w:id="36" w:name="regression-analysis-hip-fracture"/>
    <w:p>
      <w:pPr>
        <w:pStyle w:val="Heading2"/>
      </w:pPr>
      <w:r>
        <w:t xml:space="preserve">3. Regression Analysis: Hip Fracture</w:t>
      </w:r>
    </w:p>
    <w:p>
      <w:pPr>
        <w:pStyle w:val="FirstParagraph"/>
      </w:pPr>
      <w:r>
        <w:t xml:space="preserve">In the unadjusted model (Model 1), terrain slope was significantly and positively associated with hip fracture surgery rate (β = 5.65; 95% CI, 2.50–8.79; R² = 0.225;</w:t>
      </w:r>
      <w:r>
        <w:t xml:space="preserve"> </w:t>
      </w:r>
      <w:r>
        <w:rPr>
          <w:i/>
          <w:iCs/>
        </w:rPr>
        <w:t xml:space="preserve">p</w:t>
      </w:r>
      <w:r>
        <w:t xml:space="preserve"> </w:t>
      </w:r>
      <w:r>
        <w:t xml:space="preserve">= 0.001). After adjustment for aging rate, fast walking rate, and population density (Model 2), the association between slope and hip fracture rate remained statistically significant (β = 3.49; 95% CI, 0.11–6.86; R² = 0.385;</w:t>
      </w:r>
      <w:r>
        <w:t xml:space="preserve"> </w:t>
      </w:r>
      <w:r>
        <w:rPr>
          <w:i/>
          <w:iCs/>
        </w:rPr>
        <w:t xml:space="preserve">p</w:t>
      </w:r>
      <w:r>
        <w:t xml:space="preserve"> </w:t>
      </w:r>
      <w:r>
        <w:t xml:space="preserve">= 0.043) (Table 3). Aging rate was also independently associated with hip fracture rate (β = 5.53; 95% CI, 1.32–9.74;</w:t>
      </w:r>
      <w:r>
        <w:t xml:space="preserve"> </w:t>
      </w:r>
      <w:r>
        <w:rPr>
          <w:i/>
          <w:iCs/>
        </w:rPr>
        <w:t xml:space="preserve">p</w:t>
      </w:r>
      <w:r>
        <w:t xml:space="preserve"> </w:t>
      </w:r>
      <w:r>
        <w:t xml:space="preserve">= 0.011). Fast walking rate showed a tendency toward a negative association with hip fracture rate, although this did not reach statistical significance (β = 2.02;</w:t>
      </w:r>
      <w:r>
        <w:t xml:space="preserve"> </w:t>
      </w:r>
      <w:r>
        <w:rPr>
          <w:i/>
          <w:iCs/>
        </w:rPr>
        <w:t xml:space="preserve">p</w:t>
      </w:r>
      <w:r>
        <w:t xml:space="preserve"> </w:t>
      </w:r>
      <w:r>
        <w:t xml:space="preserve">= 0.091). Population density was not significantly associated with hip fracture rate (β = −0.001;</w:t>
      </w:r>
      <w:r>
        <w:t xml:space="preserve"> </w:t>
      </w:r>
      <w:r>
        <w:rPr>
          <w:i/>
          <w:iCs/>
        </w:rPr>
        <w:t xml:space="preserve">p</w:t>
      </w:r>
      <w:r>
        <w:t xml:space="preserve"> </w:t>
      </w:r>
      <w:r>
        <w:t xml:space="preserve">= 0.818).</w:t>
      </w:r>
    </w:p>
    <w:bookmarkEnd w:id="36"/>
    <w:bookmarkStart w:id="37" w:name="X19b7a829deade195ab8e30bfbfddb97c9ee92ae"/>
    <w:p>
      <w:pPr>
        <w:pStyle w:val="Heading2"/>
      </w:pPr>
      <w:r>
        <w:t xml:space="preserve">4. Regression Analysis: Total, Humerus, and Forearm Fractures</w:t>
      </w:r>
    </w:p>
    <w:p>
      <w:pPr>
        <w:pStyle w:val="FirstParagraph"/>
      </w:pPr>
      <w:r>
        <w:t xml:space="preserve">In the unadjusted model, slope was significantly associated with total fracture surgery rate (β = 6.85; 95% CI, 2.06–11.64; R² = 0.156;</w:t>
      </w:r>
      <w:r>
        <w:t xml:space="preserve"> </w:t>
      </w:r>
      <w:r>
        <w:rPr>
          <w:i/>
          <w:iCs/>
        </w:rPr>
        <w:t xml:space="preserve">p</w:t>
      </w:r>
      <w:r>
        <w:t xml:space="preserve"> </w:t>
      </w:r>
      <w:r>
        <w:t xml:space="preserve">= 0.006). In the multivariable model, however, slope did not reach statistical significance for total fracture rate (β = 4.47;</w:t>
      </w:r>
      <w:r>
        <w:t xml:space="preserve"> </w:t>
      </w:r>
      <w:r>
        <w:rPr>
          <w:i/>
          <w:iCs/>
        </w:rPr>
        <w:t xml:space="preserve">p</w:t>
      </w:r>
      <w:r>
        <w:t xml:space="preserve"> </w:t>
      </w:r>
      <w:r>
        <w:t xml:space="preserve">= 0.099), although aging rate remained a significant predictor (β = 7.19;</w:t>
      </w:r>
      <w:r>
        <w:t xml:space="preserve"> </w:t>
      </w:r>
      <w:r>
        <w:rPr>
          <w:i/>
          <w:iCs/>
        </w:rPr>
        <w:t xml:space="preserve">p</w:t>
      </w:r>
      <w:r>
        <w:t xml:space="preserve"> </w:t>
      </w:r>
      <w:r>
        <w:t xml:space="preserve">= 0.035; R² = 0.276). Neither humerus fracture rate (Model 1:</w:t>
      </w:r>
      <w:r>
        <w:t xml:space="preserve"> </w:t>
      </w:r>
      <w:r>
        <w:rPr>
          <w:i/>
          <w:iCs/>
        </w:rPr>
        <w:t xml:space="preserve">p</w:t>
      </w:r>
      <w:r>
        <w:t xml:space="preserve"> </w:t>
      </w:r>
      <w:r>
        <w:t xml:space="preserve">= 0.355; Model 2: R² = 0.107) nor forearm fracture rate (Model 1:</w:t>
      </w:r>
      <w:r>
        <w:t xml:space="preserve"> </w:t>
      </w:r>
      <w:r>
        <w:rPr>
          <w:i/>
          <w:iCs/>
        </w:rPr>
        <w:t xml:space="preserve">p</w:t>
      </w:r>
      <w:r>
        <w:t xml:space="preserve"> </w:t>
      </w:r>
      <w:r>
        <w:t xml:space="preserve">= 0.233; Model 2: R² = 0.062) was significantly associated with terrain slope in either model.</w:t>
      </w:r>
    </w:p>
    <w:p>
      <w:r>
        <w:pict>
          <v:rect style="width:0;height:1.5pt" o:hralign="center" o:hrstd="t" o:hr="t"/>
        </w:pict>
      </w:r>
    </w:p>
    <w:bookmarkEnd w:id="37"/>
    <w:bookmarkEnd w:id="38"/>
    <w:bookmarkStart w:id="47" w:name="discussion"/>
    <w:p>
      <w:pPr>
        <w:pStyle w:val="Heading1"/>
      </w:pPr>
      <w:r>
        <w:t xml:space="preserve">Discussion</w:t>
      </w:r>
    </w:p>
    <w:bookmarkStart w:id="39" w:name="main-findings"/>
    <w:p>
      <w:pPr>
        <w:pStyle w:val="Heading2"/>
      </w:pPr>
      <w:r>
        <w:t xml:space="preserve">1. Main Findings</w:t>
      </w:r>
    </w:p>
    <w:p>
      <w:pPr>
        <w:pStyle w:val="FirstParagraph"/>
      </w:pPr>
      <w:r>
        <w:t xml:space="preserve">This ecological study demonstrated that prefectural-level terrain slope was independently associated with hip fracture surgery rates across Japan after adjustment for aging rate, walking speed, and population density (β = 3.49 per one-degree increase,</w:t>
      </w:r>
      <w:r>
        <w:t xml:space="preserve"> </w:t>
      </w:r>
      <w:r>
        <w:rPr>
          <w:i/>
          <w:iCs/>
        </w:rPr>
        <w:t xml:space="preserve">p</w:t>
      </w:r>
      <w:r>
        <w:t xml:space="preserve"> </w:t>
      </w:r>
      <w:r>
        <w:t xml:space="preserve">= 0.043). Each additional degree of slope was associated with approximately 3.5 additional hip fracture surgeries per 100,000 population. This association was specific to hip fractures and was not observed for humerus or forearm fractures. Figures 3–5 map prefectural distributions of terrain slope, hip fracture rates, and their joint classification. Together, these findings suggest that, at the population level, steeper habitable terrain tracks hip-specific surgical burden beyond compositional aging and self-reported walking pace, consistent with outdoor environments amplifying lateral-fall mechanisms rather than raising fracture risk indiscriminately across skeletal sites.</w:t>
      </w:r>
    </w:p>
    <w:bookmarkEnd w:id="39"/>
    <w:bookmarkStart w:id="40" w:name="biological-plausibility"/>
    <w:p>
      <w:pPr>
        <w:pStyle w:val="Heading2"/>
      </w:pPr>
      <w:r>
        <w:t xml:space="preserve">2. Biological Plausibility</w:t>
      </w:r>
    </w:p>
    <w:p>
      <w:pPr>
        <w:pStyle w:val="FirstParagraph"/>
      </w:pPr>
      <w:r>
        <w:t xml:space="preserve">The specificity of the slope–fracture association to the hip is biologically plausible and supported by extensive biomechanical evidence. Hip fractures typically result from lateral (sideways) falls,[22, 23] which are the predominant fall mechanism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30-fold.[23, 24] The impact forces generated during lateral falls typically reach 2,000 to 4,000 N, exceeding the physiological tolerance of osteoporotic femoral necks.[25] Finite element method (FEM) simulations have further confirmed that posterolateral and lateral impacts generate maximum tensile and compressive stresses at the superior and inferior aspects of the femoral neck, maximizing fracture vulnerability.[26]</w:t>
      </w:r>
    </w:p>
    <w:p>
      <w:pPr>
        <w:pStyle w:val="BodyText"/>
      </w:pPr>
      <w:r>
        <w:t xml:space="preserve">When walking downhill or across a slope, the body’s center of mass (CoM) shifts laterally, and the control of lateral stability becomes increasingly difficult.[27, 28] The human gait pattern is biomechanically analogous to an inverted pendulum, with CoM tracing a bow-tie-shaped trajectory in three-dimensional space.[28] On sloped terrain, maintaining CoM within the base of support (BoS) requires precise step-by-step adjustments of step width and foot placement.[29] For older adults with age-related declines in hip abductor strength and ankle dorsiflexion, the margin of stability (MoS) during inclined walking is dramatically reduced.[11, 13] Slips or minor perturbations that could be corrected via cross-over steps on flat surfaces become unarrested lateral falls on slopes due to delayed postural reflexes and environmental constraints.[12, 28]</w:t>
      </w:r>
    </w:p>
    <w:p>
      <w:pPr>
        <w:pStyle w:val="BodyText"/>
      </w:pPr>
      <w:r>
        <w:t xml:space="preserve">In contrast, wrist (forearm) fractures are more commonly caused by protective extension reflexes during forward falls on flat surfaces.[30] When falling forward, individuals instinctively extend their arms to protect the head and torso, and kinematic studies show that elbow flexion and wrist dorsiflexion absorb fall energy, dramatically reducing pelvic impact velocity.[30] Such forward falls typically occur from tripping on minor obstacles or steps indoors, rather than from rapid lateral displacement on steep slopes.[31] Similarly, humerus fractures in older adults often result from low-energy obliquely forward falls on level ground and occur in relatively younger, more ambulatory individuals who retain arm-protective reflexes.[32] The fracture-site specificity observed in our data—significant association with hip fractures but not with humerus or forearm fractures—thus provides internal evidence consistent with the biomechanical paradigm that terrain slope specifically amplifies lateral fall risk.</w:t>
      </w:r>
    </w:p>
    <w:bookmarkEnd w:id="40"/>
    <w:bookmarkStart w:id="41" w:name="comparison-with-previous-studies"/>
    <w:p>
      <w:pPr>
        <w:pStyle w:val="Heading2"/>
      </w:pPr>
      <w:r>
        <w:t xml:space="preserve">3. Comparison with Previous Studies</w:t>
      </w:r>
    </w:p>
    <w:p>
      <w:pPr>
        <w:pStyle w:val="FirstParagraph"/>
      </w:pPr>
      <w:r>
        <w:t xml:space="preserve">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regions.[20] The NOREPOS investigators further identified that cold ambient temperature and icy terrain in mountainous areas amplified this geographic risk,[33] a finding with direct relevance to Japan’s snowy mountainous prefectures (e.g., Niigata, Nagano, Yamagata).</w:t>
      </w:r>
    </w:p>
    <w:p>
      <w:pPr>
        <w:pStyle w:val="BodyText"/>
      </w:pPr>
      <w:r>
        <w:t xml:space="preserve">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women.[21] These findings reinforce the generalizability of our results across diverse geographic and ethnic contexts.</w:t>
      </w:r>
    </w:p>
    <w:p>
      <w:pPr>
        <w:pStyle w:val="BodyText"/>
      </w:pPr>
      <w:r>
        <w:t xml:space="preserve">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risk.[34] In Japan, Fujita et al. reported that frequent outdoor activity predicts physical function in rural community-dwelling older adults.[14] 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contributes to the global evidence base for terrain as a modifiable environmental risk factor.</w:t>
      </w:r>
    </w:p>
    <w:bookmarkEnd w:id="41"/>
    <w:bookmarkStart w:id="42" w:name="role-of-aging-rate"/>
    <w:p>
      <w:pPr>
        <w:pStyle w:val="Heading2"/>
      </w:pPr>
      <w:r>
        <w:t xml:space="preserve">4. Role of Aging Rate</w:t>
      </w:r>
    </w:p>
    <w:p>
      <w:pPr>
        <w:pStyle w:val="FirstParagraph"/>
      </w:pPr>
      <w:r>
        <w:t xml:space="preserve">Aging rate was the strongest predictor of hip fracture rate in the multivariable model (β = 5.53,</w:t>
      </w:r>
      <w:r>
        <w:t xml:space="preserve"> </w:t>
      </w:r>
      <w:r>
        <w:rPr>
          <w:i/>
          <w:iCs/>
        </w:rPr>
        <w:t xml:space="preserve">p</w:t>
      </w:r>
      <w:r>
        <w:t xml:space="preserve"> </w:t>
      </w:r>
      <w:r>
        <w:t xml:space="preserve">= 0.011). Prefectures with steeper terrain also tended to have higher aging rates (r = 0.505), reflecting the well-documented trend of rural aging in Japan, where mountainous prefectures experience greater outmigration of younger populations.[35, 36, 37] Older adults in these high-slope prefectures thus face a double burden: the physical challenge of navigating harsh terrain on a daily basis (environmental hazard) and the social isolation and lack of medical access associated with rural depopulation (social determinants of health).[38, 39]</w:t>
      </w:r>
    </w:p>
    <w:p>
      <w:pPr>
        <w:pStyle w:val="BodyText"/>
      </w:pPr>
      <w:r>
        <w:t xml:space="preserve">The independent association of slope with hip fracture after adjustment for aging rate indicates that terrain constitutes a risk factor over and above demographic composition.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bookmarkEnd w:id="42"/>
    <w:bookmarkStart w:id="43" w:name="walking-speed-as-a-mediator"/>
    <w:p>
      <w:pPr>
        <w:pStyle w:val="Heading2"/>
      </w:pPr>
      <w:r>
        <w:t xml:space="preserve">5. Walking Speed as a Mediator</w:t>
      </w:r>
    </w:p>
    <w:p>
      <w:pPr>
        <w:pStyle w:val="FirstParagraph"/>
      </w:pPr>
      <w:r>
        <w:t xml:space="preserve">Fast walking rate showed a tendency toward a negative association with hip fracture rate (</w:t>
      </w:r>
      <w:r>
        <w:rPr>
          <w:i/>
          <w:iCs/>
        </w:rPr>
        <w:t xml:space="preserve">p</w:t>
      </w:r>
      <w:r>
        <w:t xml:space="preserve"> </w:t>
      </w:r>
      <w:r>
        <w:t xml:space="preserve">= 0.091), consistent with the extensive literature designating walking speed as the</w:t>
      </w:r>
      <w:r>
        <w:t xml:space="preserve"> </w:t>
      </w:r>
      <w:r>
        <w:t xml:space="preserve">“sixth vital sign”</w:t>
      </w:r>
      <w:r>
        <w:t xml:space="preserve"> </w:t>
      </w:r>
      <w:r>
        <w:t xml:space="preserve">and a powerful predictor of fracture risk, sarcopenia, frailty, and mortality.[15, 16, 17] Prospective cohort studies in community-dwelling older adults have demonstrated that walking speeds below 0.8 m/s or 0.69 m/s significantly elevate hip fracture incidence.[16] Moreover, walking speed measured in clinical settings (flat 10-meter walk tests) may not accurately reflect real-world walking ability on complex outdoor terrain.[18]</w:t>
      </w:r>
    </w:p>
    <w:p>
      <w:pPr>
        <w:pStyle w:val="BodyText"/>
      </w:pPr>
      <w:r>
        <w:t xml:space="preserve">When confronted with uneven or sloped terrain, older adults unconsciously adopt cautious gait strategies, reducing step length and cadence to enhance stability, which results in substantially slower walking speeds.[11, 18, 19] Older adults residing in high-slope regions are exposed to such challenging terrain daily during shopping and outdoor activities, leading to chronic fear of falling, reduced outdoor activity, and progressive deconditioning (disuse muscle atrophy).[40, 41] The observed correlation between higher slope and lower fast walking rate (r = −0.264) in our data supports this chronic mediation pathway.</w:t>
      </w:r>
    </w:p>
    <w:p>
      <w:pPr>
        <w:pStyle w:val="BodyText"/>
      </w:pPr>
      <w:r>
        <w:t xml:space="preserve">However, walking speed did not reach statistical significance in our multivariable model, and we did not observe a significant mediating role of walking speed in the slope–fracture association. This may reflect several limitations: (1) the NDB Specific Health Checkup captures self-reported habitual walking speed in adults aged 40–74 years, which may not accurately represent the functional capacity of the oldest-old (≥75 years) who are at highest fracture risk; (2) prefecture-level ecological analysis inherently lacks the granularity required to detect individual-level mediation pathways; and (3) non-differential measurement error in self-reported walking speed may bias estimates toward the null. Future studies using individual-level data (e.g., objectively measured gait speed, accelerometry) with formal causal mediation analysis are warranted to clarify whether terrain slope influences hip fracture risk partly through its chronic effect on habitual walking capacity.</w:t>
      </w:r>
    </w:p>
    <w:bookmarkEnd w:id="43"/>
    <w:bookmarkStart w:id="44" w:name="policy-implications"/>
    <w:p>
      <w:pPr>
        <w:pStyle w:val="Heading2"/>
      </w:pPr>
      <w:r>
        <w:t xml:space="preserve">6. Policy Implications</w:t>
      </w:r>
    </w:p>
    <w:p>
      <w:pPr>
        <w:pStyle w:val="FirstParagraph"/>
      </w:pPr>
      <w:r>
        <w:t xml:space="preserve">Our findings 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frailty.[4, 42, 43] Acute care costs for hip fracture treatment reached approximately 1,000 billion yen in 2021,[5] prompting the Japanese government to introduce a new reimbursement incentive in April 2022 for early surgery within 48 hours for patients aged ≥75 years.[44]</w:t>
      </w:r>
    </w:p>
    <w:p>
      <w:pPr>
        <w:pStyle w:val="BodyText"/>
      </w:pPr>
      <w:r>
        <w:t xml:space="preserve">First, prefectures with steeper terrain should be prioritized in national fall prevention programs. Japan’s Ministry of Health, Labour and Welfare has promoted the</w:t>
      </w:r>
      <w:r>
        <w:t xml:space="preserve"> </w:t>
      </w:r>
      <w:r>
        <w:t xml:space="preserve">“Active Guide”</w:t>
      </w:r>
      <w:r>
        <w:t xml:space="preserve"> </w:t>
      </w:r>
      <w:r>
        <w:t xml:space="preserve">(Plus-Ten campaign:</w:t>
      </w:r>
      <w:r>
        <w:t xml:space="preserve"> </w:t>
      </w:r>
      <w:r>
        <w:t xml:space="preserve">“add 10 minutes of physical activity daily”</w:t>
      </w:r>
      <w:r>
        <w:t xml:space="preserve">) under the Health Japan 21 (second edition) framework.[45, 46] However, research has shown that physical activity behavior is strongly dependent on neighborhood environmental features (sidewalk availability, safety, topography), not individual motivation alone.[45] Recommending</w:t>
      </w:r>
      <w:r>
        <w:t xml:space="preserve"> </w:t>
      </w:r>
      <w:r>
        <w:t xml:space="preserve">“10 additional minutes of outdoor walking”</w:t>
      </w:r>
      <w:r>
        <w:t xml:space="preserve"> </w:t>
      </w:r>
      <w:r>
        <w:t xml:space="preserve">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pathways.[47]</w:t>
      </w:r>
    </w:p>
    <w:p>
      <w:pPr>
        <w:pStyle w:val="BodyText"/>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bookmarkEnd w:id="44"/>
    <w:bookmarkStart w:id="45" w:name="strengths"/>
    <w:p>
      <w:pPr>
        <w:pStyle w:val="Heading2"/>
      </w:pPr>
      <w:r>
        <w:t xml:space="preserve">7. Strengths</w:t>
      </w:r>
    </w:p>
    <w:p>
      <w:pPr>
        <w:pStyle w:val="FirstParagraph"/>
      </w:pPr>
      <w:r>
        <w:t xml:space="preserve">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bookmarkEnd w:id="45"/>
    <w:bookmarkStart w:id="46" w:name="limitations"/>
    <w:p>
      <w:pPr>
        <w:pStyle w:val="Heading2"/>
      </w:pPr>
      <w:r>
        <w:t xml:space="preserve">8. Limitations</w:t>
      </w:r>
    </w:p>
    <w:p>
      <w:pPr>
        <w:pStyle w:val="FirstParagraph"/>
      </w:pPr>
      <w:r>
        <w:t xml:space="preserve">Several limitations should be considered. First, as an ecological study, our findings are subject to the ecological fallacy: associations observed at the prefecture level may not reflect individual-level relationships.[48]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pPr>
        <w:pStyle w:val="BodyText"/>
      </w:pPr>
      <w:r>
        <w:t xml:space="preserve">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t>
      </w:r>
    </w:p>
    <w:p>
      <w:pPr>
        <w:pStyle w:val="BodyText"/>
      </w:pPr>
      <w:r>
        <w:t xml:space="preserve">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r>
        <w:pict>
          <v:rect style="width:0;height:1.5pt" o:hralign="center" o:hrstd="t" o:hr="t"/>
        </w:pict>
      </w:r>
    </w:p>
    <w:bookmarkEnd w:id="46"/>
    <w:bookmarkEnd w:id="47"/>
    <w:bookmarkStart w:id="48" w:name="conclusions-1"/>
    <w:p>
      <w:pPr>
        <w:pStyle w:val="Heading1"/>
      </w:pPr>
      <w:r>
        <w:t xml:space="preserve">Conclusions</w:t>
      </w:r>
    </w:p>
    <w:p>
      <w:pPr>
        <w:pStyle w:val="FirstParagraph"/>
      </w:pPr>
      <w:r>
        <w:t xml:space="preserve">Terrain slope was independently associated with hip fracture surgery rates across Japanese prefectures after adjustment for aging rate, walking speed, and population density. Each one-degree increase in terrain slope was associated with approximately 3.5 additional hip fracture surgeries per 100,000 population. The association was specific to hip fractures, with no significant relationship observed for humerus or forearm fractures, consistent with the biomechanical literature demonstrating that lateral falls on inclined terrain specifically increase impact loading to the greater trochanter.</w:t>
      </w:r>
    </w:p>
    <w:p>
      <w:pPr>
        <w:pStyle w:val="BodyText"/>
      </w:pPr>
      <w:r>
        <w:t xml:space="preserve">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r>
        <w:pict>
          <v:rect style="width:0;height:1.5pt" o:hralign="center" o:hrstd="t" o:hr="t"/>
        </w:pict>
      </w:r>
    </w:p>
    <w:bookmarkEnd w:id="48"/>
    <w:bookmarkStart w:id="49" w:name="data-availability"/>
    <w:p>
      <w:pPr>
        <w:pStyle w:val="Heading1"/>
      </w:pPr>
      <w:r>
        <w:t xml:space="preserve">Data availability</w:t>
      </w:r>
    </w:p>
    <w:p>
      <w:pPr>
        <w:pStyle w:val="FirstParagraph"/>
      </w:pPr>
      <w:r>
        <w:t xml:space="preserve">Aggregate data used in this study are publicly available from the Japanese National Database Open Data and official statistics cited in the Methods. Under Ministry of Health, Labour and Welfare distribution rules, individual-level claims and identifiable records cannot be shared. Prefecture-level values supporting this analysis can be reproduced from those public sources using the procedures described.</w:t>
      </w:r>
    </w:p>
    <w:p>
      <w:r>
        <w:pict>
          <v:rect style="width:0;height:1.5pt" o:hralign="center" o:hrstd="t" o:hr="t"/>
        </w:pict>
      </w:r>
    </w:p>
    <w:bookmarkEnd w:id="49"/>
    <w:bookmarkStart w:id="50" w:name="references"/>
    <w:p>
      <w:pPr>
        <w:pStyle w:val="Heading1"/>
      </w:pPr>
      <w:r>
        <w:t xml:space="preserve">References</w:t>
      </w:r>
    </w:p>
    <w:p>
      <w:pPr>
        <w:pStyle w:val="FirstParagraph"/>
      </w:pPr>
      <w:r>
        <w:t xml:space="preserve">[1] Hagino H, Katagiri H, Okano T, Yamamoto K, Teshima R. Increasing incidence of hip fracture in Tottori Prefecture, Japan: trend from 1986 to 2001. Osteoporos Int. 2005;16(12):1963-1968.</w:t>
      </w:r>
      <w:r>
        <w:t xml:space="preserve"> </w:t>
      </w:r>
      <w:r>
        <w:t xml:space="preserve">[2] Orimo H, Yaegashi Y, Hosoi T, Fukushima Y, Onoda T, Hashimoto T, et al. Hip fracture incidence in Japan: estimates of new patients in 2012 and 25-year trends. Osteoporos Int. 2016;27(5):1777-1784.</w:t>
      </w:r>
      <w:r>
        <w:t xml:space="preserve"> </w:t>
      </w:r>
      <w:r>
        <w:t xml:space="preserve">[3] Cooper C, Campion G, Melton LJ 3rd. Hip fractures in the elderly: a world-wide projection. Osteoporos Int. 1992;2(6):285-289.</w:t>
      </w:r>
      <w:r>
        <w:t xml:space="preserve"> </w:t>
      </w:r>
      <w:r>
        <w:t xml:space="preserve">[4] Nakatoh S, Fujimori K, Ishii S, Iki M. Trends in the incidence of hip fractures and osteoporosis treatment in Japan (FY2012–FY2023). Arch Osteoporos. 2025; 21(1):16.</w:t>
      </w:r>
      <w:r>
        <w:t xml:space="preserve"> </w:t>
      </w:r>
      <w:r>
        <w:t xml:space="preserve">[5] Hatano M, Yasunaga H, Ishikura H, et al. Temporal trends in acute care costs of hip fracture treatment from 2011 to 2021 in Japan. Arch Osteoporos. 2025;20(1):124.</w:t>
      </w:r>
      <w:r>
        <w:t xml:space="preserve"> </w:t>
      </w:r>
      <w:r>
        <w:t xml:space="preserve">[6] Cummings SR, Nevitt MC. A hypothesis: the causes of hip fractures. J Gerontol. 1989;44(4):M107-M111.</w:t>
      </w:r>
      <w:r>
        <w:t xml:space="preserve"> </w:t>
      </w:r>
      <w:r>
        <w:t xml:space="preserve">[7] Tinetti ME. Clinical practice. Preventing falls in elderly persons. N Engl J Med. 2003;348(1):42-49.</w:t>
      </w:r>
      <w:r>
        <w:t xml:space="preserve"> </w:t>
      </w:r>
      <w:r>
        <w:t xml:space="preserve">[8] Stevens JA, Sogolow ED. Gender differences for non-fatal unintentional fall related injuries among older adults. Inj Prev. 2005;11(2):115-119.</w:t>
      </w:r>
      <w:r>
        <w:t xml:space="preserve"> </w:t>
      </w:r>
      <w:r>
        <w:t xml:space="preserve">[9] Li W, Keegan TH, Sternfeld B, Sidney S, Quesenberry CP Jr, Kelsey JL. Outdoor falls among middle-aged and older adults: a neglected public health problem. Am J Public Health. 2006;96(7):1192-1200.</w:t>
      </w:r>
      <w:r>
        <w:t xml:space="preserve"> </w:t>
      </w:r>
      <w:r>
        <w:t xml:space="preserve">[10] Redfern MS, Cham R, Gielo-Perczak K, et al. Biomechanics of slips. Ergonomics. 2001;44(13):1138-1166.</w:t>
      </w:r>
      <w:r>
        <w:t xml:space="preserve"> </w:t>
      </w:r>
      <w:r>
        <w:t xml:space="preserve">[11] Franz JR, Kram R. Advanced age affects the individual leg mechanics of level, uphill, and downhill walking. J Biomech. 2013;46(3):535-540.</w:t>
      </w:r>
      <w:r>
        <w:t xml:space="preserve"> </w:t>
      </w:r>
      <w:r>
        <w:t xml:space="preserve">[12] Reimann H, Ramadan R, Fettrow T, Hafer JF, Geyer H, Jeka JJ. Interactions between different age-related factors affecting balance control in walking. Front Sports Act Living. 2020;2:94.</w:t>
      </w:r>
      <w:r>
        <w:t xml:space="preserve"> </w:t>
      </w:r>
      <w:r>
        <w:t xml:space="preserve">[13] Marigold DS, Patla AE. Strategies for dynamic stability during locomotion on a slippery surface: effects of prior experience and knowledge. J Neurophysiol. 2002;88(1):339-353.</w:t>
      </w:r>
      <w:r>
        <w:t xml:space="preserve"> </w:t>
      </w:r>
      <w:r>
        <w:t xml:space="preserve">[14] Fujita K, Fujiwara Y, Chaves PH, Motohashi Y, Shinkai S. Frequency of going outdoors as a good predictors for incident disability of physical function as well as disability recovery in community-dwelling older adults in rural Japan. J Epidemiol. 2006;16(6):261-270.</w:t>
      </w:r>
      <w:r>
        <w:t xml:space="preserve"> </w:t>
      </w:r>
      <w:r>
        <w:t xml:space="preserve">[15] Quach L, Galica AM, Jones RN, et al. The nonlinear relationship between gait speed and falls: the MOBILIZE Boston Study. J Am Geriatr Soc. 2011;59(6):1069-1073.</w:t>
      </w:r>
      <w:r>
        <w:t xml:space="preserve"> </w:t>
      </w:r>
      <w:r>
        <w:t xml:space="preserve">[16] Dargent-Molina P, Favier F, Grandjean H, et al. Fall-related factors and risk of hip fracture: the EPIDOS prospective study. Lancet. 1996;348(9021):145-149.</w:t>
      </w:r>
      <w:r>
        <w:t xml:space="preserve"> </w:t>
      </w:r>
      <w:r>
        <w:t xml:space="preserve">[17] Studenski S, Perera S, Patel K, et al. Gait speed and survival in older adults. JAMA. 2011;305(1):50-58.</w:t>
      </w:r>
      <w:r>
        <w:t xml:space="preserve"> </w:t>
      </w:r>
      <w:r>
        <w:t xml:space="preserve">[18] Thies SB, Richardson JK, Ashton-Miller JA. Effects of surface irregularity and lighting on step variability during gait: a study in healthy young and older women. Gait Posture. 2005;22(1):26-31.</w:t>
      </w:r>
      <w:r>
        <w:t xml:space="preserve"> </w:t>
      </w:r>
      <w:r>
        <w:t xml:space="preserve">[19] Maki BE. Gait changes in older adults: predictors of falls or indicators of fear. J Am Geriatr Soc. 1997;45(3):313-320.</w:t>
      </w:r>
      <w:r>
        <w:t xml:space="preserve"> </w:t>
      </w:r>
      <w:r>
        <w:t xml:space="preserve">[20] 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r>
        <w:t xml:space="preserve"> </w:t>
      </w:r>
      <w:r>
        <w:t xml:space="preserve">[21] Wang S, Zhang F, Guo Y, Chen C, Zhong Y, Hao D, Zhu S, Wu Y. Exposure to high altitude is associated with an elevated risk of hip fracture: a retrospective cohort study using data from the CHARLS. BMC Geriatr. 2025;25(1):884.</w:t>
      </w:r>
      <w:r>
        <w:t xml:space="preserve"> </w:t>
      </w:r>
      <w:r>
        <w:t xml:space="preserve">[22] Nevitt MC, Cummings SR. Type of fall and risk of hip and wrist fractures: the study of osteoporotic fractures. J Am Geriatr Soc. 1993;41(11):1226-1234.</w:t>
      </w:r>
      <w:r>
        <w:t xml:space="preserve"> </w:t>
      </w:r>
      <w:r>
        <w:t xml:space="preserve">[23] Yang Y, Komisar V, Shishov N, et al. The effect of fall biomechanics on risk for hip fracture in older adults: a cohort study of video-captured falls in long-term care. J Bone Miner Res. 2020;35(10):1914-1922.</w:t>
      </w:r>
      <w:r>
        <w:t xml:space="preserve"> </w:t>
      </w:r>
      <w:r>
        <w:t xml:space="preserve">[24] Hayes WC, Myers ER, Morris JN, Gerhart TN, Yett HS, Lipsitz LA. Impact near the hip dominates fracture risk in elderly nursing home residents who fall. Calcif Tissue Int. 1993;52(3):192-198.</w:t>
      </w:r>
      <w:r>
        <w:t xml:space="preserve"> </w:t>
      </w:r>
      <w:r>
        <w:t xml:space="preserve">[25] Sarvi MN, Luo Y. A two-level subject-specific biomechanical model for improving prediction of hip fracture risk. Clin Biomech (Bristol, Avon). 2015;30(8):881-887.</w:t>
      </w:r>
      <w:r>
        <w:t xml:space="preserve"> </w:t>
      </w:r>
      <w:r>
        <w:t xml:space="preserve">[26] Faisal TR, Luo Y. Study of stress variations in single-stance and sideways fall using image-based finite element analysis. Biomed Mater Eng. 2016;27(1):1-14.</w:t>
      </w:r>
      <w:r>
        <w:t xml:space="preserve"> </w:t>
      </w:r>
      <w:r>
        <w:t xml:space="preserve">[27] Ortega JD, Farley CT. Minimizing center of mass vertical movement increases metabolic cost in walking. J Appl Physiol (1985). 2005;99(6):2099-2107.</w:t>
      </w:r>
      <w:r>
        <w:t xml:space="preserve"> </w:t>
      </w:r>
      <w:r>
        <w:t xml:space="preserve">[28] Tesio L, Rota V. The motion of body center of mass during walking: a review oriented to clinical applications. Front Neurol. 2019;10:999.</w:t>
      </w:r>
      <w:r>
        <w:t xml:space="preserve"> </w:t>
      </w:r>
      <w:r>
        <w:t xml:space="preserve">[29] Hak L, Houdijk H, Steenbrink F, Mert A, van der Wurff P, Beek PJ, van Dieën JH. Stepping strategies for regulating gait adaptability and stability. J Biomech. 2013;46(5):905-911.</w:t>
      </w:r>
      <w:r>
        <w:t xml:space="preserve"> </w:t>
      </w:r>
      <w:r>
        <w:t xml:space="preserve">[30] Kim KJ, Ashton-Miller JA. Biomechanics of fall arrest using the upper extremity: age differences. Clin Biomech (Bristol, Avon). 2003;18(4):311-318.</w:t>
      </w:r>
      <w:r>
        <w:t xml:space="preserve"> </w:t>
      </w:r>
      <w:r>
        <w:t xml:space="preserve">[31] O’Neill TW, Varlow J, Silman AJ, et al. Age and sex influences on fall characteristics. Ann Rheum Dis. 1994;53(11):773-775.</w:t>
      </w:r>
      <w:r>
        <w:t xml:space="preserve"> </w:t>
      </w:r>
      <w:r>
        <w:t xml:space="preserve">[32] Court-Brown CM, Caesar B. Epidemiology of adult fractures: a review. Injury. 2006;37(8):691-697.</w:t>
      </w:r>
      <w:r>
        <w:t xml:space="preserve"> </w:t>
      </w:r>
      <w:r>
        <w:t xml:space="preserve">[33] Dahl C, Madsen C, Omsland TK, et al. The association of cold ambient temperature with fracture risk and mortality: national data from Norway—a Norwegian Epidemiologic Osteoporosis Studies (NOREPOS) study. J Bone Miner Res. 2022;37(8):1527-1536.</w:t>
      </w:r>
      <w:r>
        <w:t xml:space="preserve"> </w:t>
      </w:r>
      <w:r>
        <w:t xml:space="preserve">[34] Blackwood J, Suzuki R, Karczewski H. Perceived neighborhood walkability is associated with recent falls in urban dwelling older adults. J Geriatr Phys Ther. 2022;45(1):E8-E15.</w:t>
      </w:r>
      <w:r>
        <w:t xml:space="preserve"> </w:t>
      </w:r>
      <w:r>
        <w:t xml:space="preserve">[35] 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r>
        <w:t xml:space="preserve"> </w:t>
      </w:r>
      <w:r>
        <w:t xml:space="preserve">[36] Consalvo S. Impact of population ageing on Japan’s inter-prefectural migration. Data Science and Service Research Discussion Paper No. 129. Tohoku University, 2022.</w:t>
      </w:r>
      <w:r>
        <w:t xml:space="preserve"> </w:t>
      </w:r>
      <w:r>
        <w:t xml:space="preserve">[37] Smith SG, O’Conor R, Curtis LM, Waite K, Deary IJ, Paasche-Orlow M, Wolf MS. Low health literacy predicts decline in physical function among older adults: findings from the LitCog cohort study. J Epidemiol Community Health. 2015;69(5):474-480.</w:t>
      </w:r>
      <w:r>
        <w:t xml:space="preserve"> </w:t>
      </w:r>
      <w:r>
        <w:t xml:space="preserve">[38] Kobayashi K, Nishida T, Sakakibara H. Factors associated with low albumin in community-dwelling older adults aged 75 years and above. Int J Environ Res Public Health. 2023;20(21):6994.</w:t>
      </w:r>
      <w:r>
        <w:t xml:space="preserve"> </w:t>
      </w:r>
      <w:r>
        <w:t xml:space="preserve">[39] Murayama H, Nishi M, Matsuo E, et al. Do bonding and bridging social capital affect self-rated health, depressive mood and cognitive decline in older Japanese? A prospective cohort study. Soc Sci Med. 2013;98:247-252.</w:t>
      </w:r>
      <w:r>
        <w:t xml:space="preserve"> </w:t>
      </w:r>
      <w:r>
        <w:t xml:space="preserve">[40] Delbaere K, Close JC, Brodaty H, Sachdev P, Lord SR. Determinants of disparities between perceived and physiological risk of falling among elderly people: cohort study. BMJ. 2010;341:c4165.</w:t>
      </w:r>
      <w:r>
        <w:t xml:space="preserve"> </w:t>
      </w:r>
      <w:r>
        <w:t xml:space="preserve">[41] Kempen GI, van Haastregt JC, McKee KJ, Delbaere K, Zijlstra GA. Socio-demographic, health-related and psychosocial correlates of fear of falling and avoidance of activity in community-living older persons who avoid activity due to fear of falling. BMC Public Health. 2009;9:170.</w:t>
      </w:r>
      <w:r>
        <w:t xml:space="preserve"> </w:t>
      </w:r>
      <w:r>
        <w:t xml:space="preserve">[42] Inage K, Kondo N, Komatsubara S, et al. Current status of patients with hip fracture in Japan: a nationwide survey. J Orthop Sci. 2025. doi:10.1016/j.jos.2025.05.014.</w:t>
      </w:r>
      <w:r>
        <w:t xml:space="preserve"> </w:t>
      </w:r>
      <w:r>
        <w:t xml:space="preserve">[43] Nakatoh S, Fujimori K, Ishii S, Tamaki J, Okimoto N, Ogawa S, Iki M. Trends in the incidence of secondary hip fractures and osteoporosis treatment in Japan (FY2012-FY2023). Arch Osteoporos. 2026;21(1):15.</w:t>
      </w:r>
      <w:r>
        <w:t xml:space="preserve"> </w:t>
      </w:r>
      <w:r>
        <w:t xml:space="preserve">[44] Yamamoto N, Sawaguchi T, Matsushita T, et al. Fragility Fracture Network-Japan: the challenge of establishment of a national hip fracture database and successful achievement of nationwide health system change for hip fracture care in Japan. Injury. 2024;55(6):111452.</w:t>
      </w:r>
      <w:r>
        <w:t xml:space="preserve"> </w:t>
      </w:r>
      <w:r>
        <w:t xml:space="preserve">[45] Miyachi M, Tripette J, Kawakami R, Murakami H.</w:t>
      </w:r>
      <w:r>
        <w:t xml:space="preserve"> </w:t>
      </w:r>
      <w:r>
        <w:t xml:space="preserve">“+10 min of physical activity per day”</w:t>
      </w:r>
      <w:r>
        <w:t xml:space="preserve">: Japan is looking for efficient but feasible recommendations for its population. J Nutr Sci Vitaminol (Tokyo). 2015;61 Suppl:S7-9.</w:t>
      </w:r>
      <w:r>
        <w:t xml:space="preserve"> </w:t>
      </w:r>
      <w:r>
        <w:t xml:space="preserve">[46] Murakami H, Tripette J, Kawakami R, Miyachi M.</w:t>
      </w:r>
      <w:r>
        <w:t xml:space="preserve"> </w:t>
      </w:r>
      <w:r>
        <w:t xml:space="preserve">“Add 10 min for your health”</w:t>
      </w:r>
      <w:r>
        <w:t xml:space="preserve">: the new Japanese recommendation for physical activity based on dose-response analysis. J Am Coll Cardiol. 2015;65(11):1153-1154.</w:t>
      </w:r>
      <w:r>
        <w:t xml:space="preserve"> </w:t>
      </w:r>
      <w:r>
        <w:t xml:space="preserve">[47] Sherrington C, Fairhall NJ, Wallbank GK, et al. Exercise for preventing falls in older people living in the community. Cochrane Database Syst Rev. 2019;1(1):CD012424.</w:t>
      </w:r>
      <w:r>
        <w:t xml:space="preserve"> </w:t>
      </w:r>
      <w:r>
        <w:t xml:space="preserve">[48] Rothman KJ, Greenland S, Lash TL. Modern Epidemiology. 3rd ed. Philadelphia: Lippincott Williams &amp; Wilkins; 2008.</w:t>
      </w:r>
    </w:p>
    <w:p>
      <w:r>
        <w:pict>
          <v:rect style="width:0;height:1.5pt" o:hralign="center" o:hrstd="t" o:hr="t"/>
        </w:pict>
      </w:r>
    </w:p>
    <w:bookmarkEnd w:id="50"/>
    <w:bookmarkStart w:id="76" w:name="tables-and-figures"/>
    <w:p>
      <w:pPr>
        <w:pStyle w:val="Heading1"/>
      </w:pPr>
      <w:r>
        <w:t xml:space="preserve">Tables and Figures</w:t>
      </w:r>
    </w:p>
    <w:bookmarkStart w:id="51" w:name="Xd12e5d2fabb7f7da04933f49b094ec2cca003f6"/>
    <w:p>
      <w:pPr>
        <w:pStyle w:val="Heading2"/>
      </w:pPr>
      <w:r>
        <w:t xml:space="preserve">Table 1. Descriptive Statistics of Prefecture-Level Variables (N = 47)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Variable</w:t>
            </w:r>
          </w:p>
        </w:tc>
        <w:tc>
          <w:tcPr/>
          <w:p>
            <w:pPr>
              <w:pStyle w:val="Compact"/>
              <w:jc w:val="left"/>
            </w:pPr>
            <w:r>
              <w:t xml:space="preserve">Unit</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rPr>
                <w:b/>
                <w:bCs/>
              </w:rPr>
              <w:t xml:space="preserve">Outcome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352.75</w:t>
            </w:r>
          </w:p>
        </w:tc>
        <w:tc>
          <w:tcPr/>
          <w:p>
            <w:pPr>
              <w:pStyle w:val="Compact"/>
              <w:jc w:val="right"/>
            </w:pPr>
            <w:r>
              <w:t xml:space="preserve">54.85</w:t>
            </w:r>
          </w:p>
        </w:tc>
        <w:tc>
          <w:tcPr/>
          <w:p>
            <w:pPr>
              <w:pStyle w:val="Compact"/>
              <w:jc w:val="right"/>
            </w:pPr>
            <w:r>
              <w:t xml:space="preserve">249.22</w:t>
            </w:r>
          </w:p>
        </w:tc>
        <w:tc>
          <w:tcPr/>
          <w:p>
            <w:pPr>
              <w:pStyle w:val="Compact"/>
              <w:jc w:val="right"/>
            </w:pPr>
            <w:r>
              <w:t xml:space="preserve">446.68</w:t>
            </w:r>
          </w:p>
        </w:tc>
      </w:tr>
      <w:tr>
        <w:tc>
          <w:tcPr/>
          <w:p>
            <w:pPr>
              <w:pStyle w:val="Compact"/>
              <w:jc w:val="left"/>
            </w:pPr>
            <w:r>
              <w:t xml:space="preserve">Hip (femur)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253.99</w:t>
            </w:r>
          </w:p>
        </w:tc>
        <w:tc>
          <w:tcPr/>
          <w:p>
            <w:pPr>
              <w:pStyle w:val="Compact"/>
              <w:jc w:val="right"/>
            </w:pPr>
            <w:r>
              <w:t xml:space="preserve">37.57</w:t>
            </w:r>
          </w:p>
        </w:tc>
        <w:tc>
          <w:tcPr/>
          <w:p>
            <w:pPr>
              <w:pStyle w:val="Compact"/>
              <w:jc w:val="right"/>
            </w:pPr>
            <w:r>
              <w:t xml:space="preserve">167.61</w:t>
            </w:r>
          </w:p>
        </w:tc>
        <w:tc>
          <w:tcPr/>
          <w:p>
            <w:pPr>
              <w:pStyle w:val="Compact"/>
              <w:jc w:val="right"/>
            </w:pPr>
            <w:r>
              <w:t xml:space="preserve">329.62</w:t>
            </w:r>
          </w:p>
        </w:tc>
      </w:tr>
      <w:tr>
        <w:tc>
          <w:tcPr/>
          <w:p>
            <w:pPr>
              <w:pStyle w:val="Compact"/>
              <w:jc w:val="left"/>
            </w:pPr>
            <w:r>
              <w:t xml:space="preserve">Humerus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35.59</w:t>
            </w:r>
          </w:p>
        </w:tc>
        <w:tc>
          <w:tcPr/>
          <w:p>
            <w:pPr>
              <w:pStyle w:val="Compact"/>
              <w:jc w:val="right"/>
            </w:pPr>
            <w:r>
              <w:t xml:space="preserve">7.52</w:t>
            </w:r>
          </w:p>
        </w:tc>
        <w:tc>
          <w:tcPr/>
          <w:p>
            <w:pPr>
              <w:pStyle w:val="Compact"/>
              <w:jc w:val="right"/>
            </w:pPr>
            <w:r>
              <w:t xml:space="preserve">22.39</w:t>
            </w:r>
          </w:p>
        </w:tc>
        <w:tc>
          <w:tcPr/>
          <w:p>
            <w:pPr>
              <w:pStyle w:val="Compact"/>
              <w:jc w:val="right"/>
            </w:pPr>
            <w:r>
              <w:t xml:space="preserve">50.45</w:t>
            </w:r>
          </w:p>
        </w:tc>
      </w:tr>
      <w:tr>
        <w:tc>
          <w:tcPr/>
          <w:p>
            <w:pPr>
              <w:pStyle w:val="Compact"/>
              <w:jc w:val="left"/>
            </w:pPr>
            <w:r>
              <w:t xml:space="preserve">Forearm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63.18</w:t>
            </w:r>
          </w:p>
        </w:tc>
        <w:tc>
          <w:tcPr/>
          <w:p>
            <w:pPr>
              <w:pStyle w:val="Compact"/>
              <w:jc w:val="right"/>
            </w:pPr>
            <w:r>
              <w:t xml:space="preserve">15.59</w:t>
            </w:r>
          </w:p>
        </w:tc>
        <w:tc>
          <w:tcPr/>
          <w:p>
            <w:pPr>
              <w:pStyle w:val="Compact"/>
              <w:jc w:val="right"/>
            </w:pPr>
            <w:r>
              <w:t xml:space="preserve">33.49</w:t>
            </w:r>
          </w:p>
        </w:tc>
        <w:tc>
          <w:tcPr/>
          <w:p>
            <w:pPr>
              <w:pStyle w:val="Compact"/>
              <w:jc w:val="right"/>
            </w:pPr>
            <w:r>
              <w:t xml:space="preserve">106.33</w:t>
            </w:r>
          </w:p>
        </w:tc>
      </w:tr>
      <w:tr>
        <w:tc>
          <w:tcPr/>
          <w:p>
            <w:pPr>
              <w:pStyle w:val="Compact"/>
              <w:jc w:val="left"/>
            </w:pPr>
            <w:r>
              <w:rPr>
                <w:b/>
                <w:bCs/>
              </w:rPr>
              <w:t xml:space="preserve">Exposure variable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Habitable-area-weighted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8.57</w:t>
            </w:r>
          </w:p>
        </w:tc>
        <w:tc>
          <w:tcPr/>
          <w:p>
            <w:pPr>
              <w:pStyle w:val="Compact"/>
              <w:jc w:val="right"/>
            </w:pPr>
            <w:r>
              <w:t xml:space="preserve">3.16</w:t>
            </w:r>
          </w:p>
        </w:tc>
        <w:tc>
          <w:tcPr/>
          <w:p>
            <w:pPr>
              <w:pStyle w:val="Compact"/>
              <w:jc w:val="right"/>
            </w:pPr>
            <w:r>
              <w:t xml:space="preserve">1.81</w:t>
            </w:r>
          </w:p>
        </w:tc>
        <w:tc>
          <w:tcPr/>
          <w:p>
            <w:pPr>
              <w:pStyle w:val="Compact"/>
              <w:jc w:val="right"/>
            </w:pPr>
            <w:r>
              <w:t xml:space="preserve">15.43</w:t>
            </w:r>
          </w:p>
        </w:tc>
      </w:tr>
      <w:tr>
        <w:tc>
          <w:tcPr/>
          <w:p>
            <w:pPr>
              <w:pStyle w:val="Compact"/>
              <w:jc w:val="left"/>
            </w:pPr>
            <w:r>
              <w:t xml:space="preserve">Simple mean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8.28</w:t>
            </w:r>
          </w:p>
        </w:tc>
        <w:tc>
          <w:tcPr/>
          <w:p>
            <w:pPr>
              <w:pStyle w:val="Compact"/>
              <w:jc w:val="right"/>
            </w:pPr>
            <w:r>
              <w:t xml:space="preserve">2.90</w:t>
            </w:r>
          </w:p>
        </w:tc>
        <w:tc>
          <w:tcPr/>
          <w:p>
            <w:pPr>
              <w:pStyle w:val="Compact"/>
              <w:jc w:val="right"/>
            </w:pPr>
            <w:r>
              <w:t xml:space="preserve">1.88</w:t>
            </w:r>
          </w:p>
        </w:tc>
        <w:tc>
          <w:tcPr/>
          <w:p>
            <w:pPr>
              <w:pStyle w:val="Compact"/>
              <w:jc w:val="right"/>
            </w:pPr>
            <w:r>
              <w:t xml:space="preserve">14.22</w:t>
            </w:r>
          </w:p>
        </w:tc>
      </w:tr>
      <w:tr>
        <w:tc>
          <w:tcPr/>
          <w:p>
            <w:pPr>
              <w:pStyle w:val="Compact"/>
              <w:jc w:val="left"/>
            </w:pPr>
            <w:r>
              <w:rPr>
                <w:b/>
                <w:bCs/>
              </w:rPr>
              <w:t xml:space="preserve">Covariate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Aging rate (≥65 years)</w:t>
            </w:r>
          </w:p>
        </w:tc>
        <w:tc>
          <w:tcPr/>
          <w:p>
            <w:pPr>
              <w:pStyle w:val="Compact"/>
              <w:jc w:val="left"/>
            </w:pPr>
            <w:r>
              <w:t xml:space="preserve">%</w:t>
            </w:r>
          </w:p>
        </w:tc>
        <w:tc>
          <w:tcPr/>
          <w:p>
            <w:pPr>
              <w:pStyle w:val="Compact"/>
              <w:jc w:val="right"/>
            </w:pPr>
            <w:r>
              <w:t xml:space="preserve">47</w:t>
            </w:r>
          </w:p>
        </w:tc>
        <w:tc>
          <w:tcPr/>
          <w:p>
            <w:pPr>
              <w:pStyle w:val="Compact"/>
              <w:jc w:val="right"/>
            </w:pPr>
            <w:r>
              <w:t xml:space="preserve">30.74</w:t>
            </w:r>
          </w:p>
        </w:tc>
        <w:tc>
          <w:tcPr/>
          <w:p>
            <w:pPr>
              <w:pStyle w:val="Compact"/>
              <w:jc w:val="right"/>
            </w:pPr>
            <w:r>
              <w:t xml:space="preserve">3.10</w:t>
            </w:r>
          </w:p>
        </w:tc>
        <w:tc>
          <w:tcPr/>
          <w:p>
            <w:pPr>
              <w:pStyle w:val="Compact"/>
              <w:jc w:val="right"/>
            </w:pPr>
            <w:r>
              <w:t xml:space="preserve">22.61</w:t>
            </w:r>
          </w:p>
        </w:tc>
        <w:tc>
          <w:tcPr/>
          <w:p>
            <w:pPr>
              <w:pStyle w:val="Compact"/>
              <w:jc w:val="right"/>
            </w:pPr>
            <w:r>
              <w:t xml:space="preserve">36.45</w:t>
            </w:r>
          </w:p>
        </w:tc>
      </w:tr>
      <w:tr>
        <w:tc>
          <w:tcPr/>
          <w:p>
            <w:pPr>
              <w:pStyle w:val="Compact"/>
              <w:jc w:val="left"/>
            </w:pPr>
            <w:r>
              <w:t xml:space="preserve">Fast walking rate</w:t>
            </w:r>
          </w:p>
        </w:tc>
        <w:tc>
          <w:tcPr/>
          <w:p>
            <w:pPr>
              <w:pStyle w:val="Compact"/>
              <w:jc w:val="left"/>
            </w:pPr>
            <w:r>
              <w:t xml:space="preserve">%</w:t>
            </w:r>
          </w:p>
        </w:tc>
        <w:tc>
          <w:tcPr/>
          <w:p>
            <w:pPr>
              <w:pStyle w:val="Compact"/>
              <w:jc w:val="right"/>
            </w:pPr>
            <w:r>
              <w:t xml:space="preserve">47</w:t>
            </w:r>
          </w:p>
        </w:tc>
        <w:tc>
          <w:tcPr/>
          <w:p>
            <w:pPr>
              <w:pStyle w:val="Compact"/>
              <w:jc w:val="right"/>
            </w:pPr>
            <w:r>
              <w:t xml:space="preserve">48.62</w:t>
            </w:r>
          </w:p>
        </w:tc>
        <w:tc>
          <w:tcPr/>
          <w:p>
            <w:pPr>
              <w:pStyle w:val="Compact"/>
              <w:jc w:val="right"/>
            </w:pPr>
            <w:r>
              <w:t xml:space="preserve">4.34</w:t>
            </w:r>
          </w:p>
        </w:tc>
        <w:tc>
          <w:tcPr/>
          <w:p>
            <w:pPr>
              <w:pStyle w:val="Compact"/>
              <w:jc w:val="right"/>
            </w:pPr>
            <w:r>
              <w:t xml:space="preserve">29.79</w:t>
            </w:r>
          </w:p>
        </w:tc>
        <w:tc>
          <w:tcPr/>
          <w:p>
            <w:pPr>
              <w:pStyle w:val="Compact"/>
              <w:jc w:val="right"/>
            </w:pPr>
            <w:r>
              <w:t xml:space="preserve">57.30</w:t>
            </w:r>
          </w:p>
        </w:tc>
      </w:tr>
      <w:tr>
        <w:tc>
          <w:tcPr/>
          <w:p>
            <w:pPr>
              <w:pStyle w:val="Compact"/>
              <w:jc w:val="left"/>
            </w:pPr>
            <w:r>
              <w:t xml:space="preserve">Population density</w:t>
            </w:r>
          </w:p>
        </w:tc>
        <w:tc>
          <w:tcPr/>
          <w:p>
            <w:pPr>
              <w:pStyle w:val="Compact"/>
              <w:jc w:val="left"/>
            </w:pPr>
            <w:r>
              <w:t xml:space="preserve">persons/km²</w:t>
            </w:r>
          </w:p>
        </w:tc>
        <w:tc>
          <w:tcPr/>
          <w:p>
            <w:pPr>
              <w:pStyle w:val="Compact"/>
              <w:jc w:val="right"/>
            </w:pPr>
            <w:r>
              <w:t xml:space="preserve">47</w:t>
            </w:r>
          </w:p>
        </w:tc>
        <w:tc>
          <w:tcPr/>
          <w:p>
            <w:pPr>
              <w:pStyle w:val="Compact"/>
              <w:jc w:val="right"/>
            </w:pPr>
            <w:r>
              <w:t xml:space="preserve">657</w:t>
            </w:r>
          </w:p>
        </w:tc>
        <w:tc>
          <w:tcPr/>
          <w:p>
            <w:pPr>
              <w:pStyle w:val="Compact"/>
              <w:jc w:val="right"/>
            </w:pPr>
            <w:r>
              <w:t xml:space="preserve">1,223</w:t>
            </w:r>
          </w:p>
        </w:tc>
        <w:tc>
          <w:tcPr/>
          <w:p>
            <w:pPr>
              <w:pStyle w:val="Compact"/>
              <w:jc w:val="right"/>
            </w:pPr>
            <w:r>
              <w:t xml:space="preserve">62.63</w:t>
            </w:r>
          </w:p>
        </w:tc>
        <w:tc>
          <w:tcPr/>
          <w:p>
            <w:pPr>
              <w:pStyle w:val="Compact"/>
              <w:jc w:val="right"/>
            </w:pPr>
            <w:r>
              <w:t xml:space="preserve">6,402.64</w:t>
            </w:r>
          </w:p>
        </w:tc>
      </w:tr>
    </w:tbl>
    <w:p>
      <w:r>
        <w:pict>
          <v:rect style="width:0;height:1.5pt" o:hralign="center" o:hrstd="t" o:hr="t"/>
        </w:pict>
      </w:r>
    </w:p>
    <w:bookmarkEnd w:id="51"/>
    <w:bookmarkStart w:id="52" w:name="Xc4d8efe96bb5dc084b3a6055df59151a4b74ad0"/>
    <w:p>
      <w:pPr>
        <w:pStyle w:val="Heading2"/>
      </w:pPr>
      <w:r>
        <w:t xml:space="preserve">Table 2. Pearson Correlation Matrix of Study Variables (N = 47)</w:t>
      </w:r>
    </w:p>
    <w:tbl>
      <w:tblPr>
        <w:tblStyle w:val="Table"/>
        <w:tblW w:type="pct" w:w="5000"/>
        <w:tblLayout w:type="fixed"/>
        <w:tblLook w:firstRow="1" w:lastRow="0" w:firstColumn="0" w:lastColumn="0" w:noHBand="0" w:noVBand="0" w:val="0020"/>
      </w:tblPr>
      <w:tblGrid>
        <w:gridCol w:w="856"/>
        <w:gridCol w:w="1070"/>
        <w:gridCol w:w="856"/>
        <w:gridCol w:w="856"/>
        <w:gridCol w:w="856"/>
        <w:gridCol w:w="856"/>
        <w:gridCol w:w="856"/>
        <w:gridCol w:w="856"/>
        <w:gridCol w:w="856"/>
      </w:tblGrid>
      <w:tr>
        <w:trPr>
          <w:tblHeader w:val="on"/>
        </w:trPr>
        <w:tc>
          <w:tcPr/>
          <w:p>
            <w:pPr>
              <w:pStyle w:val="Compact"/>
              <w:jc w:val="left"/>
            </w:pPr>
            <w:r>
              <w:t xml:space="preserve">Variable</w:t>
            </w:r>
          </w:p>
        </w:tc>
        <w:tc>
          <w:tcPr/>
          <w:p>
            <w:pPr>
              <w:pStyle w:val="Compact"/>
              <w:jc w:val="center"/>
            </w:pPr>
            <w:r>
              <w:t xml:space="preserve">Hip Fracture</w:t>
            </w:r>
          </w:p>
        </w:tc>
        <w:tc>
          <w:tcPr/>
          <w:p>
            <w:pPr>
              <w:pStyle w:val="Compact"/>
              <w:jc w:val="right"/>
            </w:pPr>
            <w:r>
              <w:t xml:space="preserve">Total Fracture</w:t>
            </w:r>
          </w:p>
        </w:tc>
        <w:tc>
          <w:tcPr/>
          <w:p>
            <w:pPr>
              <w:pStyle w:val="Compact"/>
              <w:jc w:val="right"/>
            </w:pPr>
            <w:r>
              <w:t xml:space="preserve">Humerus Fracture</w:t>
            </w:r>
          </w:p>
        </w:tc>
        <w:tc>
          <w:tcPr/>
          <w:p>
            <w:pPr>
              <w:pStyle w:val="Compact"/>
              <w:jc w:val="right"/>
            </w:pPr>
            <w:r>
              <w:t xml:space="preserve">Forearm Fracture</w:t>
            </w:r>
          </w:p>
        </w:tc>
        <w:tc>
          <w:tcPr/>
          <w:p>
            <w:pPr>
              <w:pStyle w:val="Compact"/>
              <w:jc w:val="right"/>
            </w:pPr>
            <w:r>
              <w:t xml:space="preserve">Terrain Slope</w:t>
            </w:r>
          </w:p>
        </w:tc>
        <w:tc>
          <w:tcPr/>
          <w:p>
            <w:pPr>
              <w:pStyle w:val="Compact"/>
              <w:jc w:val="right"/>
            </w:pPr>
            <w:r>
              <w:t xml:space="preserve">Aging Rate</w:t>
            </w:r>
          </w:p>
        </w:tc>
        <w:tc>
          <w:tcPr/>
          <w:p>
            <w:pPr>
              <w:pStyle w:val="Compact"/>
              <w:jc w:val="right"/>
            </w:pPr>
            <w:r>
              <w:t xml:space="preserve">Fast Walking Rate</w:t>
            </w:r>
          </w:p>
        </w:tc>
        <w:tc>
          <w:tcPr/>
          <w:p>
            <w:pPr>
              <w:pStyle w:val="Compact"/>
              <w:jc w:val="right"/>
            </w:pPr>
            <w:r>
              <w:t xml:space="preserve">Pop Density</w:t>
            </w:r>
          </w:p>
        </w:tc>
      </w:tr>
      <w:tr>
        <w:tc>
          <w:tcPr/>
          <w:p>
            <w:pPr>
              <w:pStyle w:val="Compact"/>
              <w:jc w:val="left"/>
            </w:pPr>
            <w:r>
              <w:t xml:space="preserve">Hip Fracture</w:t>
            </w:r>
          </w:p>
        </w:tc>
        <w:tc>
          <w:tcPr/>
          <w:p>
            <w:pPr>
              <w:pStyle w:val="Compact"/>
              <w:jc w:val="center"/>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w:t>
            </w:r>
          </w:p>
        </w:tc>
        <w:tc>
          <w:tcPr/>
          <w:p>
            <w:pPr>
              <w:pStyle w:val="Compact"/>
              <w:jc w:val="center"/>
            </w:pPr>
            <w:r>
              <w:t xml:space="preserve">0.962***</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Humerus Fracture</w:t>
            </w:r>
          </w:p>
        </w:tc>
        <w:tc>
          <w:tcPr/>
          <w:p>
            <w:pPr>
              <w:pStyle w:val="Compact"/>
              <w:jc w:val="center"/>
            </w:pPr>
            <w:r>
              <w:t xml:space="preserve">0.697***</w:t>
            </w:r>
          </w:p>
        </w:tc>
        <w:tc>
          <w:tcPr/>
          <w:p>
            <w:pPr>
              <w:pStyle w:val="Compact"/>
              <w:jc w:val="right"/>
            </w:pPr>
            <w:r>
              <w:t xml:space="preserve">0.801***</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Forearm Fracture</w:t>
            </w:r>
          </w:p>
        </w:tc>
        <w:tc>
          <w:tcPr/>
          <w:p>
            <w:pPr>
              <w:pStyle w:val="Compact"/>
              <w:jc w:val="center"/>
            </w:pPr>
            <w:r>
              <w:t xml:space="preserve">0.640***</w:t>
            </w:r>
          </w:p>
        </w:tc>
        <w:tc>
          <w:tcPr/>
          <w:p>
            <w:pPr>
              <w:pStyle w:val="Compact"/>
              <w:jc w:val="right"/>
            </w:pPr>
            <w:r>
              <w:t xml:space="preserve">0.813***</w:t>
            </w:r>
          </w:p>
        </w:tc>
        <w:tc>
          <w:tcPr/>
          <w:p>
            <w:pPr>
              <w:pStyle w:val="Compact"/>
              <w:jc w:val="right"/>
            </w:pPr>
            <w:r>
              <w:t xml:space="preserve">0.656***</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Terrain Slope</w:t>
            </w:r>
          </w:p>
        </w:tc>
        <w:tc>
          <w:tcPr/>
          <w:p>
            <w:pPr>
              <w:pStyle w:val="Compact"/>
              <w:jc w:val="center"/>
            </w:pPr>
            <w:r>
              <w:t xml:space="preserve">0.475***</w:t>
            </w:r>
          </w:p>
        </w:tc>
        <w:tc>
          <w:tcPr/>
          <w:p>
            <w:pPr>
              <w:pStyle w:val="Compact"/>
              <w:jc w:val="right"/>
            </w:pPr>
            <w:r>
              <w:t xml:space="preserve">0.394**</w:t>
            </w:r>
          </w:p>
        </w:tc>
        <w:tc>
          <w:tcPr/>
          <w:p>
            <w:pPr>
              <w:pStyle w:val="Compact"/>
              <w:jc w:val="right"/>
            </w:pPr>
            <w:r>
              <w:t xml:space="preserve">0.138</w:t>
            </w:r>
          </w:p>
        </w:tc>
        <w:tc>
          <w:tcPr/>
          <w:p>
            <w:pPr>
              <w:pStyle w:val="Compact"/>
              <w:jc w:val="right"/>
            </w:pPr>
            <w:r>
              <w:t xml:space="preserve">0.177</w:t>
            </w:r>
          </w:p>
        </w:tc>
        <w:tc>
          <w:tcPr/>
          <w:p>
            <w:pPr>
              <w:pStyle w:val="Compact"/>
              <w:jc w:val="right"/>
            </w:pPr>
            <w:r>
              <w:t xml:space="preserve">1.000</w:t>
            </w:r>
          </w:p>
        </w:tc>
        <w:tc>
          <w:tcPr/>
          <w:p>
            <w:pPr>
              <w:pStyle w:val="Compact"/>
            </w:pPr>
          </w:p>
        </w:tc>
        <w:tc>
          <w:tcPr/>
          <w:p>
            <w:pPr>
              <w:pStyle w:val="Compact"/>
            </w:pPr>
          </w:p>
        </w:tc>
        <w:tc>
          <w:tcPr/>
          <w:p>
            <w:pPr>
              <w:pStyle w:val="Compact"/>
            </w:pPr>
          </w:p>
        </w:tc>
      </w:tr>
      <w:tr>
        <w:tc>
          <w:tcPr/>
          <w:p>
            <w:pPr>
              <w:pStyle w:val="Compact"/>
              <w:jc w:val="left"/>
            </w:pPr>
            <w:r>
              <w:t xml:space="preserve">Aging Rate</w:t>
            </w:r>
          </w:p>
        </w:tc>
        <w:tc>
          <w:tcPr/>
          <w:p>
            <w:pPr>
              <w:pStyle w:val="Compact"/>
              <w:jc w:val="center"/>
            </w:pPr>
            <w:r>
              <w:t xml:space="preserve">0.533***</w:t>
            </w:r>
          </w:p>
        </w:tc>
        <w:tc>
          <w:tcPr/>
          <w:p>
            <w:pPr>
              <w:pStyle w:val="Compact"/>
              <w:jc w:val="right"/>
            </w:pPr>
            <w:r>
              <w:t xml:space="preserve">0.430**</w:t>
            </w:r>
          </w:p>
        </w:tc>
        <w:tc>
          <w:tcPr/>
          <w:p>
            <w:pPr>
              <w:pStyle w:val="Compact"/>
              <w:jc w:val="right"/>
            </w:pPr>
            <w:r>
              <w:t xml:space="preserve">0.152</w:t>
            </w:r>
          </w:p>
        </w:tc>
        <w:tc>
          <w:tcPr/>
          <w:p>
            <w:pPr>
              <w:pStyle w:val="Compact"/>
              <w:jc w:val="right"/>
            </w:pPr>
            <w:r>
              <w:t xml:space="preserve">0.156</w:t>
            </w:r>
          </w:p>
        </w:tc>
        <w:tc>
          <w:tcPr/>
          <w:p>
            <w:pPr>
              <w:pStyle w:val="Compact"/>
              <w:jc w:val="right"/>
            </w:pPr>
            <w:r>
              <w:t xml:space="preserve">0.505***</w:t>
            </w:r>
          </w:p>
        </w:tc>
        <w:tc>
          <w:tcPr/>
          <w:p>
            <w:pPr>
              <w:pStyle w:val="Compact"/>
              <w:jc w:val="right"/>
            </w:pPr>
            <w:r>
              <w:t xml:space="preserve">1.000</w:t>
            </w:r>
          </w:p>
        </w:tc>
        <w:tc>
          <w:tcPr/>
          <w:p>
            <w:pPr>
              <w:pStyle w:val="Compact"/>
            </w:pPr>
          </w:p>
        </w:tc>
        <w:tc>
          <w:tcPr/>
          <w:p>
            <w:pPr>
              <w:pStyle w:val="Compact"/>
            </w:pPr>
          </w:p>
        </w:tc>
      </w:tr>
      <w:tr>
        <w:tc>
          <w:tcPr/>
          <w:p>
            <w:pPr>
              <w:pStyle w:val="Compact"/>
              <w:jc w:val="left"/>
            </w:pPr>
            <w:r>
              <w:t xml:space="preserve">Fast Walking Rate</w:t>
            </w:r>
          </w:p>
        </w:tc>
        <w:tc>
          <w:tcPr/>
          <w:p>
            <w:pPr>
              <w:pStyle w:val="Compact"/>
              <w:jc w:val="center"/>
            </w:pPr>
            <w:r>
              <w:t xml:space="preserve">−0.044</w:t>
            </w:r>
          </w:p>
        </w:tc>
        <w:tc>
          <w:tcPr/>
          <w:p>
            <w:pPr>
              <w:pStyle w:val="Compact"/>
              <w:jc w:val="right"/>
            </w:pPr>
            <w:r>
              <w:t xml:space="preserve">0.011</w:t>
            </w:r>
          </w:p>
        </w:tc>
        <w:tc>
          <w:tcPr/>
          <w:p>
            <w:pPr>
              <w:pStyle w:val="Compact"/>
              <w:jc w:val="right"/>
            </w:pPr>
            <w:r>
              <w:t xml:space="preserve">0.177</w:t>
            </w:r>
          </w:p>
        </w:tc>
        <w:tc>
          <w:tcPr/>
          <w:p>
            <w:pPr>
              <w:pStyle w:val="Compact"/>
              <w:jc w:val="right"/>
            </w:pPr>
            <w:r>
              <w:t xml:space="preserve">0.060</w:t>
            </w:r>
          </w:p>
        </w:tc>
        <w:tc>
          <w:tcPr/>
          <w:p>
            <w:pPr>
              <w:pStyle w:val="Compact"/>
              <w:jc w:val="right"/>
            </w:pPr>
            <w:r>
              <w:t xml:space="preserve">−0.264</w:t>
            </w:r>
          </w:p>
        </w:tc>
        <w:tc>
          <w:tcPr/>
          <w:p>
            <w:pPr>
              <w:pStyle w:val="Compact"/>
              <w:jc w:val="right"/>
            </w:pPr>
            <w:r>
              <w:t xml:space="preserve">−0.406**</w:t>
            </w:r>
          </w:p>
        </w:tc>
        <w:tc>
          <w:tcPr/>
          <w:p>
            <w:pPr>
              <w:pStyle w:val="Compact"/>
              <w:jc w:val="right"/>
            </w:pPr>
            <w:r>
              <w:t xml:space="preserve">1.000</w:t>
            </w:r>
          </w:p>
        </w:tc>
        <w:tc>
          <w:tcPr/>
          <w:p>
            <w:pPr>
              <w:pStyle w:val="Compact"/>
            </w:pPr>
          </w:p>
        </w:tc>
      </w:tr>
      <w:tr>
        <w:tc>
          <w:tcPr/>
          <w:p>
            <w:pPr>
              <w:pStyle w:val="Compact"/>
              <w:jc w:val="left"/>
            </w:pPr>
            <w:r>
              <w:t xml:space="preserve">Pop Density</w:t>
            </w:r>
          </w:p>
        </w:tc>
        <w:tc>
          <w:tcPr/>
          <w:p>
            <w:pPr>
              <w:pStyle w:val="Compact"/>
              <w:jc w:val="center"/>
            </w:pPr>
            <w:r>
              <w:t xml:space="preserve">−0.336*</w:t>
            </w:r>
          </w:p>
        </w:tc>
        <w:tc>
          <w:tcPr/>
          <w:p>
            <w:pPr>
              <w:pStyle w:val="Compact"/>
              <w:jc w:val="right"/>
            </w:pPr>
            <w:r>
              <w:t xml:space="preserve">−0.238</w:t>
            </w:r>
          </w:p>
        </w:tc>
        <w:tc>
          <w:tcPr/>
          <w:p>
            <w:pPr>
              <w:pStyle w:val="Compact"/>
              <w:jc w:val="right"/>
            </w:pPr>
            <w:r>
              <w:t xml:space="preserve">0.006</w:t>
            </w:r>
          </w:p>
        </w:tc>
        <w:tc>
          <w:tcPr/>
          <w:p>
            <w:pPr>
              <w:pStyle w:val="Compact"/>
              <w:jc w:val="right"/>
            </w:pPr>
            <w:r>
              <w:t xml:space="preserve">−0.032</w:t>
            </w:r>
          </w:p>
        </w:tc>
        <w:tc>
          <w:tcPr/>
          <w:p>
            <w:pPr>
              <w:pStyle w:val="Compact"/>
              <w:jc w:val="right"/>
            </w:pPr>
            <w:r>
              <w:t xml:space="preserve">−0.345*</w:t>
            </w:r>
          </w:p>
        </w:tc>
        <w:tc>
          <w:tcPr/>
          <w:p>
            <w:pPr>
              <w:pStyle w:val="Compact"/>
              <w:jc w:val="right"/>
            </w:pPr>
            <w:r>
              <w:t xml:space="preserve">−0.628***</w:t>
            </w:r>
          </w:p>
        </w:tc>
        <w:tc>
          <w:tcPr/>
          <w:p>
            <w:pPr>
              <w:pStyle w:val="Compact"/>
              <w:jc w:val="right"/>
            </w:pPr>
            <w:r>
              <w:t xml:space="preserve">0.381**</w:t>
            </w:r>
          </w:p>
        </w:tc>
        <w:tc>
          <w:tcPr/>
          <w:p>
            <w:pPr>
              <w:pStyle w:val="Compact"/>
              <w:jc w:val="right"/>
            </w:pPr>
            <w:r>
              <w:t xml:space="preserve">1.000</w:t>
            </w:r>
          </w:p>
        </w:tc>
      </w:tr>
    </w:tbl>
    <w:p>
      <w:pPr>
        <w:pStyle w:val="BodyText"/>
      </w:pPr>
      <w:r>
        <w:rPr>
          <w:i/>
          <w:iCs/>
        </w:rPr>
        <w:t xml:space="preserve">p</w:t>
      </w:r>
      <w:r>
        <w:t xml:space="preserve"> </w:t>
      </w:r>
      <w:r>
        <w:t xml:space="preserve">&lt; 0.05 (</w:t>
      </w:r>
      <w:r>
        <w:rPr>
          <w:i/>
          <w:iCs/>
        </w:rPr>
        <w:t xml:space="preserve">),</w:t>
      </w:r>
      <w:r>
        <w:rPr>
          <w:i/>
          <w:iCs/>
        </w:rPr>
        <w:t xml:space="preserve"> </w:t>
      </w:r>
      <w:r>
        <w:t xml:space="preserve">p* &lt; 0.01 (</w:t>
      </w:r>
      <w:r>
        <w:rPr>
          <w:b/>
          <w:bCs/>
        </w:rPr>
        <w:t xml:space="preserve">),</w:t>
      </w:r>
      <w:r>
        <w:rPr>
          <w:b/>
          <w:bCs/>
        </w:rPr>
        <w:t xml:space="preserve"> </w:t>
      </w:r>
      <w:r>
        <w:rPr>
          <w:b/>
          <w:bCs/>
          <w:i/>
          <w:iCs/>
        </w:rPr>
        <w:t xml:space="preserve">p</w:t>
      </w:r>
      <w:r>
        <w:rPr>
          <w:b/>
          <w:bCs/>
        </w:rPr>
        <w:t xml:space="preserve"> </w:t>
      </w:r>
      <w:r>
        <w:rPr>
          <w:b/>
          <w:bCs/>
        </w:rPr>
        <w:t xml:space="preserve">&lt; 0.001 (</w:t>
      </w:r>
      <w:r>
        <w:t xml:space="preserve">*).</w:t>
      </w:r>
    </w:p>
    <w:p>
      <w:r>
        <w:pict>
          <v:rect style="width:0;height:1.5pt" o:hralign="center" o:hrstd="t" o:hr="t"/>
        </w:pict>
      </w:r>
    </w:p>
    <w:bookmarkEnd w:id="52"/>
    <w:bookmarkStart w:id="53" w:name="X6fac7f2e493ef5b618f5ac39729b4328cfa1bc7"/>
    <w:p>
      <w:pPr>
        <w:pStyle w:val="Heading2"/>
      </w:pPr>
      <w:r>
        <w:t xml:space="preserve">Table 3. Linear Regression Analysis: Association between Terrain Slope and Hip Fracture Surgery Rate (N = 47)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rPr>
                <w:b/>
                <w:bCs/>
              </w:rPr>
              <w:t xml:space="preserve">Model 1</w:t>
            </w:r>
            <w:r>
              <w:t xml:space="preserve"> </w:t>
            </w:r>
            <w:r>
              <w:t xml:space="preserve">(Unadjusted)</w:t>
            </w:r>
          </w:p>
        </w:tc>
        <w:tc>
          <w:tcPr/>
          <w:p>
            <w:pPr>
              <w:pStyle w:val="Compact"/>
            </w:pPr>
          </w:p>
        </w:tc>
        <w:tc>
          <w:tcPr/>
          <w:p>
            <w:pPr>
              <w:pStyle w:val="Compact"/>
              <w:jc w:val="right"/>
            </w:pPr>
            <w:r>
              <w:rPr>
                <w:b/>
                <w:bCs/>
              </w:rPr>
              <w:t xml:space="preserve">Model 2</w:t>
            </w:r>
            <w:r>
              <w:t xml:space="preserve"> </w:t>
            </w:r>
            <w:r>
              <w:t xml:space="preserve">(Multivariable)</w:t>
            </w:r>
          </w:p>
        </w:tc>
        <w:tc>
          <w:tcPr/>
          <w:p>
            <w:pPr>
              <w:pStyle w:val="Compact"/>
            </w:pPr>
          </w:p>
        </w:tc>
      </w:tr>
      <w:tr>
        <w:tc>
          <w:tcPr/>
          <w:p>
            <w:pPr>
              <w:pStyle w:val="Compact"/>
              <w:jc w:val="left"/>
            </w:pPr>
            <w:r>
              <w:rPr>
                <w:b/>
                <w:bCs/>
              </w:rPr>
              <w:t xml:space="preserve">Variable</w:t>
            </w:r>
          </w:p>
        </w:tc>
        <w:tc>
          <w:tcPr/>
          <w:p>
            <w:pPr>
              <w:pStyle w:val="Compact"/>
              <w:jc w:val="right"/>
            </w:pPr>
            <w:r>
              <w:rPr>
                <w:b/>
                <w:bCs/>
              </w:rPr>
              <w:t xml:space="preserve">β (95% CI)</w:t>
            </w:r>
          </w:p>
        </w:tc>
        <w:tc>
          <w:tcPr/>
          <w:p>
            <w:pPr>
              <w:pStyle w:val="Compact"/>
              <w:jc w:val="right"/>
            </w:pPr>
            <w:r>
              <w:rPr>
                <w:b/>
                <w:bCs/>
                <w:i/>
                <w:iCs/>
              </w:rPr>
              <w:t xml:space="preserve">p</w:t>
            </w:r>
          </w:p>
        </w:tc>
        <w:tc>
          <w:tcPr/>
          <w:p>
            <w:pPr>
              <w:pStyle w:val="Compact"/>
              <w:jc w:val="right"/>
            </w:pPr>
            <w:r>
              <w:rPr>
                <w:b/>
                <w:bCs/>
              </w:rPr>
              <w:t xml:space="preserve">β (95% CI)</w:t>
            </w:r>
          </w:p>
        </w:tc>
        <w:tc>
          <w:tcPr/>
          <w:p>
            <w:pPr>
              <w:pStyle w:val="Compact"/>
              <w:jc w:val="right"/>
            </w:pPr>
            <w:r>
              <w:rPr>
                <w:b/>
                <w:bCs/>
                <w:i/>
                <w:iCs/>
              </w:rPr>
              <w:t xml:space="preserve">p</w:t>
            </w:r>
          </w:p>
        </w:tc>
      </w:tr>
      <w:tr>
        <w:tc>
          <w:tcPr/>
          <w:p>
            <w:pPr>
              <w:pStyle w:val="Compact"/>
              <w:jc w:val="left"/>
            </w:pPr>
            <w:r>
              <w:t xml:space="preserve">Terrain slope (per 1 degree)</w:t>
            </w:r>
          </w:p>
        </w:tc>
        <w:tc>
          <w:tcPr/>
          <w:p>
            <w:pPr>
              <w:pStyle w:val="Compact"/>
              <w:jc w:val="right"/>
            </w:pPr>
            <w:r>
              <w:rPr>
                <w:b/>
                <w:bCs/>
              </w:rPr>
              <w:t xml:space="preserve">5.65 (2.50, 8.79)</w:t>
            </w:r>
          </w:p>
        </w:tc>
        <w:tc>
          <w:tcPr/>
          <w:p>
            <w:pPr>
              <w:pStyle w:val="Compact"/>
              <w:jc w:val="right"/>
            </w:pPr>
            <w:r>
              <w:rPr>
                <w:b/>
                <w:bCs/>
              </w:rPr>
              <w:t xml:space="preserve">0.001</w:t>
            </w:r>
          </w:p>
        </w:tc>
        <w:tc>
          <w:tcPr/>
          <w:p>
            <w:pPr>
              <w:pStyle w:val="Compact"/>
              <w:jc w:val="right"/>
            </w:pPr>
            <w:r>
              <w:rPr>
                <w:b/>
                <w:bCs/>
              </w:rPr>
              <w:t xml:space="preserve">3.49 (0.11, 6.86)</w:t>
            </w:r>
          </w:p>
        </w:tc>
        <w:tc>
          <w:tcPr/>
          <w:p>
            <w:pPr>
              <w:pStyle w:val="Compact"/>
              <w:jc w:val="right"/>
            </w:pPr>
            <w:r>
              <w:rPr>
                <w:b/>
                <w:bCs/>
              </w:rPr>
              <w:t xml:space="preserve">0.043</w:t>
            </w:r>
          </w:p>
        </w:tc>
      </w:tr>
      <w:tr>
        <w:tc>
          <w:tcPr/>
          <w:p>
            <w:pPr>
              <w:pStyle w:val="Compact"/>
              <w:jc w:val="left"/>
            </w:pPr>
            <w:r>
              <w:t xml:space="preserve">Aging rate (per 1%)</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5.53 (1.32, 9.74)</w:t>
            </w:r>
          </w:p>
        </w:tc>
        <w:tc>
          <w:tcPr/>
          <w:p>
            <w:pPr>
              <w:pStyle w:val="Compact"/>
              <w:jc w:val="right"/>
            </w:pPr>
            <w:r>
              <w:rPr>
                <w:b/>
                <w:bCs/>
              </w:rPr>
              <w:t xml:space="preserve">0.011</w:t>
            </w:r>
          </w:p>
        </w:tc>
      </w:tr>
      <w:tr>
        <w:tc>
          <w:tcPr/>
          <w:p>
            <w:pPr>
              <w:pStyle w:val="Compact"/>
              <w:jc w:val="left"/>
            </w:pPr>
            <w:r>
              <w:t xml:space="preserve">Fast walking rate (per 1%)</w:t>
            </w:r>
          </w:p>
        </w:tc>
        <w:tc>
          <w:tcPr/>
          <w:p>
            <w:pPr>
              <w:pStyle w:val="Compact"/>
              <w:jc w:val="right"/>
            </w:pPr>
            <w:r>
              <w:t xml:space="preserve">—</w:t>
            </w:r>
          </w:p>
        </w:tc>
        <w:tc>
          <w:tcPr/>
          <w:p>
            <w:pPr>
              <w:pStyle w:val="Compact"/>
              <w:jc w:val="right"/>
            </w:pPr>
            <w:r>
              <w:t xml:space="preserve">—</w:t>
            </w:r>
          </w:p>
        </w:tc>
        <w:tc>
          <w:tcPr/>
          <w:p>
            <w:pPr>
              <w:pStyle w:val="Compact"/>
              <w:jc w:val="right"/>
            </w:pPr>
            <w:r>
              <w:t xml:space="preserve">2.02 (−0.34, 4.37)</w:t>
            </w:r>
          </w:p>
        </w:tc>
        <w:tc>
          <w:tcPr/>
          <w:p>
            <w:pPr>
              <w:pStyle w:val="Compact"/>
              <w:jc w:val="right"/>
            </w:pPr>
            <w:r>
              <w:t xml:space="preserve">0.091</w:t>
            </w:r>
          </w:p>
        </w:tc>
      </w:tr>
      <w:tr>
        <w:tc>
          <w:tcPr/>
          <w:p>
            <w:pPr>
              <w:pStyle w:val="Compact"/>
              <w:jc w:val="left"/>
            </w:pPr>
            <w:r>
              <w:t xml:space="preserve">Population density (per 1 person/km²)</w:t>
            </w:r>
          </w:p>
        </w:tc>
        <w:tc>
          <w:tcPr/>
          <w:p>
            <w:pPr>
              <w:pStyle w:val="Compact"/>
              <w:jc w:val="right"/>
            </w:pPr>
            <w:r>
              <w:t xml:space="preserve">—</w:t>
            </w:r>
          </w:p>
        </w:tc>
        <w:tc>
          <w:tcPr/>
          <w:p>
            <w:pPr>
              <w:pStyle w:val="Compact"/>
              <w:jc w:val="right"/>
            </w:pPr>
            <w:r>
              <w:t xml:space="preserve">—</w:t>
            </w:r>
          </w:p>
        </w:tc>
        <w:tc>
          <w:tcPr/>
          <w:p>
            <w:pPr>
              <w:pStyle w:val="Compact"/>
              <w:jc w:val="right"/>
            </w:pPr>
            <w:r>
              <w:t xml:space="preserve">−0.001 (−0.01, 0.01)</w:t>
            </w:r>
          </w:p>
        </w:tc>
        <w:tc>
          <w:tcPr/>
          <w:p>
            <w:pPr>
              <w:pStyle w:val="Compact"/>
              <w:jc w:val="right"/>
            </w:pPr>
            <w:r>
              <w:t xml:space="preserve">0.818</w:t>
            </w:r>
          </w:p>
        </w:tc>
      </w:tr>
      <w:tr>
        <w:tc>
          <w:tcPr/>
          <w:p>
            <w:pPr>
              <w:pStyle w:val="Compact"/>
              <w:jc w:val="left"/>
            </w:pPr>
            <w:r>
              <w:rPr>
                <w:b/>
                <w:bCs/>
              </w:rPr>
              <w:t xml:space="preserve">R²</w:t>
            </w:r>
          </w:p>
        </w:tc>
        <w:tc>
          <w:tcPr/>
          <w:p>
            <w:pPr>
              <w:pStyle w:val="Compact"/>
              <w:jc w:val="right"/>
            </w:pPr>
            <w:r>
              <w:t xml:space="preserve">0.225</w:t>
            </w:r>
          </w:p>
        </w:tc>
        <w:tc>
          <w:tcPr/>
          <w:p>
            <w:pPr>
              <w:pStyle w:val="Compact"/>
            </w:pPr>
          </w:p>
        </w:tc>
        <w:tc>
          <w:tcPr/>
          <w:p>
            <w:pPr>
              <w:pStyle w:val="Compact"/>
              <w:jc w:val="right"/>
            </w:pPr>
            <w:r>
              <w:t xml:space="preserve">0.385</w:t>
            </w:r>
          </w:p>
        </w:tc>
        <w:tc>
          <w:tcPr/>
          <w:p>
            <w:pPr>
              <w:pStyle w:val="Compact"/>
            </w:pPr>
          </w:p>
        </w:tc>
      </w:tr>
      <w:tr>
        <w:tc>
          <w:tcPr/>
          <w:p>
            <w:pPr>
              <w:pStyle w:val="Compact"/>
              <w:jc w:val="left"/>
            </w:pPr>
            <w:r>
              <w:rPr>
                <w:b/>
                <w:bCs/>
              </w:rPr>
              <w:t xml:space="preserve">Adjusted R²</w:t>
            </w:r>
          </w:p>
        </w:tc>
        <w:tc>
          <w:tcPr/>
          <w:p>
            <w:pPr>
              <w:pStyle w:val="Compact"/>
              <w:jc w:val="right"/>
            </w:pPr>
            <w:r>
              <w:t xml:space="preserve">0.208</w:t>
            </w:r>
          </w:p>
        </w:tc>
        <w:tc>
          <w:tcPr/>
          <w:p>
            <w:pPr>
              <w:pStyle w:val="Compact"/>
            </w:pPr>
          </w:p>
        </w:tc>
        <w:tc>
          <w:tcPr/>
          <w:p>
            <w:pPr>
              <w:pStyle w:val="Compact"/>
              <w:jc w:val="right"/>
            </w:pPr>
            <w:r>
              <w:t xml:space="preserve">0.326</w:t>
            </w:r>
          </w:p>
        </w:tc>
        <w:tc>
          <w:tcPr/>
          <w:p>
            <w:pPr>
              <w:pStyle w:val="Compact"/>
            </w:pPr>
          </w:p>
        </w:tc>
      </w:tr>
      <w:tr>
        <w:tc>
          <w:tcPr/>
          <w:p>
            <w:pPr>
              <w:pStyle w:val="Compact"/>
              <w:jc w:val="left"/>
            </w:pPr>
            <w:r>
              <w:rPr>
                <w:b/>
                <w:bCs/>
              </w:rPr>
              <w:t xml:space="preserve">F-statistic (</w:t>
            </w:r>
            <w:r>
              <w:rPr>
                <w:b/>
                <w:bCs/>
                <w:i/>
                <w:iCs/>
              </w:rPr>
              <w:t xml:space="preserve">p</w:t>
            </w:r>
            <w:r>
              <w:rPr>
                <w:b/>
                <w:bCs/>
              </w:rPr>
              <w:t xml:space="preserve">)</w:t>
            </w:r>
          </w:p>
        </w:tc>
        <w:tc>
          <w:tcPr/>
          <w:p>
            <w:pPr>
              <w:pStyle w:val="Compact"/>
              <w:jc w:val="right"/>
            </w:pPr>
            <w:r>
              <w:t xml:space="preserve">13.23 (0.001)</w:t>
            </w:r>
          </w:p>
        </w:tc>
        <w:tc>
          <w:tcPr/>
          <w:p>
            <w:pPr>
              <w:pStyle w:val="Compact"/>
            </w:pPr>
          </w:p>
        </w:tc>
        <w:tc>
          <w:tcPr/>
          <w:p>
            <w:pPr>
              <w:pStyle w:val="Compact"/>
              <w:jc w:val="right"/>
            </w:pPr>
            <w:r>
              <w:t xml:space="preserve">6.56 (0.0003)</w:t>
            </w:r>
          </w:p>
        </w:tc>
        <w:tc>
          <w:tcPr/>
          <w:p>
            <w:pPr>
              <w:pStyle w:val="Compact"/>
            </w:pPr>
          </w:p>
        </w:tc>
      </w:tr>
    </w:tbl>
    <w:p>
      <w:pPr>
        <w:pStyle w:val="BodyText"/>
      </w:pPr>
      <w:r>
        <w:t xml:space="preserve">Model 1: simple linear regression of hip fracture rate on terrain slope alone.</w:t>
      </w:r>
      <w:r>
        <w:t xml:space="preserve"> </w:t>
      </w:r>
      <w:r>
        <w:t xml:space="preserve">Model 2: multivariable linear regression adjusting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r>
        <w:pict>
          <v:rect style="width:0;height:1.5pt" o:hralign="center" o:hrstd="t" o:hr="t"/>
        </w:pict>
      </w:r>
    </w:p>
    <w:bookmarkEnd w:id="53"/>
    <w:bookmarkStart w:id="54" w:name="Xdeb87af7aa3e82ca70e47e493f4f841d319d1c1"/>
    <w:p>
      <w:pPr>
        <w:pStyle w:val="Heading2"/>
      </w:pPr>
      <w:r>
        <w:t xml:space="preserve">Table 4. Linear Regression Results for All Fracture Outcomes: Model 2 (Multivariable, N = 47)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Outcome</w:t>
            </w:r>
          </w:p>
        </w:tc>
        <w:tc>
          <w:tcPr/>
          <w:p>
            <w:pPr>
              <w:pStyle w:val="Compact"/>
              <w:jc w:val="right"/>
            </w:pPr>
            <w:r>
              <w:rPr>
                <w:b/>
                <w:bCs/>
              </w:rPr>
              <w:t xml:space="preserve">Slope β (95% CI)</w:t>
            </w:r>
          </w:p>
        </w:tc>
        <w:tc>
          <w:tcPr/>
          <w:p>
            <w:pPr>
              <w:pStyle w:val="Compact"/>
              <w:jc w:val="right"/>
            </w:pPr>
            <w:r>
              <w:rPr>
                <w:b/>
                <w:bCs/>
                <w:i/>
                <w:iCs/>
              </w:rPr>
              <w:t xml:space="preserve">p</w:t>
            </w:r>
          </w:p>
        </w:tc>
        <w:tc>
          <w:tcPr/>
          <w:p>
            <w:pPr>
              <w:pStyle w:val="Compact"/>
              <w:jc w:val="right"/>
            </w:pPr>
            <w:r>
              <w:rPr>
                <w:b/>
                <w:bCs/>
              </w:rPr>
              <w:t xml:space="preserve">Aging rate β (95% CI)</w:t>
            </w:r>
          </w:p>
        </w:tc>
        <w:tc>
          <w:tcPr/>
          <w:p>
            <w:pPr>
              <w:pStyle w:val="Compact"/>
              <w:jc w:val="right"/>
            </w:pPr>
            <w:r>
              <w:rPr>
                <w:b/>
                <w:bCs/>
                <w:i/>
                <w:iCs/>
              </w:rPr>
              <w:t xml:space="preserve">p</w:t>
            </w:r>
          </w:p>
        </w:tc>
        <w:tc>
          <w:tcPr/>
          <w:p>
            <w:pPr>
              <w:pStyle w:val="Compact"/>
              <w:jc w:val="right"/>
            </w:pPr>
            <w:r>
              <w:rPr>
                <w:b/>
                <w:bCs/>
              </w:rPr>
              <w:t xml:space="preserve">R²</w:t>
            </w:r>
          </w:p>
        </w:tc>
        <w:tc>
          <w:tcPr/>
          <w:p>
            <w:pPr>
              <w:pStyle w:val="Compact"/>
              <w:jc w:val="right"/>
            </w:pPr>
            <w:r>
              <w:rPr>
                <w:b/>
                <w:bCs/>
              </w:rPr>
              <w:t xml:space="preserve">Adj. R²</w:t>
            </w:r>
          </w:p>
        </w:tc>
      </w:tr>
      <w:tr>
        <w:tc>
          <w:tcPr/>
          <w:p>
            <w:pPr>
              <w:pStyle w:val="Compact"/>
              <w:jc w:val="left"/>
            </w:pPr>
            <w:r>
              <w:t xml:space="preserve">Hip (femur) fracture</w:t>
            </w:r>
          </w:p>
        </w:tc>
        <w:tc>
          <w:tcPr/>
          <w:p>
            <w:pPr>
              <w:pStyle w:val="Compact"/>
              <w:jc w:val="right"/>
            </w:pPr>
            <w:r>
              <w:rPr>
                <w:b/>
                <w:bCs/>
              </w:rPr>
              <w:t xml:space="preserve">3.49 (0.11, 6.86)</w:t>
            </w:r>
          </w:p>
        </w:tc>
        <w:tc>
          <w:tcPr/>
          <w:p>
            <w:pPr>
              <w:pStyle w:val="Compact"/>
              <w:jc w:val="right"/>
            </w:pPr>
            <w:r>
              <w:rPr>
                <w:b/>
                <w:bCs/>
              </w:rPr>
              <w:t xml:space="preserve">0.043</w:t>
            </w:r>
          </w:p>
        </w:tc>
        <w:tc>
          <w:tcPr/>
          <w:p>
            <w:pPr>
              <w:pStyle w:val="Compact"/>
              <w:jc w:val="right"/>
            </w:pPr>
            <w:r>
              <w:rPr>
                <w:b/>
                <w:bCs/>
              </w:rPr>
              <w:t xml:space="preserve">5.53 (1.32, 9.74)</w:t>
            </w:r>
          </w:p>
        </w:tc>
        <w:tc>
          <w:tcPr/>
          <w:p>
            <w:pPr>
              <w:pStyle w:val="Compact"/>
              <w:jc w:val="right"/>
            </w:pPr>
            <w:r>
              <w:rPr>
                <w:b/>
                <w:bCs/>
              </w:rPr>
              <w:t xml:space="preserve">0.011</w:t>
            </w:r>
          </w:p>
        </w:tc>
        <w:tc>
          <w:tcPr/>
          <w:p>
            <w:pPr>
              <w:pStyle w:val="Compact"/>
              <w:jc w:val="right"/>
            </w:pPr>
            <w:r>
              <w:rPr>
                <w:b/>
                <w:bCs/>
              </w:rPr>
              <w:t xml:space="preserve">0.385</w:t>
            </w:r>
          </w:p>
        </w:tc>
        <w:tc>
          <w:tcPr/>
          <w:p>
            <w:pPr>
              <w:pStyle w:val="Compact"/>
              <w:jc w:val="right"/>
            </w:pPr>
            <w:r>
              <w:rPr>
                <w:b/>
                <w:bCs/>
              </w:rPr>
              <w:t xml:space="preserve">0.326</w:t>
            </w:r>
          </w:p>
        </w:tc>
      </w:tr>
      <w:tr>
        <w:tc>
          <w:tcPr/>
          <w:p>
            <w:pPr>
              <w:pStyle w:val="Compact"/>
              <w:jc w:val="left"/>
            </w:pPr>
            <w:r>
              <w:t xml:space="preserve">Total fracture</w:t>
            </w:r>
          </w:p>
        </w:tc>
        <w:tc>
          <w:tcPr/>
          <w:p>
            <w:pPr>
              <w:pStyle w:val="Compact"/>
              <w:jc w:val="right"/>
            </w:pPr>
            <w:r>
              <w:t xml:space="preserve">4.47 (−0.88, 9.82)</w:t>
            </w:r>
          </w:p>
        </w:tc>
        <w:tc>
          <w:tcPr/>
          <w:p>
            <w:pPr>
              <w:pStyle w:val="Compact"/>
              <w:jc w:val="right"/>
            </w:pPr>
            <w:r>
              <w:t xml:space="preserve">0.099</w:t>
            </w:r>
          </w:p>
        </w:tc>
        <w:tc>
          <w:tcPr/>
          <w:p>
            <w:pPr>
              <w:pStyle w:val="Compact"/>
              <w:jc w:val="right"/>
            </w:pPr>
            <w:r>
              <w:rPr>
                <w:b/>
                <w:bCs/>
              </w:rPr>
              <w:t xml:space="preserve">7.19 (0.51, 13.86)</w:t>
            </w:r>
          </w:p>
        </w:tc>
        <w:tc>
          <w:tcPr/>
          <w:p>
            <w:pPr>
              <w:pStyle w:val="Compact"/>
              <w:jc w:val="right"/>
            </w:pPr>
            <w:r>
              <w:rPr>
                <w:b/>
                <w:bCs/>
              </w:rPr>
              <w:t xml:space="preserve">0.035</w:t>
            </w:r>
          </w:p>
        </w:tc>
        <w:tc>
          <w:tcPr/>
          <w:p>
            <w:pPr>
              <w:pStyle w:val="Compact"/>
              <w:jc w:val="right"/>
            </w:pPr>
            <w:r>
              <w:t xml:space="preserve">0.276</w:t>
            </w:r>
          </w:p>
        </w:tc>
        <w:tc>
          <w:tcPr/>
          <w:p>
            <w:pPr>
              <w:pStyle w:val="Compact"/>
              <w:jc w:val="right"/>
            </w:pPr>
            <w:r>
              <w:t xml:space="preserve">0.206</w:t>
            </w:r>
          </w:p>
        </w:tc>
      </w:tr>
      <w:tr>
        <w:tc>
          <w:tcPr/>
          <w:p>
            <w:pPr>
              <w:pStyle w:val="Compact"/>
              <w:jc w:val="left"/>
            </w:pPr>
            <w:r>
              <w:t xml:space="preserve">Humerus fracture</w:t>
            </w:r>
          </w:p>
        </w:tc>
        <w:tc>
          <w:tcPr/>
          <w:p>
            <w:pPr>
              <w:pStyle w:val="Compact"/>
              <w:jc w:val="right"/>
            </w:pPr>
            <w:r>
              <w:t xml:space="preserve">0.23 (−0.50, 0.96)</w:t>
            </w:r>
          </w:p>
        </w:tc>
        <w:tc>
          <w:tcPr/>
          <w:p>
            <w:pPr>
              <w:pStyle w:val="Compact"/>
              <w:jc w:val="right"/>
            </w:pPr>
            <w:r>
              <w:t xml:space="preserve">0.524</w:t>
            </w:r>
          </w:p>
        </w:tc>
        <w:tc>
          <w:tcPr/>
          <w:p>
            <w:pPr>
              <w:pStyle w:val="Compact"/>
              <w:jc w:val="right"/>
            </w:pPr>
            <w:r>
              <w:t xml:space="preserve">0.54 (−0.38, 1.46)</w:t>
            </w:r>
          </w:p>
        </w:tc>
        <w:tc>
          <w:tcPr/>
          <w:p>
            <w:pPr>
              <w:pStyle w:val="Compact"/>
              <w:jc w:val="right"/>
            </w:pPr>
            <w:r>
              <w:t xml:space="preserve">0.245</w:t>
            </w:r>
          </w:p>
        </w:tc>
        <w:tc>
          <w:tcPr/>
          <w:p>
            <w:pPr>
              <w:pStyle w:val="Compact"/>
              <w:jc w:val="right"/>
            </w:pPr>
            <w:r>
              <w:t xml:space="preserve">0.107</w:t>
            </w:r>
          </w:p>
        </w:tc>
        <w:tc>
          <w:tcPr/>
          <w:p>
            <w:pPr>
              <w:pStyle w:val="Compact"/>
              <w:jc w:val="right"/>
            </w:pPr>
            <w:r>
              <w:t xml:space="preserve">0.022</w:t>
            </w:r>
          </w:p>
        </w:tc>
      </w:tr>
      <w:tr>
        <w:tc>
          <w:tcPr/>
          <w:p>
            <w:pPr>
              <w:pStyle w:val="Compact"/>
              <w:jc w:val="left"/>
            </w:pPr>
            <w:r>
              <w:t xml:space="preserve">Forearm fracture</w:t>
            </w:r>
          </w:p>
        </w:tc>
        <w:tc>
          <w:tcPr/>
          <w:p>
            <w:pPr>
              <w:pStyle w:val="Compact"/>
              <w:jc w:val="right"/>
            </w:pPr>
            <w:r>
              <w:t xml:space="preserve">0.67 (−0.95, 2.30)</w:t>
            </w:r>
          </w:p>
        </w:tc>
        <w:tc>
          <w:tcPr/>
          <w:p>
            <w:pPr>
              <w:pStyle w:val="Compact"/>
              <w:jc w:val="right"/>
            </w:pPr>
            <w:r>
              <w:t xml:space="preserve">0.402</w:t>
            </w:r>
          </w:p>
        </w:tc>
        <w:tc>
          <w:tcPr/>
          <w:p>
            <w:pPr>
              <w:pStyle w:val="Compact"/>
              <w:jc w:val="right"/>
            </w:pPr>
            <w:r>
              <w:t xml:space="preserve">1.28 (−0.77, 3.33)</w:t>
            </w:r>
          </w:p>
        </w:tc>
        <w:tc>
          <w:tcPr/>
          <w:p>
            <w:pPr>
              <w:pStyle w:val="Compact"/>
              <w:jc w:val="right"/>
            </w:pPr>
            <w:r>
              <w:t xml:space="preserve">0.218</w:t>
            </w:r>
          </w:p>
        </w:tc>
        <w:tc>
          <w:tcPr/>
          <w:p>
            <w:pPr>
              <w:pStyle w:val="Compact"/>
              <w:jc w:val="right"/>
            </w:pPr>
            <w:r>
              <w:t xml:space="preserve">0.062</w:t>
            </w:r>
          </w:p>
        </w:tc>
        <w:tc>
          <w:tcPr/>
          <w:p>
            <w:pPr>
              <w:pStyle w:val="Compact"/>
              <w:jc w:val="right"/>
            </w:pPr>
            <w:r>
              <w:t xml:space="preserve">−0.027</w:t>
            </w:r>
          </w:p>
        </w:tc>
      </w:tr>
    </w:tbl>
    <w:p>
      <w:pPr>
        <w:pStyle w:val="BodyText"/>
      </w:pPr>
      <w:r>
        <w:t xml:space="preserve">All models adjusted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r>
        <w:pict>
          <v:rect style="width:0;height:1.5pt" o:hralign="center" o:hrstd="t" o:hr="t"/>
        </w:pict>
      </w:r>
    </w:p>
    <w:bookmarkEnd w:id="54"/>
    <w:bookmarkStart w:id="55" w:name="figure-legends"/>
    <w:p>
      <w:pPr>
        <w:pStyle w:val="Heading2"/>
      </w:pPr>
      <w:r>
        <w:t xml:space="preserve">Figure Legends</w:t>
      </w:r>
    </w:p>
    <w:p>
      <w:pPr>
        <w:pStyle w:val="FirstParagraph"/>
      </w:pPr>
      <w:r>
        <w:rPr>
          <w:b/>
          <w:bCs/>
        </w:rPr>
        <w:t xml:space="preserve">Figure 1.</w:t>
      </w:r>
      <w:r>
        <w:t xml:space="preserve"> </w:t>
      </w:r>
      <w:r>
        <w:t xml:space="preserve">Scatter plot showing the association between habitable-area-weighted terrain slope (degrees) and hip fracture surgery rate (per 100,000 population) across 47 Japanese prefectures. Each point represents one prefecture, labeled with the prefecture name in English. The solid line represents the simple linear regression fit.</w:t>
      </w:r>
    </w:p>
    <w:p>
      <w:pPr>
        <w:pStyle w:val="BodyText"/>
      </w:pPr>
      <w:r>
        <w:rPr>
          <w:b/>
          <w:bCs/>
        </w:rPr>
        <w:t xml:space="preserve">Figure 2.</w:t>
      </w:r>
      <w:r>
        <w:t xml:space="preserve"> </w:t>
      </w:r>
      <w:r>
        <w:t xml:space="preserve">Correlation heatmap of key study variables across 47 Japanese prefectures. Pearson correlation coefficients are displayed in each cell. Color intensity represents the magnitude of correlation (red = positive, blue = negative).</w:t>
      </w:r>
    </w:p>
    <w:p>
      <w:pPr>
        <w:pStyle w:val="BodyText"/>
      </w:pPr>
      <w:r>
        <w:rPr>
          <w:b/>
          <w:bCs/>
        </w:rPr>
        <w:t xml:space="preserve">Figure 3.</w:t>
      </w:r>
      <w:r>
        <w:t xml:space="preserve"> </w:t>
      </w:r>
      <w:r>
        <w:t xml:space="preserve">Prefectural distribution of habitable-area-weighted terrain slope (degrees) across Japan. Darker shading indicates steeper terrain. Prefectures in the Chugoku, Shikoku, and Kyushu mountain ranges show the highest slope values. Map boundaries delineate prefectures for display; they do not necessarily depict internationally accepted political boundaries.</w:t>
      </w:r>
    </w:p>
    <w:p>
      <w:pPr>
        <w:pStyle w:val="BodyText"/>
      </w:pPr>
      <w:r>
        <w:rPr>
          <w:b/>
          <w:bCs/>
        </w:rPr>
        <w:t xml:space="preserve">Figure 4.</w:t>
      </w:r>
      <w:r>
        <w:t xml:space="preserve"> </w:t>
      </w:r>
      <w:r>
        <w:t xml:space="preserve">Prefectural distribution of hip fracture surgery rate (per 100,000 population) across Japan. Darker shading indicates higher rates. Prefectures in mountainous regions tend to show elevated rates. Map boundaries delineate prefectures for display; they do not necessarily depict internationally accepted political boundaries.</w:t>
      </w:r>
    </w:p>
    <w:p>
      <w:pPr>
        <w:pStyle w:val="BodyText"/>
      </w:pPr>
      <w:r>
        <w:rPr>
          <w:b/>
          <w:bCs/>
        </w:rPr>
        <w:t xml:space="preserve">Figure 5.</w:t>
      </w:r>
      <w:r>
        <w:t xml:space="preserve"> </w:t>
      </w:r>
      <w:r>
        <w:t xml:space="preserve">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 Map boundaries delineate prefectures for display; they do not necessarily depict internationally accepted political boundaries.</w:t>
      </w:r>
    </w:p>
    <w:bookmarkEnd w:id="55"/>
    <w:bookmarkStart w:id="59" w:name="figure-1"/>
    <w:p>
      <w:pPr>
        <w:pStyle w:val="Heading2"/>
      </w:pPr>
      <w:r>
        <w:t xml:space="preserve">Figure 1</w:t>
      </w:r>
    </w:p>
    <w:p>
      <w:pPr>
        <w:pStyle w:val="FirstParagraph"/>
      </w:pPr>
      <w:r>
        <w:drawing>
          <wp:inline>
            <wp:extent cx="5334000" cy="3715456"/>
            <wp:effectExtent b="0" l="0" r="0" t="0"/>
            <wp:docPr descr="" title="" id="57" name="Picture"/>
            <a:graphic>
              <a:graphicData uri="http://schemas.openxmlformats.org/drawingml/2006/picture">
                <pic:pic>
                  <pic:nvPicPr>
                    <pic:cNvPr descr="../03_Analysis/results/figures/scatter_slope_fracture.png" id="58" name="Picture"/>
                    <pic:cNvPicPr>
                      <a:picLocks noChangeArrowheads="1" noChangeAspect="1"/>
                    </pic:cNvPicPr>
                  </pic:nvPicPr>
                  <pic:blipFill>
                    <a:blip r:embed="rId56"/>
                    <a:stretch>
                      <a:fillRect/>
                    </a:stretch>
                  </pic:blipFill>
                  <pic:spPr bwMode="auto">
                    <a:xfrm>
                      <a:off x="0" y="0"/>
                      <a:ext cx="5334000" cy="3715456"/>
                    </a:xfrm>
                    <a:prstGeom prst="rect">
                      <a:avLst/>
                    </a:prstGeom>
                    <a:noFill/>
                    <a:ln w="9525">
                      <a:noFill/>
                      <a:headEnd/>
                      <a:tailEnd/>
                    </a:ln>
                  </pic:spPr>
                </pic:pic>
              </a:graphicData>
            </a:graphic>
          </wp:inline>
        </w:drawing>
      </w:r>
    </w:p>
    <w:bookmarkEnd w:id="59"/>
    <w:bookmarkStart w:id="63" w:name="figure-2"/>
    <w:p>
      <w:pPr>
        <w:pStyle w:val="Heading2"/>
      </w:pPr>
      <w:r>
        <w:t xml:space="preserve">Figure 2</w:t>
      </w:r>
    </w:p>
    <w:p>
      <w:pPr>
        <w:pStyle w:val="FirstParagraph"/>
      </w:pPr>
      <w:r>
        <w:drawing>
          <wp:inline>
            <wp:extent cx="5334000" cy="4267200"/>
            <wp:effectExtent b="0" l="0" r="0" t="0"/>
            <wp:docPr descr="" title="" id="61" name="Picture"/>
            <a:graphic>
              <a:graphicData uri="http://schemas.openxmlformats.org/drawingml/2006/picture">
                <pic:pic>
                  <pic:nvPicPr>
                    <pic:cNvPr descr="../03_Analysis/results/figures/heatmap_correlation.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bookmarkEnd w:id="63"/>
    <w:bookmarkStart w:id="67" w:name="figure-3"/>
    <w:p>
      <w:pPr>
        <w:pStyle w:val="Heading2"/>
      </w:pPr>
      <w:r>
        <w:t xml:space="preserve">Figure 3</w:t>
      </w:r>
    </w:p>
    <w:p>
      <w:pPr>
        <w:pStyle w:val="FirstParagraph"/>
      </w:pPr>
      <w:r>
        <w:drawing>
          <wp:inline>
            <wp:extent cx="5334000" cy="4655059"/>
            <wp:effectExtent b="0" l="0" r="0" t="0"/>
            <wp:docPr descr="" title="" id="65" name="Picture"/>
            <a:graphic>
              <a:graphicData uri="http://schemas.openxmlformats.org/drawingml/2006/picture">
                <pic:pic>
                  <pic:nvPicPr>
                    <pic:cNvPr descr="../03_Analysis/results/figures/fig_map_slope.png" id="66" name="Picture"/>
                    <pic:cNvPicPr>
                      <a:picLocks noChangeArrowheads="1" noChangeAspect="1"/>
                    </pic:cNvPicPr>
                  </pic:nvPicPr>
                  <pic:blipFill>
                    <a:blip r:embed="rId64"/>
                    <a:stretch>
                      <a:fillRect/>
                    </a:stretch>
                  </pic:blipFill>
                  <pic:spPr bwMode="auto">
                    <a:xfrm>
                      <a:off x="0" y="0"/>
                      <a:ext cx="5334000" cy="4655059"/>
                    </a:xfrm>
                    <a:prstGeom prst="rect">
                      <a:avLst/>
                    </a:prstGeom>
                    <a:noFill/>
                    <a:ln w="9525">
                      <a:noFill/>
                      <a:headEnd/>
                      <a:tailEnd/>
                    </a:ln>
                  </pic:spPr>
                </pic:pic>
              </a:graphicData>
            </a:graphic>
          </wp:inline>
        </w:drawing>
      </w:r>
    </w:p>
    <w:bookmarkEnd w:id="67"/>
    <w:bookmarkStart w:id="71" w:name="figure-4"/>
    <w:p>
      <w:pPr>
        <w:pStyle w:val="Heading2"/>
      </w:pPr>
      <w:r>
        <w:t xml:space="preserve">Figure 4</w:t>
      </w:r>
    </w:p>
    <w:p>
      <w:pPr>
        <w:pStyle w:val="FirstParagraph"/>
      </w:pPr>
      <w:r>
        <w:drawing>
          <wp:inline>
            <wp:extent cx="5334000" cy="4527523"/>
            <wp:effectExtent b="0" l="0" r="0" t="0"/>
            <wp:docPr descr="" title="" id="69" name="Picture"/>
            <a:graphic>
              <a:graphicData uri="http://schemas.openxmlformats.org/drawingml/2006/picture">
                <pic:pic>
                  <pic:nvPicPr>
                    <pic:cNvPr descr="../03_Analysis/results/figures/fig_map_fracture.png" id="70" name="Picture"/>
                    <pic:cNvPicPr>
                      <a:picLocks noChangeArrowheads="1" noChangeAspect="1"/>
                    </pic:cNvPicPr>
                  </pic:nvPicPr>
                  <pic:blipFill>
                    <a:blip r:embed="rId68"/>
                    <a:stretch>
                      <a:fillRect/>
                    </a:stretch>
                  </pic:blipFill>
                  <pic:spPr bwMode="auto">
                    <a:xfrm>
                      <a:off x="0" y="0"/>
                      <a:ext cx="5334000" cy="4527523"/>
                    </a:xfrm>
                    <a:prstGeom prst="rect">
                      <a:avLst/>
                    </a:prstGeom>
                    <a:noFill/>
                    <a:ln w="9525">
                      <a:noFill/>
                      <a:headEnd/>
                      <a:tailEnd/>
                    </a:ln>
                  </pic:spPr>
                </pic:pic>
              </a:graphicData>
            </a:graphic>
          </wp:inline>
        </w:drawing>
      </w:r>
    </w:p>
    <w:bookmarkEnd w:id="71"/>
    <w:bookmarkStart w:id="75" w:name="figure-5"/>
    <w:p>
      <w:pPr>
        <w:pStyle w:val="Heading2"/>
      </w:pPr>
      <w:r>
        <w:t xml:space="preserve">Figure 5</w:t>
      </w:r>
    </w:p>
    <w:p>
      <w:pPr>
        <w:pStyle w:val="FirstParagraph"/>
      </w:pPr>
      <w:r>
        <w:drawing>
          <wp:inline>
            <wp:extent cx="5334000" cy="5446531"/>
            <wp:effectExtent b="0" l="0" r="0" t="0"/>
            <wp:docPr descr="" title="" id="73" name="Picture"/>
            <a:graphic>
              <a:graphicData uri="http://schemas.openxmlformats.org/drawingml/2006/picture">
                <pic:pic>
                  <pic:nvPicPr>
                    <pic:cNvPr descr="../03_Analysis/results/figures/fig_map_bivariate.png" id="74" name="Picture"/>
                    <pic:cNvPicPr>
                      <a:picLocks noChangeArrowheads="1" noChangeAspect="1"/>
                    </pic:cNvPicPr>
                  </pic:nvPicPr>
                  <pic:blipFill>
                    <a:blip r:embed="rId72"/>
                    <a:stretch>
                      <a:fillRect/>
                    </a:stretch>
                  </pic:blipFill>
                  <pic:spPr bwMode="auto">
                    <a:xfrm>
                      <a:off x="0" y="0"/>
                      <a:ext cx="5334000" cy="5446531"/>
                    </a:xfrm>
                    <a:prstGeom prst="rect">
                      <a:avLst/>
                    </a:prstGeom>
                    <a:noFill/>
                    <a:ln w="9525">
                      <a:noFill/>
                      <a:headEnd/>
                      <a:tailEnd/>
                    </a:ln>
                  </pic:spPr>
                </pic:pic>
              </a:graphicData>
            </a:graphic>
          </wp:inline>
        </w:drawing>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png" /><Relationship Type="http://schemas.openxmlformats.org/officeDocument/2006/relationships/image" Id="rId68" Target="media/rId68.png"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
  <cp:keywords/>
  <dcterms:created xsi:type="dcterms:W3CDTF">2026-04-13T23:53:00Z</dcterms:created>
  <dcterms:modified xsi:type="dcterms:W3CDTF">2026-04-13T23:53:00Z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2026-02-19</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