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65.png" ContentType="image/png"/>
  <Override PartName="/word/media/rId61.png" ContentType="image/png"/>
  <Override PartName="/word/media/rId57.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Terrain Slope and Hip Fracture Surgery Rates Among Older Adults: A Nationwide Ecological Study in Japan</w:t>
      </w:r>
    </w:p>
    <w:p>
      <w:pPr>
        <w:pStyle w:val="Author"/>
      </w:pPr>
      <w:r>
        <w:t xml:space="preserve">[Author 1]</w:t>
      </w:r>
    </w:p>
    <w:p>
      <w:pPr>
        <w:pStyle w:val="Author"/>
      </w:pPr>
      <w:r>
        <w:t xml:space="preserve">[Author 2]</w:t>
      </w:r>
    </w:p>
    <w:p>
      <w:pPr>
        <w:pStyle w:val="Date"/>
      </w:pPr>
      <w:r>
        <w:t xml:space="preserve">2026-02-19</w:t>
      </w:r>
    </w:p>
    <w:bookmarkStart w:id="20" w:name="abstract"/>
    <w:p>
      <w:pPr>
        <w:pStyle w:val="Heading1"/>
      </w:pPr>
      <w:r>
        <w:t xml:space="preserve">Abstract</w:t>
      </w:r>
    </w:p>
    <w:p>
      <w:pPr>
        <w:pStyle w:val="FirstParagraph"/>
      </w:pPr>
      <w:r>
        <w:t xml:space="preserve">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Pr>
          <w:i/>
          <w:iCs/>
        </w:rPr>
        <w:t xml:space="preserve">B</w:t>
      </w:r>
      <w:r>
        <w:t xml:space="preserve"> </w:t>
      </w:r>
      <w:r>
        <w:t xml:space="preserve">= 5000) as sensitivity analyses. Mean slope was 8.57 degrees (SD 3.16) and mean hip fracture surgery rate was 254.0 per 100,000 (SD 37.6). Terrain slope was positively associated with hip fracture rates in unadjusted models (β = 5.65; 95% CI, 2.50–8.79;</w:t>
      </w:r>
      <w:r>
        <w:t xml:space="preserve"> </w:t>
      </w:r>
      <w:r>
        <w:rPr>
          <w:i/>
          <w:iCs/>
        </w:rPr>
        <w:t xml:space="preserve">p</w:t>
      </w:r>
      <w:r>
        <w:t xml:space="preserve"> </w:t>
      </w:r>
      <w:r>
        <w:t xml:space="preserve">= 0.001) and in adjusted models with conventional standard errors (β = 3.49; 95% CI, 0.11–6.86;</w:t>
      </w:r>
      <w:r>
        <w:t xml:space="preserve"> </w:t>
      </w:r>
      <w:r>
        <w:rPr>
          <w:i/>
          <w:iCs/>
        </w:rPr>
        <w:t xml:space="preserve">p</w:t>
      </w:r>
      <w:r>
        <w:t xml:space="preserve"> </w:t>
      </w:r>
      <w:r>
        <w:t xml:space="preserve">= 0.043); HC3 and bootstrap intervals for the slope coefficient were borderline at</w:t>
      </w:r>
      <w:r>
        <w:t xml:space="preserve"> </w:t>
      </w:r>
      <w:r>
        <w:rPr>
          <w:i/>
          <w:iCs/>
        </w:rPr>
        <w:t xml:space="preserve">N</w:t>
      </w:r>
      <w:r>
        <w:t xml:space="preserve"> </w:t>
      </w:r>
      <w:r>
        <w:t xml:space="preserve">= 47. No associations were observed for humerus or forearm fractures. Prefecture-level terrain slope showed a hip-specific signal consistent with lateral-fall mechanisms, but inferential sensitivity at small ecological</w:t>
      </w:r>
      <w:r>
        <w:t xml:space="preserve"> </w:t>
      </w:r>
      <w:r>
        <w:rPr>
          <w:i/>
          <w:iCs/>
        </w:rPr>
        <w:t xml:space="preserve">N</w:t>
      </w:r>
      <w:r>
        <w:t xml:space="preserve"> </w:t>
      </w:r>
      <w:r>
        <w:t xml:space="preserve">warrants cautious interpretation.</w:t>
      </w:r>
    </w:p>
    <w:p>
      <w:pPr>
        <w:pStyle w:val="BodyText"/>
      </w:pPr>
      <w:r>
        <w:rPr>
          <w:b/>
          <w:bCs/>
        </w:rPr>
        <w:t xml:space="preserve">Keywords</w:t>
      </w:r>
      <w:r>
        <w:t xml:space="preserve">: terrain; slope; hip; fracture; ecology; Japan; epidemiology</w:t>
      </w:r>
    </w:p>
    <w:p>
      <w:r>
        <w:pict>
          <v:rect style="width:0;height:1.5pt" o:hralign="center" o:hrstd="t" o:hr="t"/>
        </w:pict>
      </w:r>
    </w:p>
    <w:bookmarkEnd w:id="20"/>
    <w:bookmarkStart w:id="21" w:name="introduction"/>
    <w:p>
      <w:pPr>
        <w:pStyle w:val="Heading1"/>
      </w:pPr>
      <w:r>
        <w:t xml:space="preserve">Introduction</w:t>
      </w:r>
    </w:p>
    <w:p>
      <w:pPr>
        <w:pStyle w:val="FirstParagraph"/>
      </w:pPr>
      <w:r>
        <w:t xml:space="preserve">Hip fracture is a serious public health problem among older adults worldwide. In Japan, approximately 200,000 hip fractures occur annually, and this number is projected to increase with the ongoing demographic shift toward an aging society.[1, 2] Hip fracture leads to prolonged hospitalization, functional decline, institutionalization, and increased mortality, imposing a substantial burden on both individuals and the healthcare system.[1, 3] The acute care costs of hip fracture treatment in Japan reached approximately 1,000 billion yen ($989 million) in 2021, and this burden continues to escalate.[4, 5]</w:t>
      </w:r>
    </w:p>
    <w:p>
      <w:pPr>
        <w:pStyle w:val="BodyText"/>
      </w:pPr>
      <w:r>
        <w:t xml:space="preserve">Falls are the primary cause of hip fractures, accounting for more than 90% of cases.[6] Multiple risk factors for falls have been identified, including muscle weakness, impaired gait and balance, polypharmacy, and visual impairment.[7] Among environmental factors, home hazards such as slippery floors, steps, and inadequate lighting are well recognized.[8] However, broader environmental determinants of fall risk at the community level, such as outdoor terrain characteristics, have received limited attention despite their potential population-level impact.[9]</w:t>
      </w:r>
    </w:p>
    <w:p>
      <w:pPr>
        <w:pStyle w:val="BodyText"/>
      </w:pPr>
      <w:r>
        <w:t xml:space="preserve">Terrain slope is a plausible environmental determinant of fall-related fractures. Walking on inclined surfaces requires greater neuromuscular effort and alters biomechanics, increasing instability, particularly among older adults with impaired balance and reduced muscle strength.[10, 11] The control of body center of mass (CoM) during inclined walking becomes increasingly challenging with age, as margin of stability (MoS) decreases and required coefficient of friction (RCOF) changes unpredictably on uneven terrain.[12, 13]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pPr>
        <w:pStyle w:val="BodyText"/>
      </w:pPr>
      <w:r>
        <w:t xml:space="preserve">Previous studies have demonstrated that environmental terrain features are associated with physical activity levels and walking speed in community-dwelling older adults.[14] Walking speed is itself a powerful predictor of fracture risk [15, 16] and has been designated the</w:t>
      </w:r>
      <w:r>
        <w:t xml:space="preserve"> </w:t>
      </w:r>
      <w:r>
        <w:t xml:space="preserve">“sixth vital sign.”</w:t>
      </w:r>
      <w:r>
        <w:t xml:space="preserve">[17] Older adults walking on complex outdoor terrain unconsciously adopt cautious gait strategies, reducing step length and cadence, which may lead to chronic deconditioning and increased frailty.[18, 19] We therefore hypothesized that terrain slope may influence hip fracture rates through direct mechanical effects of inclined walking (direct pathway) and through its effect on walking capacity (indirect pathway).</w:t>
      </w:r>
    </w:p>
    <w:p>
      <w:pPr>
        <w:pStyle w:val="BodyText"/>
      </w:pPr>
      <w:r>
        <w:t xml:space="preserve">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risk,[20, 21] but Japan-specific nationwide evidence has been lacking. The National Database (NDB) of Health Insurance Claims, released as open data by Japan’s Ministry of Health, Labour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terrain–fracture relationship in Japan.</w:t>
      </w:r>
    </w:p>
    <w:p>
      <w:pPr>
        <w:pStyle w:val="BodyText"/>
      </w:pPr>
      <w:r>
        <w:t xml:space="preserve">In this study, we examined whether terrain slope was associated with hip fracture surgery rates at the prefectural level, independent of aging rate and walking speed, using nationwide administrative and geospatial data.</w:t>
      </w:r>
    </w:p>
    <w:p>
      <w:r>
        <w:pict>
          <v:rect style="width:0;height:1.5pt" o:hralign="center" o:hrstd="t" o:hr="t"/>
        </w:pict>
      </w:r>
    </w:p>
    <w:bookmarkEnd w:id="21"/>
    <w:bookmarkStart w:id="28" w:name="methods"/>
    <w:p>
      <w:pPr>
        <w:pStyle w:val="Heading1"/>
      </w:pPr>
      <w:r>
        <w:t xml:space="preserve">Methods</w:t>
      </w:r>
    </w:p>
    <w:bookmarkStart w:id="22" w:name="study-design"/>
    <w:p>
      <w:pPr>
        <w:pStyle w:val="Heading2"/>
      </w:pPr>
      <w:r>
        <w:t xml:space="preserve">1. Study Design</w:t>
      </w:r>
    </w:p>
    <w:p>
      <w:pPr>
        <w:pStyle w:val="FirstParagraph"/>
      </w:pPr>
      <w:r>
        <w:t xml:space="preserve">We conducted a nationwide ecological study in which the Japanese prefecture (N = 47) served as the unit of analysis. Prefecture-level aggregate data were used because individual-level geospatial information is not available from NDB Open Data. The analysis used open-data tables from the</w:t>
      </w:r>
      <w:r>
        <w:t xml:space="preserve"> </w:t>
      </w:r>
      <w:r>
        <w:rPr>
          <w:b/>
          <w:bCs/>
        </w:rPr>
        <w:t xml:space="preserve">10th NDB Open Data</w:t>
      </w:r>
      <w:r>
        <w:t xml:space="preserve"> </w:t>
      </w:r>
      <w:r>
        <w:t xml:space="preserve">release: fracture-related procedure counts correspond to</w:t>
      </w:r>
      <w:r>
        <w:t xml:space="preserve"> </w:t>
      </w:r>
      <w:r>
        <w:rPr>
          <w:b/>
          <w:bCs/>
        </w:rPr>
        <w:t xml:space="preserve">Reiwa 5 fiscal year</w:t>
      </w:r>
      <w:r>
        <w:t xml:space="preserve"> </w:t>
      </w:r>
      <w:r>
        <w:t xml:space="preserve">(April 2023 through March 2024) health insurance claims, whereas Specific Health Checkup aggregates used for walking speed correspond to</w:t>
      </w:r>
      <w:r>
        <w:t xml:space="preserve"> </w:t>
      </w:r>
      <w:r>
        <w:rPr>
          <w:b/>
          <w:bCs/>
        </w:rPr>
        <w:t xml:space="preserve">Reiwa 4 fiscal year</w:t>
      </w:r>
      <w:r>
        <w:t xml:space="preserve"> </w:t>
      </w:r>
      <w:r>
        <w:t xml:space="preserve">(April 2022 through March 2023), as defined in Ministry of Health, Labour and Welfare documentation for that release.</w:t>
      </w:r>
    </w:p>
    <w:bookmarkEnd w:id="22"/>
    <w:bookmarkStart w:id="23" w:name="outcome-fracture-surgery-rates"/>
    <w:p>
      <w:pPr>
        <w:pStyle w:val="Heading2"/>
      </w:pPr>
      <w:r>
        <w:t xml:space="preserve">2. Outcome: Fracture Surgery Rates</w:t>
      </w:r>
    </w:p>
    <w:p>
      <w:pPr>
        <w:pStyle w:val="FirstParagraph"/>
      </w:pPr>
      <w:r>
        <w:t xml:space="preserve">Fracture surgery rates were derived from the</w:t>
      </w:r>
      <w:r>
        <w:t xml:space="preserve"> </w:t>
      </w:r>
      <w:r>
        <w:rPr>
          <w:b/>
          <w:bCs/>
        </w:rPr>
        <w:t xml:space="preserve">10th NDB Open Data</w:t>
      </w:r>
      <w:r>
        <w:t xml:space="preserve"> </w:t>
      </w:r>
      <w:r>
        <w:t xml:space="preserve">(released May 30, 2025), which contains prefecture-level counts of medical procedures from</w:t>
      </w:r>
      <w:r>
        <w:t xml:space="preserve"> </w:t>
      </w:r>
      <w:r>
        <w:rPr>
          <w:b/>
          <w:bCs/>
        </w:rPr>
        <w:t xml:space="preserve">Reiwa 5 fiscal year</w:t>
      </w:r>
      <w:r>
        <w:t xml:space="preserve"> </w:t>
      </w:r>
      <w:r>
        <w:t xml:space="preserve">(April 2023 through March 2024) claims under the national health insurance system. We extracted counts for three fracture surgery categories: (1) hip (femur) fracture surgery, (2) humerus fracture surgery, and (3) forearm fracture surgery. Rates were calculated per 100,000 population using population estimates from the 2020 National Census.</w:t>
      </w:r>
    </w:p>
    <w:bookmarkEnd w:id="23"/>
    <w:bookmarkStart w:id="24" w:name="exposure-terrain-slope"/>
    <w:p>
      <w:pPr>
        <w:pStyle w:val="Heading2"/>
      </w:pPr>
      <w:r>
        <w:t xml:space="preserve">3. Exposure: Terrain Slope</w:t>
      </w:r>
    </w:p>
    <w:p>
      <w:pPr>
        <w:pStyle w:val="FirstParagraph"/>
      </w:pPr>
      <w:r>
        <w:t xml:space="preserve">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populations.[10]</w:t>
      </w:r>
    </w:p>
    <w:bookmarkEnd w:id="24"/>
    <w:bookmarkStart w:id="25" w:name="covariate-walking-speed"/>
    <w:p>
      <w:pPr>
        <w:pStyle w:val="Heading2"/>
      </w:pPr>
      <w:r>
        <w:t xml:space="preserve">4. Covariate: Walking Speed</w:t>
      </w:r>
    </w:p>
    <w:p>
      <w:pPr>
        <w:pStyle w:val="FirstParagraph"/>
      </w:pPr>
      <w:r>
        <w:t xml:space="preserve">The proportion of individuals who reported walking fast (fast walking rate, %) was derived from the NDB Specific Health Checkup (Tokutei Kenko Shinsa) questionnaire administered as part of the national annual health screening program. In the 10th NDB Open Data release, prefecture-level Specific Health Checkup tabulations correspond to</w:t>
      </w:r>
      <w:r>
        <w:t xml:space="preserve"> </w:t>
      </w:r>
      <w:r>
        <w:rPr>
          <w:b/>
          <w:bCs/>
        </w:rPr>
        <w:t xml:space="preserve">Reiwa 4 fiscal year</w:t>
      </w:r>
      <w:r>
        <w:t xml:space="preserve"> </w:t>
      </w:r>
      <w:r>
        <w:t xml:space="preserve">(April 2022 through March 2023), which does not coincide with the Reiwa 5 claims window used for fracture outcomes. Participants aged 40–74 years responded to a question on habitual walking speed, and we calculated the prefecture-level proportion of respondents who reported</w:t>
      </w:r>
      <w:r>
        <w:t xml:space="preserve"> </w:t>
      </w:r>
      <w:r>
        <w:t xml:space="preserve">“fast”</w:t>
      </w:r>
      <w:r>
        <w:t xml:space="preserve"> </w:t>
      </w:r>
      <w:r>
        <w:t xml:space="preserve">walking.</w:t>
      </w:r>
    </w:p>
    <w:bookmarkEnd w:id="25"/>
    <w:bookmarkStart w:id="26" w:name="additional-covariates"/>
    <w:p>
      <w:pPr>
        <w:pStyle w:val="Heading2"/>
      </w:pPr>
      <w:r>
        <w:t xml:space="preserve">5. Additional Covariates</w:t>
      </w:r>
    </w:p>
    <w:p>
      <w:pPr>
        <w:pStyle w:val="FirstParagraph"/>
      </w:pPr>
      <w:r>
        <w:t xml:space="preserve">Aging rate (proportion of individuals aged ≥65 years, %) was obtained from the 2020 National Census. Population density (persons per km²) was calculated as total population divided by prefecture area from the same source.</w:t>
      </w:r>
    </w:p>
    <w:bookmarkEnd w:id="26"/>
    <w:bookmarkStart w:id="27" w:name="statistical-analysis"/>
    <w:p>
      <w:pPr>
        <w:pStyle w:val="Heading2"/>
      </w:pPr>
      <w:r>
        <w:t xml:space="preserve">6. Statistical Analysis</w:t>
      </w:r>
    </w:p>
    <w:p>
      <w:pPr>
        <w:pStyle w:val="FirstParagraph"/>
      </w:pPr>
      <w:r>
        <w:t xml:space="preserve">We summarized prefecture-level distributions using mean, SD, median, 25th and 75th percentiles, minimum, and maximum. Pearson correlation coefficients were computed between terrain slope and each outcome and covariate variable. We fit two regression models for each fracture outcome:</w:t>
      </w:r>
    </w:p>
    <w:p>
      <w:pPr>
        <w:pStyle w:val="Compact"/>
        <w:numPr>
          <w:ilvl w:val="0"/>
          <w:numId w:val="1001"/>
        </w:numPr>
      </w:pPr>
      <w:r>
        <w:rPr>
          <w:b/>
          <w:bCs/>
        </w:rPr>
        <w:t xml:space="preserve">Model 1 (unadjusted)</w:t>
      </w:r>
      <w:r>
        <w:t xml:space="preserve">: Simple linear regression of fracture rate on terrain slope only.</w:t>
      </w:r>
    </w:p>
    <w:p>
      <w:pPr>
        <w:pStyle w:val="Compact"/>
        <w:numPr>
          <w:ilvl w:val="0"/>
          <w:numId w:val="1001"/>
        </w:numPr>
      </w:pPr>
      <w:r>
        <w:rPr>
          <w:b/>
          <w:bCs/>
        </w:rPr>
        <w:t xml:space="preserve">Model 2 (multivariable)</w:t>
      </w:r>
      <w:r>
        <w:t xml:space="preserve">: Multiple linear regression of fracture rate on terrain slope, aging rate, fast walking rate, and population density.</w:t>
      </w:r>
      <w:r>
        <w:t xml:space="preserve"> </w:t>
      </w:r>
      <w:r>
        <w:t xml:space="preserve">In the primary causal interpretation, aging rate and fast walking rate were treated as confounder-adjustment variables rather than formal mediators.</w:t>
      </w:r>
    </w:p>
    <w:p>
      <w:pPr>
        <w:pStyle w:val="FirstParagraph"/>
      </w:pPr>
      <w:r>
        <w:t xml:space="preserve">Model performance was assessed using the coefficient of determination (R²), adjusted R², and the F-statistic. Regression coefficients (β) and 95% confidence intervals (CIs) are reported. Statistical significance was defined as</w:t>
      </w:r>
      <w:r>
        <w:t xml:space="preserve"> </w:t>
      </w:r>
      <w:r>
        <w:rPr>
          <w:i/>
          <w:iCs/>
        </w:rPr>
        <w:t xml:space="preserve">p</w:t>
      </w:r>
      <w:r>
        <w:t xml:space="preserve"> </w:t>
      </w:r>
      <w:r>
        <w:t xml:space="preserve">&lt; 0.05 (two-sided). All analyses were performed using Python (version 3.14.2) with</w:t>
      </w:r>
      <w:r>
        <w:t xml:space="preserve"> </w:t>
      </w:r>
      <w:r>
        <w:rPr>
          <w:rStyle w:val="VerbatimChar"/>
        </w:rPr>
        <w:t xml:space="preserve">statsmodels</w:t>
      </w:r>
      <w:r>
        <w:t xml:space="preserve"> </w:t>
      </w:r>
      <w:r>
        <w:t xml:space="preserve">(version 0.14.6). Linear regression models were estimated by ordinary least squares (OLS) using the</w:t>
      </w:r>
      <w:r>
        <w:t xml:space="preserve"> </w:t>
      </w:r>
      <w:r>
        <w:rPr>
          <w:rStyle w:val="VerbatimChar"/>
        </w:rPr>
        <w:t xml:space="preserve">statsmodels</w:t>
      </w:r>
      <w:r>
        <w:t xml:space="preserve"> </w:t>
      </w:r>
      <w:r>
        <w:t xml:space="preserve">formula interface (</w:t>
      </w:r>
      <w:r>
        <w:rPr>
          <w:rStyle w:val="VerbatimChar"/>
        </w:rPr>
        <w:t xml:space="preserve">statsmodels.formula.api.ols</w:t>
      </w:r>
      <w:r>
        <w:t xml:space="preserve">).</w:t>
      </w:r>
    </w:p>
    <w:p>
      <w:pPr>
        <w:pStyle w:val="BodyText"/>
      </w:pPr>
      <w:r>
        <w:t xml:space="preserve">For the primary hip-fracture outcome (Model 2), we assessed linear model assumptions graphically using residuals-versus-fitted and normal quantile–quantile (Q–Q) plots of OLS residuals, and we report the Shapiro–Wilk test on residuals for descriptive completeness (small-</w:t>
      </w:r>
      <w:r>
        <w:rPr>
          <w:i/>
          <w:iCs/>
        </w:rPr>
        <w:t xml:space="preserve">N</w:t>
      </w:r>
      <w:r>
        <w:t xml:space="preserve"> </w:t>
      </w:r>
      <w:r>
        <w:t xml:space="preserve">tests are interpreted cautiously). Because prefecture-level ecological analyses can exhibit heteroskedasticity and leverage from skewed covariates (notably population density), we conducted sensitivity analyses: (1) heteroskedasticity-robust standard errors (HC3) for two-sided</w:t>
      </w:r>
      <w:r>
        <w:t xml:space="preserve"> </w:t>
      </w:r>
      <w:r>
        <w:rPr>
          <w:i/>
          <w:iCs/>
        </w:rPr>
        <w:t xml:space="preserve">p</w:t>
      </w:r>
      <w:r>
        <w:t xml:space="preserve"> </w:t>
      </w:r>
      <w:r>
        <w:t xml:space="preserve">values and CIs, and (2) a nonparametric bootstrap with</w:t>
      </w:r>
      <w:r>
        <w:t xml:space="preserve"> </w:t>
      </w:r>
      <w:r>
        <w:rPr>
          <w:i/>
          <w:iCs/>
        </w:rPr>
        <w:t xml:space="preserve">B</w:t>
      </w:r>
      <w:r>
        <w:t xml:space="preserve"> </w:t>
      </w:r>
      <w:r>
        <w:t xml:space="preserve">= 5,000 resamples of prefectures (with replacement) to obtain a percentile 95% CI for the terrain slope coefficient.</w:t>
      </w:r>
      <w:r>
        <w:t xml:space="preserve"> </w:t>
      </w:r>
      <w:r>
        <w:t xml:space="preserve">Given</w:t>
      </w:r>
      <w:r>
        <w:t xml:space="preserve"> </w:t>
      </w:r>
      <w:r>
        <w:rPr>
          <w:i/>
          <w:iCs/>
        </w:rPr>
        <w:t xml:space="preserve">N</w:t>
      </w:r>
      <w:r>
        <w:t xml:space="preserve"> </w:t>
      </w:r>
      <w:r>
        <w:t xml:space="preserve">= 47 with multiple covariates, we also checked coefficient stability and multicollinearity diagnostics (including model condition number) and interpreted estimates cautiously.</w:t>
      </w:r>
      <w:r>
        <w:t xml:space="preserve"> </w:t>
      </w:r>
      <w:r>
        <w:t xml:space="preserve">As an additional sensitivity analysis for age-structure confounding, we performed indirect standardization for the femur-surgery outcome. We combined NDB age-stratified surgery tables with 2020 census 5-year age-group population counts from e-Stat. Because disclosure-control masking (</w:t>
      </w:r>
      <w:r>
        <w:rPr>
          <w:rStyle w:val="VerbatimChar"/>
        </w:rPr>
        <w:t xml:space="preserve">"-"</w:t>
      </w:r>
      <w:r>
        <w:t xml:space="preserve">) was present in age-stratified surgery cells, we prespecified imputation scenarios (</w:t>
      </w:r>
      <w:r>
        <w:rPr>
          <w:rStyle w:val="VerbatimChar"/>
        </w:rPr>
        <w:t xml:space="preserve">"-" = 0</w:t>
      </w:r>
      <w:r>
        <w:t xml:space="preserve">,</w:t>
      </w:r>
      <w:r>
        <w:t xml:space="preserve"> </w:t>
      </w:r>
      <w:r>
        <w:rPr>
          <w:rStyle w:val="VerbatimChar"/>
        </w:rPr>
        <w:t xml:space="preserve">5</w:t>
      </w:r>
      <w:r>
        <w:t xml:space="preserve">, or</w:t>
      </w:r>
      <w:r>
        <w:t xml:space="preserve"> </w:t>
      </w:r>
      <w:r>
        <w:rPr>
          <w:rStyle w:val="VerbatimChar"/>
        </w:rPr>
        <w:t xml:space="preserve">9</w:t>
      </w:r>
      <w:r>
        <w:t xml:space="preserve">) and repeated the SIR/ISR workflow for each scenario. For each scenario, we calculated national age-specific surgery rates, expected prefectural counts, SIR, and ISR (SIR × national crude rate). We then regressed ISR on terrain slope with and without covariate adjustment. These analyses were treated as sensitivity analyses only (not primary inference), given potential secondary masking.</w:t>
      </w:r>
    </w:p>
    <w:p>
      <w:pPr>
        <w:pStyle w:val="BodyText"/>
      </w:pPr>
      <w:r>
        <w:t xml:space="preserve">All manuscript figures were generated programmatically from study data (not by image-generative AI tools) using reproducible Python workflows: Python 3.14.2 with</w:t>
      </w:r>
      <w:r>
        <w:t xml:space="preserve"> </w:t>
      </w:r>
      <w:r>
        <w:rPr>
          <w:rStyle w:val="VerbatimChar"/>
        </w:rPr>
        <w:t xml:space="preserve">pandas</w:t>
      </w:r>
      <w:r>
        <w:t xml:space="preserve"> </w:t>
      </w:r>
      <w:r>
        <w:t xml:space="preserve">2.3.3,</w:t>
      </w:r>
      <w:r>
        <w:t xml:space="preserve"> </w:t>
      </w:r>
      <w:r>
        <w:rPr>
          <w:rStyle w:val="VerbatimChar"/>
        </w:rPr>
        <w:t xml:space="preserve">numpy</w:t>
      </w:r>
      <w:r>
        <w:t xml:space="preserve"> </w:t>
      </w:r>
      <w:r>
        <w:t xml:space="preserve">2.3.5,</w:t>
      </w:r>
      <w:r>
        <w:t xml:space="preserve"> </w:t>
      </w:r>
      <w:r>
        <w:rPr>
          <w:rStyle w:val="VerbatimChar"/>
        </w:rPr>
        <w:t xml:space="preserve">matplotlib</w:t>
      </w:r>
      <w:r>
        <w:t xml:space="preserve"> </w:t>
      </w:r>
      <w:r>
        <w:t xml:space="preserve">3.10.8,</w:t>
      </w:r>
      <w:r>
        <w:t xml:space="preserve"> </w:t>
      </w:r>
      <w:r>
        <w:rPr>
          <w:rStyle w:val="VerbatimChar"/>
        </w:rPr>
        <w:t xml:space="preserve">seaborn</w:t>
      </w:r>
      <w:r>
        <w:t xml:space="preserve"> </w:t>
      </w:r>
      <w:r>
        <w:t xml:space="preserve">0.13.2,</w:t>
      </w:r>
      <w:r>
        <w:t xml:space="preserve"> </w:t>
      </w:r>
      <w:r>
        <w:rPr>
          <w:rStyle w:val="VerbatimChar"/>
        </w:rPr>
        <w:t xml:space="preserve">scipy</w:t>
      </w:r>
      <w:r>
        <w:t xml:space="preserve"> </w:t>
      </w:r>
      <w:r>
        <w:t xml:space="preserve">1.16.3,</w:t>
      </w:r>
      <w:r>
        <w:t xml:space="preserve"> </w:t>
      </w:r>
      <w:r>
        <w:rPr>
          <w:rStyle w:val="VerbatimChar"/>
        </w:rPr>
        <w:t xml:space="preserve">geopandas</w:t>
      </w:r>
      <w:r>
        <w:t xml:space="preserve"> </w:t>
      </w:r>
      <w:r>
        <w:t xml:space="preserve">1.1.2, and</w:t>
      </w:r>
      <w:r>
        <w:t xml:space="preserve"> </w:t>
      </w:r>
      <w:r>
        <w:rPr>
          <w:rStyle w:val="VerbatimChar"/>
        </w:rPr>
        <w:t xml:space="preserve">japanize_matplotlib</w:t>
      </w:r>
      <w:r>
        <w:t xml:space="preserve"> </w:t>
      </w:r>
      <w:r>
        <w:t xml:space="preserve">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pPr>
        <w:pStyle w:val="BodyText"/>
      </w:pPr>
      <w:r>
        <w:t xml:space="preserve">This study used publicly available aggregate data; individual informed consent was not required, and institutional ethics review was not applicable in accordance with Japanese ethical guidelines for epidemiological research.</w:t>
      </w:r>
    </w:p>
    <w:p>
      <w:r>
        <w:pict>
          <v:rect style="width:0;height:1.5pt" o:hralign="center" o:hrstd="t" o:hr="t"/>
        </w:pict>
      </w:r>
    </w:p>
    <w:bookmarkEnd w:id="27"/>
    <w:bookmarkEnd w:id="28"/>
    <w:bookmarkStart w:id="33" w:name="results"/>
    <w:p>
      <w:pPr>
        <w:pStyle w:val="Heading1"/>
      </w:pPr>
      <w:r>
        <w:t xml:space="preserve">Results</w:t>
      </w:r>
    </w:p>
    <w:bookmarkStart w:id="29" w:name="descriptive-statistics"/>
    <w:p>
      <w:pPr>
        <w:pStyle w:val="Heading2"/>
      </w:pPr>
      <w:r>
        <w:t xml:space="preserve">1. Descriptive Statistics</w:t>
      </w:r>
    </w:p>
    <w:p>
      <w:pPr>
        <w:pStyle w:val="FirstParagraph"/>
      </w:pPr>
      <w:r>
        <w:t xml:space="preserve">Across the 47 Japanese prefectures, the mean habitable-area-weighted terrain slope was 8.57 ± 3.16 degrees (median 8.36; interquartile range [IQR] 6.56–10.95; range 1.81–15.43) (Table 1). The mean hip fracture surgery rate was 254.0 ± 37.6 per 100,000 population (median 253.9; IQR 228.6–286.3; range 167.6–329.6), and the mean total fracture surgery rate was 352.8 ± 54.9 per 100,000 (median 356.1; IQR 306.4–397.1). The mean aging rate was 30.7 ± 3.1% (median 31.3%; IQR 29.3–32.9%), and the mean proportion with fast walking speed was 48.6 ± 4.3% (median 49.2%; IQR 46.2–51.2%). Population density was right-skewed (mean 657 persons/km² versus median 265; IQR 173–469).</w:t>
      </w:r>
    </w:p>
    <w:bookmarkEnd w:id="29"/>
    <w:bookmarkStart w:id="30" w:name="correlation-analysis"/>
    <w:p>
      <w:pPr>
        <w:pStyle w:val="Heading2"/>
      </w:pPr>
      <w:r>
        <w:t xml:space="preserve">2. Correlation Analysis</w:t>
      </w:r>
    </w:p>
    <w:p>
      <w:pPr>
        <w:pStyle w:val="FirstParagraph"/>
      </w:pPr>
      <w:r>
        <w:t xml:space="preserve">Terrain slope showed a moderate positive correlation with hip fracture surgery rate (r = 0.475,</w:t>
      </w:r>
      <w:r>
        <w:t xml:space="preserve"> </w:t>
      </w:r>
      <w:r>
        <w:rPr>
          <w:i/>
          <w:iCs/>
        </w:rPr>
        <w:t xml:space="preserve">p</w:t>
      </w:r>
      <w:r>
        <w:t xml:space="preserve"> </w:t>
      </w:r>
      <w:r>
        <w:t xml:space="preserve">&lt; 0.01) and with total fracture surgery rate (r = 0.394,</w:t>
      </w:r>
      <w:r>
        <w:t xml:space="preserve"> </w:t>
      </w:r>
      <w:r>
        <w:rPr>
          <w:i/>
          <w:iCs/>
        </w:rPr>
        <w:t xml:space="preserve">p</w:t>
      </w:r>
      <w:r>
        <w:t xml:space="preserve"> </w:t>
      </w:r>
      <w:r>
        <w:t xml:space="preserve">&lt; 0.01) (Table 2). Figure 1 illustrates the bivariate association between terrain slope and hip fracture surgery rate; Figure 2 displays the correlation matrix. Slope was also positively correlated with aging rate (r = 0.505,</w:t>
      </w:r>
      <w:r>
        <w:t xml:space="preserve"> </w:t>
      </w:r>
      <w:r>
        <w:rPr>
          <w:i/>
          <w:iCs/>
        </w:rPr>
        <w:t xml:space="preserve">p</w:t>
      </w:r>
      <w:r>
        <w:t xml:space="preserve"> </w:t>
      </w:r>
      <w:r>
        <w:t xml:space="preserve">&lt; 0.01), indicating that prefectures with steeper terrain tend to have older populations. In contrast, slope showed a weak negative correlation with fast walking rate (r = −0.264), suggesting that residents in steeper prefectures were less likely to report fast walking. Slope showed weak and non-significant correlations with humerus fracture rate (r = 0.138) and forearm fracture rate (r = 0.177).</w:t>
      </w:r>
    </w:p>
    <w:bookmarkEnd w:id="30"/>
    <w:bookmarkStart w:id="31" w:name="regression-analysis-hip-fracture"/>
    <w:p>
      <w:pPr>
        <w:pStyle w:val="Heading2"/>
      </w:pPr>
      <w:r>
        <w:t xml:space="preserve">3. Regression Analysis: Hip Fracture</w:t>
      </w:r>
    </w:p>
    <w:p>
      <w:pPr>
        <w:pStyle w:val="FirstParagraph"/>
      </w:pPr>
      <w:r>
        <w:t xml:space="preserve">In the unadjusted model (Model 1), terrain slope was significantly and positively associated with hip fracture surgery rate (β = 5.65; 95% CI, 2.50–8.79; R² = 0.225;</w:t>
      </w:r>
      <w:r>
        <w:t xml:space="preserve"> </w:t>
      </w:r>
      <w:r>
        <w:rPr>
          <w:i/>
          <w:iCs/>
        </w:rPr>
        <w:t xml:space="preserve">p</w:t>
      </w:r>
      <w:r>
        <w:t xml:space="preserve"> </w:t>
      </w:r>
      <w:r>
        <w:t xml:space="preserve">= 0.001). After adjustment for aging rate, fast walking rate, and population density (Model 2), the slope coefficient was 3.49 (95% CI, 0.11–6.86; R² = 0.385;</w:t>
      </w:r>
      <w:r>
        <w:t xml:space="preserve"> </w:t>
      </w:r>
      <w:r>
        <w:rPr>
          <w:i/>
          <w:iCs/>
        </w:rPr>
        <w:t xml:space="preserve">p</w:t>
      </w:r>
      <w:r>
        <w:t xml:space="preserve"> </w:t>
      </w:r>
      <w:r>
        <w:t xml:space="preserve">= 0.043) using conventional (model-based) standard errors (Table 3). Aging rate was also associated with hip fracture rate (β = 5.53; 95% CI, 1.32–9.74;</w:t>
      </w:r>
      <w:r>
        <w:t xml:space="preserve"> </w:t>
      </w:r>
      <w:r>
        <w:rPr>
          <w:i/>
          <w:iCs/>
        </w:rPr>
        <w:t xml:space="preserve">p</w:t>
      </w:r>
      <w:r>
        <w:t xml:space="preserve"> </w:t>
      </w:r>
      <w:r>
        <w:t xml:space="preserve">= 0.011). Fast walking rate was positively associated with hip fracture rate under HC3 robust inference (β = 2.02; 95% CI, 0.29–3.74;</w:t>
      </w:r>
      <w:r>
        <w:t xml:space="preserve"> </w:t>
      </w:r>
      <w:r>
        <w:rPr>
          <w:i/>
          <w:iCs/>
        </w:rPr>
        <w:t xml:space="preserve">p</w:t>
      </w:r>
      <w:r>
        <w:t xml:space="preserve"> </w:t>
      </w:r>
      <w:r>
        <w:t xml:space="preserve">= 0.022) but not under conventional standard errors (β = 2.02; 95% CI, −0.34–4.37;</w:t>
      </w:r>
      <w:r>
        <w:t xml:space="preserve"> </w:t>
      </w:r>
      <w:r>
        <w:rPr>
          <w:i/>
          <w:iCs/>
        </w:rPr>
        <w:t xml:space="preserve">p</w:t>
      </w:r>
      <w:r>
        <w:t xml:space="preserve"> </w:t>
      </w:r>
      <w:r>
        <w:t xml:space="preserve">= 0.091). Population density was not significantly associated with hip fracture rate (β = −0.001;</w:t>
      </w:r>
      <w:r>
        <w:t xml:space="preserve"> </w:t>
      </w:r>
      <w:r>
        <w:rPr>
          <w:i/>
          <w:iCs/>
        </w:rPr>
        <w:t xml:space="preserve">p</w:t>
      </w:r>
      <w:r>
        <w:t xml:space="preserve"> </w:t>
      </w:r>
      <w:r>
        <w:t xml:space="preserve">= 0.818).</w:t>
      </w:r>
    </w:p>
    <w:p>
      <w:pPr>
        <w:pStyle w:val="BodyText"/>
      </w:pPr>
      <w:r>
        <w:t xml:space="preserve">Residual diagnostics for Model 2 did not indicate gross deviations from linearity in residuals versus fitted values. The Shapiro–Wilk test on OLS residuals was</w:t>
      </w:r>
      <w:r>
        <w:t xml:space="preserve"> </w:t>
      </w:r>
      <w:r>
        <w:rPr>
          <w:i/>
          <w:iCs/>
        </w:rPr>
        <w:t xml:space="preserve">W</w:t>
      </w:r>
      <w:r>
        <w:t xml:space="preserve"> </w:t>
      </w:r>
      <w:r>
        <w:t xml:space="preserve">= 0.957 (</w:t>
      </w:r>
      <w:r>
        <w:rPr>
          <w:i/>
          <w:iCs/>
        </w:rPr>
        <w:t xml:space="preserve">p</w:t>
      </w:r>
      <w:r>
        <w:t xml:space="preserve"> </w:t>
      </w:r>
      <w:r>
        <w:t xml:space="preserve">= 0.079). Sensitivity analyses, however, indicated inferential fragility for the primary slope coefficient at</w:t>
      </w:r>
      <w:r>
        <w:t xml:space="preserve"> </w:t>
      </w:r>
      <w:r>
        <w:rPr>
          <w:i/>
          <w:iCs/>
        </w:rPr>
        <w:t xml:space="preserve">N</w:t>
      </w:r>
      <w:r>
        <w:t xml:space="preserve"> </w:t>
      </w:r>
      <w:r>
        <w:t xml:space="preserve">= 47: heteroskedasticity-robust (HC3) 95% CIs were −0.19 to 7.17 (</w:t>
      </w:r>
      <w:r>
        <w:rPr>
          <w:i/>
          <w:iCs/>
        </w:rPr>
        <w:t xml:space="preserve">p</w:t>
      </w:r>
      <w:r>
        <w:t xml:space="preserve"> </w:t>
      </w:r>
      <w:r>
        <w:t xml:space="preserve">= 0.063), and a nonparametric bootstrap 95% CI (prefecture resampling,</w:t>
      </w:r>
      <w:r>
        <w:t xml:space="preserve"> </w:t>
      </w:r>
      <w:r>
        <w:rPr>
          <w:i/>
          <w:iCs/>
        </w:rPr>
        <w:t xml:space="preserve">B</w:t>
      </w:r>
      <w:r>
        <w:t xml:space="preserve"> </w:t>
      </w:r>
      <w:r>
        <w:t xml:space="preserve">= 5,000) was −0.03 to 7.09 (both intervals include null).</w:t>
      </w:r>
      <w:r>
        <w:t xml:space="preserve"> </w:t>
      </w:r>
      <w:r>
        <w:t xml:space="preserve">In masking-imputation indirect-standardization sensitivity analyses (Methods), the terrain slope coefficient remained positive in multivariable linear regression models of indirectly standardized hip (femur) surgery rates (ISR; ISR ~ terrain slope + aging rate + fast walking rate + population density) across all three prespecified imputation scenarios for masked (</w:t>
      </w:r>
      <w:r>
        <w:rPr>
          <w:rStyle w:val="VerbatimChar"/>
        </w:rPr>
        <w:t xml:space="preserve">"-"</w:t>
      </w:r>
      <w:r>
        <w:t xml:space="preserve">) cells in publicly released age-stratified surgery tables (Table 5). The direction of association was stable, whereas effect sizes depended on masking assumptions.</w:t>
      </w:r>
    </w:p>
    <w:bookmarkEnd w:id="31"/>
    <w:bookmarkStart w:id="32" w:name="X19b7a829deade195ab8e30bfbfddb97c9ee92ae"/>
    <w:p>
      <w:pPr>
        <w:pStyle w:val="Heading2"/>
      </w:pPr>
      <w:r>
        <w:t xml:space="preserve">4. Regression Analysis: Total, Humerus, and Forearm Fractures</w:t>
      </w:r>
    </w:p>
    <w:p>
      <w:pPr>
        <w:pStyle w:val="FirstParagraph"/>
      </w:pPr>
      <w:r>
        <w:t xml:space="preserve">In the unadjusted model, slope was significantly associated with total fracture surgery rate (β = 6.85; 95% CI, 2.06–11.64; R² = 0.156;</w:t>
      </w:r>
      <w:r>
        <w:t xml:space="preserve"> </w:t>
      </w:r>
      <w:r>
        <w:rPr>
          <w:i/>
          <w:iCs/>
        </w:rPr>
        <w:t xml:space="preserve">p</w:t>
      </w:r>
      <w:r>
        <w:t xml:space="preserve"> </w:t>
      </w:r>
      <w:r>
        <w:t xml:space="preserve">= 0.006). In the multivariable model, however, slope did not reach statistical significance for total fracture rate (β = 4.47;</w:t>
      </w:r>
      <w:r>
        <w:t xml:space="preserve"> </w:t>
      </w:r>
      <w:r>
        <w:rPr>
          <w:i/>
          <w:iCs/>
        </w:rPr>
        <w:t xml:space="preserve">p</w:t>
      </w:r>
      <w:r>
        <w:t xml:space="preserve"> </w:t>
      </w:r>
      <w:r>
        <w:t xml:space="preserve">= 0.099), although aging rate remained a significant predictor (β = 7.19;</w:t>
      </w:r>
      <w:r>
        <w:t xml:space="preserve"> </w:t>
      </w:r>
      <w:r>
        <w:rPr>
          <w:i/>
          <w:iCs/>
        </w:rPr>
        <w:t xml:space="preserve">p</w:t>
      </w:r>
      <w:r>
        <w:t xml:space="preserve"> </w:t>
      </w:r>
      <w:r>
        <w:t xml:space="preserve">= 0.035; R² = 0.276). Neither humerus fracture rate (Model 1:</w:t>
      </w:r>
      <w:r>
        <w:t xml:space="preserve"> </w:t>
      </w:r>
      <w:r>
        <w:rPr>
          <w:i/>
          <w:iCs/>
        </w:rPr>
        <w:t xml:space="preserve">p</w:t>
      </w:r>
      <w:r>
        <w:t xml:space="preserve"> </w:t>
      </w:r>
      <w:r>
        <w:t xml:space="preserve">= 0.355; Model 2: R² = 0.107) nor forearm fracture rate (Model 1:</w:t>
      </w:r>
      <w:r>
        <w:t xml:space="preserve"> </w:t>
      </w:r>
      <w:r>
        <w:rPr>
          <w:i/>
          <w:iCs/>
        </w:rPr>
        <w:t xml:space="preserve">p</w:t>
      </w:r>
      <w:r>
        <w:t xml:space="preserve"> </w:t>
      </w:r>
      <w:r>
        <w:t xml:space="preserve">= 0.233; Model 2: R² = 0.062) was significantly associated with terrain slope in either model.</w:t>
      </w:r>
    </w:p>
    <w:p>
      <w:r>
        <w:pict>
          <v:rect style="width:0;height:1.5pt" o:hralign="center" o:hrstd="t" o:hr="t"/>
        </w:pict>
      </w:r>
    </w:p>
    <w:bookmarkEnd w:id="32"/>
    <w:bookmarkEnd w:id="33"/>
    <w:bookmarkStart w:id="42" w:name="discussion"/>
    <w:p>
      <w:pPr>
        <w:pStyle w:val="Heading1"/>
      </w:pPr>
      <w:r>
        <w:t xml:space="preserve">Discussion</w:t>
      </w:r>
    </w:p>
    <w:bookmarkStart w:id="34" w:name="main-findings"/>
    <w:p>
      <w:pPr>
        <w:pStyle w:val="Heading2"/>
      </w:pPr>
      <w:r>
        <w:t xml:space="preserve">1. Main Findings</w:t>
      </w:r>
    </w:p>
    <w:p>
      <w:pPr>
        <w:pStyle w:val="FirstParagraph"/>
      </w:pPr>
      <w:r>
        <w:t xml:space="preserve">This ecological study showed a positive association between prefectural-level terrain slope and hip fracture surgery rates after adjustment for aging rate, walking speed, and population density (β = 3.49 per one-degree increase; conventional 95% CI, 0.11–6.86;</w:t>
      </w:r>
      <w:r>
        <w:t xml:space="preserve"> </w:t>
      </w:r>
      <w:r>
        <w:rPr>
          <w:i/>
          <w:iCs/>
        </w:rPr>
        <w:t xml:space="preserve">p</w:t>
      </w:r>
      <w:r>
        <w:t xml:space="preserve"> </w:t>
      </w:r>
      <w:r>
        <w:t xml:space="preserve">= 0.043), while acknowledging that heteroskedasticity-robust and bootstrap intervals for the slope coefficient were compatible with no association at α = 0.05. Each additional degree of slope corresponded to approximately 3.5 additional hip fracture surgeries per 100,000 population under the primary OLS parameterization. The adjusted association was specific to hip fractures and was not observed for humerus or forearm fractures. These findings suggest that, at the population level, steeper habitable terrain may track hip-specific surgical burden beyond compositional aging and self-reported walking pace.</w:t>
      </w:r>
    </w:p>
    <w:bookmarkEnd w:id="34"/>
    <w:bookmarkStart w:id="35" w:name="biological-plausibility"/>
    <w:p>
      <w:pPr>
        <w:pStyle w:val="Heading2"/>
      </w:pPr>
      <w:r>
        <w:t xml:space="preserve">2. Biological Plausibility</w:t>
      </w:r>
    </w:p>
    <w:p>
      <w:pPr>
        <w:pStyle w:val="FirstParagraph"/>
      </w:pPr>
      <w:r>
        <w:t xml:space="preserve">The slope-fracture association observed for the hip may be biologically plausible and may be partly supported by biomechanical evidence. Hip fractures typically result from lateral (sideways) falls,[22, 23] which are common fall mechanisms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30-fold.[23, 24] The impact forces generated during lateral falls typically reach 2,000 to 4,000 N, exceeding the physiological tolerance of osteoporotic femoral necks.[25] Finite element method (FEM) simulations have further suggested that posterolateral and lateral impacts generate maximum tensile and compressive stresses at the superior and inferior aspects of the femoral neck, potentially increasing fracture vulnerability.[26]</w:t>
      </w:r>
    </w:p>
    <w:p>
      <w:pPr>
        <w:pStyle w:val="BodyText"/>
      </w:pPr>
      <w:r>
        <w:t xml:space="preserve">When walking downhill or across a slope, the body’s center of mass (CoM) shifts laterally, and the control of lateral stability becomes increasingly difficult.[27, 28] The human gait pattern is biomechanically analogous to an inverted pendulum, with CoM tracing a bow-tie-shaped trajectory in three-dimensional space.[28] On sloped terrain, maintaining CoM within the base of support (BoS) requires precise step-by-step adjustments of step width and foot placement.[29] For older adults with age-related declines in hip abductor strength and ankle dorsiflexion, the margin of stability (MoS) during inclined walking is dramatically reduced.[11, 13] Slips or minor perturbations that could be corrected via cross-over steps on flat surfaces become unarrested lateral falls on slopes due to delayed postural reflexes and environmental constraints.[12, 28]</w:t>
      </w:r>
    </w:p>
    <w:p>
      <w:pPr>
        <w:pStyle w:val="BodyText"/>
      </w:pPr>
      <w:r>
        <w:t xml:space="preserve">In contrast, wrist (forearm) fractures are more commonly caused by protective extension reflexes during forward falls on flat surfaces.[30] When falling forward, individuals instinctively extend their arms to protect the head and torso, and kinematic studies show that elbow flexion and wrist dorsiflexion absorb fall energy, dramatically reducing pelvic impact velocity.[30] Such forward falls typically occur from tripping on minor obstacles or steps indoors, rather than from rapid lateral displacement on steep slopes.[31] Similarly, humerus fractures in older adults often result from low-energy obliquely forward falls on level ground and occur in relatively younger, more ambulatory individuals who retain arm-protective reflexes.[32] The fracture-site specificity observed in our data—significant association with hip fractures but not with humerus or forearm fractures—provides internal evidence that is consistent with a biomechanical paradigm in which terrain slope may specifically amplify lateral fall risk.</w:t>
      </w:r>
    </w:p>
    <w:bookmarkEnd w:id="35"/>
    <w:bookmarkStart w:id="36" w:name="comparison-with-previous-studies"/>
    <w:p>
      <w:pPr>
        <w:pStyle w:val="Heading2"/>
      </w:pPr>
      <w:r>
        <w:t xml:space="preserve">3. Comparison with Previous Studies</w:t>
      </w:r>
    </w:p>
    <w:p>
      <w:pPr>
        <w:pStyle w:val="FirstParagraph"/>
      </w:pPr>
      <w:r>
        <w:t xml:space="preserve">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regions.[20] The NOREPOS investigators further identified that cold ambient temperature and icy terrain in mountainous areas amplified this geographic risk,[33] a finding with direct relevance to Japan’s snowy mountainous prefectures (e.g., Niigata, Nagano, Yamagata).</w:t>
      </w:r>
    </w:p>
    <w:p>
      <w:pPr>
        <w:pStyle w:val="BodyText"/>
      </w:pPr>
      <w:r>
        <w:t xml:space="preserve">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women.[21] These findings reinforce the generalizability of our results across diverse geographic and ethnic contexts.</w:t>
      </w:r>
    </w:p>
    <w:p>
      <w:pPr>
        <w:pStyle w:val="BodyText"/>
      </w:pPr>
      <w:r>
        <w:t xml:space="preserve">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risk.[34] In Japan, Fujita et al. reported that frequent outdoor activity predicts physical function in rural community-dwelling older adults.[14] However, to our knowledge, no prior study has used nationwide DEM data linked to administrative fracture data to quantify the dose-response association between terrain slope and hip fracture rates at the population level in Japan. Our findings add nationwide quantitative evidence that each one-degree increase in terrain slope was associated with approximately 3.5 additional hip fracture surgeries per 100,000 population, independent of aging rate in the primary model. This quantitative estimate may contribute to the global evidence base for terrain as a modifiable environmental correlate of fracture burden.</w:t>
      </w:r>
    </w:p>
    <w:bookmarkEnd w:id="36"/>
    <w:bookmarkStart w:id="37" w:name="role-of-aging-rate"/>
    <w:p>
      <w:pPr>
        <w:pStyle w:val="Heading2"/>
      </w:pPr>
      <w:r>
        <w:t xml:space="preserve">4. Role of Aging Rate</w:t>
      </w:r>
    </w:p>
    <w:p>
      <w:pPr>
        <w:pStyle w:val="FirstParagraph"/>
      </w:pPr>
      <w:r>
        <w:t xml:space="preserve">Aging rate was the strongest predictor of hip fracture rate in the multivariable model (β = 5.53,</w:t>
      </w:r>
      <w:r>
        <w:t xml:space="preserve"> </w:t>
      </w:r>
      <w:r>
        <w:rPr>
          <w:i/>
          <w:iCs/>
        </w:rPr>
        <w:t xml:space="preserve">p</w:t>
      </w:r>
      <w:r>
        <w:t xml:space="preserve"> </w:t>
      </w:r>
      <w:r>
        <w:t xml:space="preserve">= 0.011). Prefectures with steeper terrain also tended to have higher aging rates (r = 0.505), reflecting the well-documented trend of rural aging in Japan, where mountainous prefectures experience greater outmigration of younger populations.[35, 36, 37] Older adults in these high-slope prefectures thus face a double burden: the physical challenge of navigating harsh terrain on a daily basis (environmental hazard) and the social isolation and lack of medical access associated with rural depopulation (social determinants of health).[38, 39]</w:t>
      </w:r>
    </w:p>
    <w:p>
      <w:pPr>
        <w:pStyle w:val="BodyText"/>
      </w:pPr>
      <w:r>
        <w:t xml:space="preserve">The partial association of slope with hip fracture after adjustment for aging rate suggests that terrain may constitute a risk correlate over and above demographic composition, subject to the inferential sensitivity noted above. This finding has practical implications: even within the context of Japan’s nationwide aging, geographic topography may represent an additional and potentially modifiable layer of fracture risk. Terrain slope may not be merely a proxy for aging and may represent an additional environmental correlate that could contribute to functional decline among rural-dwelling older adults.</w:t>
      </w:r>
      <w:r>
        <w:t xml:space="preserve"> </w:t>
      </w:r>
      <w:r>
        <w:t xml:space="preserve">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p>
    <w:bookmarkEnd w:id="37"/>
    <w:bookmarkStart w:id="38" w:name="walking-speed-as-a-mediator"/>
    <w:p>
      <w:pPr>
        <w:pStyle w:val="Heading2"/>
      </w:pPr>
      <w:r>
        <w:t xml:space="preserve">5. Walking Speed as a Mediator</w:t>
      </w:r>
    </w:p>
    <w:p>
      <w:pPr>
        <w:pStyle w:val="FirstParagraph"/>
      </w:pPr>
      <w:r>
        <w:t xml:space="preserve">At the individual level, slower walking speed is a well-established marker of fracture risk, sarcopenia, frailty, and mortality (often termed the</w:t>
      </w:r>
      <w:r>
        <w:t xml:space="preserve"> </w:t>
      </w:r>
      <w:r>
        <w:t xml:space="preserve">“sixth vital sign”</w:t>
      </w:r>
      <w:r>
        <w:t xml:space="preserve">).[15, 16, 17] Prospective cohort studies in community-dwelling older adults have demonstrated that walking speeds below 0.8 m/s or 0.69 m/s significantly elevate hip fracture incidence.[16] Walking speed measured in clinical settings (flat 10-meter walk tests) may not accurately reflect real-world walking ability on complex outdoor terrain.[18]</w:t>
      </w:r>
    </w:p>
    <w:p>
      <w:pPr>
        <w:pStyle w:val="BodyText"/>
      </w:pPr>
      <w:r>
        <w:t xml:space="preserve">In our ecological data, terrain slope was negatively correlated with prefecture-level fast walking rate (r = −0.264), consistent with residents of steeper prefectures reporting slower habitual walking on average. When confronted with uneven or sloped terrain, older adults unconsciously adopt cautious gait strategies, reducing step length and cadence to enhance stability, which results in substantially slower walking speeds.[11, 18, 19] Older adults residing in high-slope regions are exposed to such challenging terrain daily during shopping and outdoor activities, leading to chronic fear of falling, reduced outdoor activity, and progressive deconditioning (disuse muscle atrophy).[40, 41]</w:t>
      </w:r>
    </w:p>
    <w:p>
      <w:pPr>
        <w:pStyle w:val="BodyText"/>
      </w:pPr>
      <w:r>
        <w:t xml:space="preserve">However, the multivariable OLS coefficient for fast walking rate was</w:t>
      </w:r>
      <w:r>
        <w:t xml:space="preserve"> </w:t>
      </w:r>
      <w:r>
        <w:rPr>
          <w:b/>
          <w:bCs/>
        </w:rPr>
        <w:t xml:space="preserve">positive</w:t>
      </w:r>
      <w:r>
        <w:t xml:space="preserve"> </w:t>
      </w:r>
      <w:r>
        <w:t xml:space="preserve">(β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w:t>
      </w:r>
      <w:r>
        <w:t xml:space="preserve"> </w:t>
      </w:r>
      <w:r>
        <w:rPr>
          <w:i/>
          <w:iCs/>
        </w:rPr>
        <w:t xml:space="preserve">p</w:t>
      </w:r>
      <w:r>
        <w:t xml:space="preserve"> </w:t>
      </w:r>
      <w:r>
        <w:t xml:space="preserve">= 0.091 versus HC3</w:t>
      </w:r>
      <w:r>
        <w:t xml:space="preserve"> </w:t>
      </w:r>
      <w:r>
        <w:rPr>
          <w:i/>
          <w:iCs/>
        </w:rPr>
        <w:t xml:space="preserve">p</w:t>
      </w:r>
      <w:r>
        <w:t xml:space="preserve"> </w:t>
      </w:r>
      <w:r>
        <w:t xml:space="preserve">= 0.022). Plausible drivers include ecological bias, aggregation of a 40–74-year screening metric to represent regions where hip fractures concentrate among the oldest-old, and confounding by unmeasured healthcare and reporting behaviors. Because only the 40–74-year questionnaire aggregate is publicly available, we treated this variable as a contextual covariate and not as a direct proxy for hip fracture risk in the oldest age groups. We therefore did not treat walking speed as a statistically supported mediator of the slope–hip fracture association. Future studies using individual-level data (e.g., objectively measured gait speed, accelerometry) with formal causal mediation analysis are warranted to clarify whether terrain slope influences hip fracture risk partly through its chronic effect on habitual walking capacity.</w:t>
      </w:r>
    </w:p>
    <w:bookmarkEnd w:id="38"/>
    <w:bookmarkStart w:id="39" w:name="policy-implications"/>
    <w:p>
      <w:pPr>
        <w:pStyle w:val="Heading2"/>
      </w:pPr>
      <w:r>
        <w:t xml:space="preserve">6. Policy Implications</w:t>
      </w:r>
    </w:p>
    <w:p>
      <w:pPr>
        <w:pStyle w:val="FirstParagraph"/>
      </w:pPr>
      <w:r>
        <w:t xml:space="preserve">Our findings 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frailty.[4, 42, 43] Acute care costs for hip fracture treatment reached approximately 1,000 billion yen in 2021,[5] prompting the Japanese government to introduce a new reimbursement incentive in April 2022 for early surgery within 48 hours for patients aged ≥75 years.[44]</w:t>
      </w:r>
    </w:p>
    <w:p>
      <w:pPr>
        <w:pStyle w:val="BodyText"/>
      </w:pPr>
      <w:r>
        <w:t xml:space="preserve">First, prefectures with steeper terrain should be prioritized in national fall prevention programs. Japan’s Ministry of Health, Labour and Welfare has promoted the</w:t>
      </w:r>
      <w:r>
        <w:t xml:space="preserve"> </w:t>
      </w:r>
      <w:r>
        <w:t xml:space="preserve">“Active Guide”</w:t>
      </w:r>
      <w:r>
        <w:t xml:space="preserve"> </w:t>
      </w:r>
      <w:r>
        <w:t xml:space="preserve">(Plus-Ten campaign:</w:t>
      </w:r>
      <w:r>
        <w:t xml:space="preserve"> </w:t>
      </w:r>
      <w:r>
        <w:t xml:space="preserve">“add 10 minutes of physical activity daily”</w:t>
      </w:r>
      <w:r>
        <w:t xml:space="preserve">) under the Health Japan 21 (second edition) framework.[45, 46] However, research has shown that physical activity behavior is strongly dependent on neighborhood environmental features (sidewalk availability, safety, topography), not individual motivation alone.[45] Recommending</w:t>
      </w:r>
      <w:r>
        <w:t xml:space="preserve"> </w:t>
      </w:r>
      <w:r>
        <w:t xml:space="preserve">“10 additional minutes of outdoor walking”</w:t>
      </w:r>
      <w:r>
        <w:t xml:space="preserve"> </w:t>
      </w:r>
      <w:r>
        <w:t xml:space="preserve">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pathways.[47]</w:t>
      </w:r>
    </w:p>
    <w:p>
      <w:pPr>
        <w:pStyle w:val="BodyText"/>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bookmarkEnd w:id="39"/>
    <w:bookmarkStart w:id="40" w:name="strengths"/>
    <w:p>
      <w:pPr>
        <w:pStyle w:val="Heading2"/>
      </w:pPr>
      <w:r>
        <w:t xml:space="preserve">7. Strengths</w:t>
      </w:r>
    </w:p>
    <w:p>
      <w:pPr>
        <w:pStyle w:val="FirstParagraph"/>
      </w:pPr>
      <w:r>
        <w:t xml:space="preserve">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bookmarkEnd w:id="40"/>
    <w:bookmarkStart w:id="41" w:name="limitations"/>
    <w:p>
      <w:pPr>
        <w:pStyle w:val="Heading2"/>
      </w:pPr>
      <w:r>
        <w:t xml:space="preserve">8. Limitations</w:t>
      </w:r>
    </w:p>
    <w:p>
      <w:pPr>
        <w:pStyle w:val="FirstParagraph"/>
      </w:pPr>
      <w:r>
        <w:t xml:space="preserve">Several limitations should be considered. First, as an ecological study, our findings are subject to the ecological fallacy: associations observed at the prefecture level may not reflect individual-level relationships.[48]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 Relatedly, fracture procedure counts (Reiwa 5), Specific Health Checkup walking-speed aggregates (Reiwa 4), and 2020 census denominators are not temporally co-extensive; we therefore interpret results as an administrative-data snapshot rather than a strictly harmonized single-year cohort.</w:t>
      </w:r>
    </w:p>
    <w:p>
      <w:pPr>
        <w:pStyle w:val="BodyText"/>
      </w:pPr>
      <w:r>
        <w:t xml:space="preserve">Second, 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the cross-sectional design precludes causal inference. Although reverse causation is unlikely for a fixed environmental exposure such as terrain slope, residual confounding by unmeasured variables cannot be excluded. Fourth, important unmeasured confounders—including individual-level socioeconomic status, healthcare access (e.g., prefectural orthopedic surgeon density, distance to emergency hospitals), nutritional status (calcium and vitamin D intake), bone mineral density (BMD), climate (snowfall and icing), and medication use (bisphosphonates, vitamin D supplementation)—may account for part of the observed association. Future studies incorporating NDB prescription data and BMD screening results at finer geographic resolution would strengthen causal inference.</w:t>
      </w:r>
    </w:p>
    <w:p>
      <w:pPr>
        <w:pStyle w:val="BodyText"/>
      </w:pPr>
      <w:r>
        <w:t xml:space="preserve">Fifth, age-standardization sensitivity results relied on imputation of masked (</w:t>
      </w:r>
      <w:r>
        <w:rPr>
          <w:rStyle w:val="VerbatimChar"/>
        </w:rPr>
        <w:t xml:space="preserve">"-"</w:t>
      </w:r>
      <w:r>
        <w:t xml:space="preserve">) cells in publicly released age-stratified surgery tables. Although directionality was robust across</w:t>
      </w:r>
      <w:r>
        <w:t xml:space="preserve"> </w:t>
      </w:r>
      <w:r>
        <w:rPr>
          <w:rStyle w:val="VerbatimChar"/>
        </w:rPr>
        <w:t xml:space="preserve">0/5/9</w:t>
      </w:r>
      <w:r>
        <w:t xml:space="preserve"> </w:t>
      </w:r>
      <w:r>
        <w:t xml:space="preserve">scenarios, effect size depended on masking assumptions, and secondary masking rules imply that some masked cells may not correspond strictly to the nominal</w:t>
      </w:r>
      <w:r>
        <w:t xml:space="preserve"> </w:t>
      </w:r>
      <w:r>
        <w:rPr>
          <w:rStyle w:val="VerbatimChar"/>
        </w:rPr>
        <w:t xml:space="preserve">&lt;10</w:t>
      </w:r>
      <w:r>
        <w:t xml:space="preserve"> </w:t>
      </w:r>
      <w:r>
        <w:t xml:space="preserve">range. Therefore, these SIR/ISR analyses should be interpreted as robustness checks rather than definitive age-standardized estimates. Sixth, the walking speed variable was based on self-reported habitual walking speed in the Specific Health Checkup questionnaire, administered to individuals aged 40–74 years, because publicly available prefecture-level data were limited to individuals aged 40–74 years in the current NDB Open Data. This variable may not accurately represent the functional capacity of the oldest-old (≥75 years) at highest fracture risk, and its direct relevance to hip fracture occurrence is likely limited at this ecological resolution. Moreover, this self-reported fast-walking indicator primarily reflects perceived walking capacity rather than actual walking volume or direct slope-specific exposure in daily life. This self-reported measure may be subject to non-differential measurement error, biasing our estimates toward the null. Seventh,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pPr>
        <w:pStyle w:val="BodyText"/>
      </w:pPr>
      <w:r>
        <w:t xml:space="preserve">Eighth,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w:t>
      </w:r>
      <w:r>
        <w:t xml:space="preserve"> </w:t>
      </w:r>
      <w:r>
        <w:rPr>
          <w:i/>
          <w:iCs/>
        </w:rPr>
        <w:t xml:space="preserve">p</w:t>
      </w:r>
      <w:r>
        <w:t xml:space="preserve"> </w:t>
      </w:r>
      <w:r>
        <w:t xml:space="preserve">= 0.043 result for the primary slope coefficient in Model 2 was borderline and compatible with no association under alternative variance assumptions.</w:t>
      </w:r>
    </w:p>
    <w:p>
      <w:pPr>
        <w:pStyle w:val="BodyText"/>
      </w:pPr>
      <w:r>
        <w:t xml:space="preserve">Ninth, sex- and gender-stratified outcome tables were not available in the prefecture-level NDB Open Data extracts used here; findings therefore describe aggregate populations and should be interpreted with this limitation in mind.</w:t>
      </w:r>
    </w:p>
    <w:p>
      <w:r>
        <w:pict>
          <v:rect style="width:0;height:1.5pt" o:hralign="center" o:hrstd="t" o:hr="t"/>
        </w:pict>
      </w:r>
    </w:p>
    <w:bookmarkEnd w:id="41"/>
    <w:bookmarkEnd w:id="42"/>
    <w:bookmarkStart w:id="43" w:name="conclusions"/>
    <w:p>
      <w:pPr>
        <w:pStyle w:val="Heading1"/>
      </w:pPr>
      <w:r>
        <w:t xml:space="preserve">Conclusions</w:t>
      </w:r>
    </w:p>
    <w:p>
      <w:pPr>
        <w:pStyle w:val="FirstParagraph"/>
      </w:pPr>
      <w:r>
        <w:t xml:space="preserve">Under primary ordinary least squares estimation, prefectural terrain slope was positively associated with hip fracture surgery rates after adjustment for aging rate, walking speed, and population density (β ≈ 3.5 additional surgeries per 100,000 per one-degree increase; conventional</w:t>
      </w:r>
      <w:r>
        <w:t xml:space="preserve"> </w:t>
      </w:r>
      <w:r>
        <w:rPr>
          <w:i/>
          <w:iCs/>
        </w:rPr>
        <w:t xml:space="preserve">p</w:t>
      </w:r>
      <w:r>
        <w:t xml:space="preserve"> </w:t>
      </w:r>
      <w:r>
        <w:t xml:space="preserve">= 0.043), whereas heteroskedasticity-robust and bootstrap uncertainty quantification yielded borderline support compatible with no association at α = 0.05. Given the limited ecological sample size (</w:t>
      </w:r>
      <w:r>
        <w:rPr>
          <w:i/>
          <w:iCs/>
        </w:rPr>
        <w:t xml:space="preserve">N</w:t>
      </w:r>
      <w:r>
        <w:t xml:space="preserve"> </w:t>
      </w:r>
      <w:r>
        <w:t xml:space="preserve">= 47), these findings should be interpreted as suggestive rather than confirmatory. The adjusted signal was specific to hip fractures, with no significant relationship observed for humerus or forearm fractures, consistent with biomechanical hypotheses emphasizing lateral falls and trochanteric loading on sloped terrain.</w:t>
      </w:r>
    </w:p>
    <w:p>
      <w:pPr>
        <w:pStyle w:val="BodyText"/>
      </w:pPr>
      <w:r>
        <w:t xml:space="preserve">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r>
        <w:pict>
          <v:rect style="width:0;height:1.5pt" o:hralign="center" o:hrstd="t" o:hr="t"/>
        </w:pict>
      </w:r>
    </w:p>
    <w:bookmarkEnd w:id="43"/>
    <w:bookmarkStart w:id="44" w:name="data-availability"/>
    <w:p>
      <w:pPr>
        <w:pStyle w:val="Heading1"/>
      </w:pPr>
      <w:r>
        <w:t xml:space="preserve">Data availability</w:t>
      </w:r>
    </w:p>
    <w:p>
      <w:pPr>
        <w:pStyle w:val="FirstParagraph"/>
      </w:pPr>
      <w:r>
        <w:t xml:space="preserve">Aggregate data used in this study are publicly available from the Japanese National Database Open Data and official statistics cited in the Methods. Under Ministry of Health, Labour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Zenodo) with a DOI and citation in this article, in line with the journal’s research data guidance (Option B). Author contributions will be reported using the CRediT taxonomy on the separate title page required for double-anonymized submission.</w:t>
      </w:r>
    </w:p>
    <w:p>
      <w:r>
        <w:pict>
          <v:rect style="width:0;height:1.5pt" o:hralign="center" o:hrstd="t" o:hr="t"/>
        </w:pict>
      </w:r>
    </w:p>
    <w:bookmarkEnd w:id="44"/>
    <w:bookmarkStart w:id="4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and writing of this work, the authors used AI-assisted tools to support manuscript drafting and statistical analysis scripting. Cursor 2.0 (Anysphere)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r>
        <w:pict>
          <v:rect style="width:0;height:1.5pt" o:hralign="center" o:hrstd="t" o:hr="t"/>
        </w:pict>
      </w:r>
    </w:p>
    <w:bookmarkEnd w:id="45"/>
    <w:bookmarkStart w:id="46" w:name="references"/>
    <w:p>
      <w:pPr>
        <w:pStyle w:val="Heading1"/>
      </w:pPr>
      <w:r>
        <w:t xml:space="preserve">References</w:t>
      </w:r>
    </w:p>
    <w:p>
      <w:pPr>
        <w:pStyle w:val="FirstParagraph"/>
      </w:pPr>
      <w:r>
        <w:t xml:space="preserve">[1] Hagino H, Katagiri H, Okano T, Yamamoto K, Teshima R. Increasing incidence of hip fracture in Tottori Prefecture, Japan: trend from 1986 to 2001. Osteoporos Int. 2005;16(12):1963-1968.</w:t>
      </w:r>
      <w:r>
        <w:t xml:space="preserve"> </w:t>
      </w:r>
      <w:r>
        <w:t xml:space="preserve">[2] Orimo H, Yaegashi Y, Hosoi T, Fukushima Y, Onoda T, Hashimoto T, et al. Hip fracture incidence in Japan: estimates of new patients in 2012 and 25-year trends. Osteoporos Int. 2016;27(5):1777-1784.</w:t>
      </w:r>
      <w:r>
        <w:t xml:space="preserve"> </w:t>
      </w:r>
      <w:r>
        <w:t xml:space="preserve">[3] Cooper C, Campion G, Melton LJ 3rd. Hip fractures in the elderly: a world-wide projection. Osteoporos Int. 1992;2(6):285-289.</w:t>
      </w:r>
      <w:r>
        <w:t xml:space="preserve"> </w:t>
      </w:r>
      <w:r>
        <w:t xml:space="preserve">[4] Nakatoh S, Fujimori K, Ishii S, Iki M. Trends in the incidence of hip fractures and osteoporosis treatment in Japan (FY2012–FY2023). Arch Osteoporos. 2025; 21(1):16.</w:t>
      </w:r>
      <w:r>
        <w:t xml:space="preserve"> </w:t>
      </w:r>
      <w:r>
        <w:t xml:space="preserve">[5] Hatano M, Yasunaga H, Ishikura H, et al. Temporal trends in acute care costs of hip fracture treatment from 2011 to 2021 in Japan. Arch Osteoporos. 2025;20(1):124.</w:t>
      </w:r>
      <w:r>
        <w:t xml:space="preserve"> </w:t>
      </w:r>
      <w:r>
        <w:t xml:space="preserve">[6] Cummings SR, Nevitt MC. A hypothesis: the causes of hip fractures. J Gerontol. 1989;44(4):M107-M111.</w:t>
      </w:r>
      <w:r>
        <w:t xml:space="preserve"> </w:t>
      </w:r>
      <w:r>
        <w:t xml:space="preserve">[7] Tinetti ME. Clinical practice. Preventing falls in elderly persons. N Engl J Med. 2003;348(1):42-49.</w:t>
      </w:r>
      <w:r>
        <w:t xml:space="preserve"> </w:t>
      </w:r>
      <w:r>
        <w:t xml:space="preserve">[8] Stevens JA, Sogolow ED. Gender differences for non-fatal unintentional fall related injuries among older adults. Inj Prev. 2005;11(2):115-119.</w:t>
      </w:r>
      <w:r>
        <w:t xml:space="preserve"> </w:t>
      </w:r>
      <w:r>
        <w:t xml:space="preserve">[9] Li W, Keegan TH, Sternfeld B, Sidney S, Quesenberry CP Jr, Kelsey JL. Outdoor falls among middle-aged and older adults: a neglected public health problem. Am J Public Health. 2006;96(7):1192-1200.</w:t>
      </w:r>
      <w:r>
        <w:t xml:space="preserve"> </w:t>
      </w:r>
      <w:r>
        <w:t xml:space="preserve">[10] Redfern MS, Cham R, Gielo-Perczak K, et al. Biomechanics of slips. Ergonomics. 2001;44(13):1138-1166.</w:t>
      </w:r>
      <w:r>
        <w:t xml:space="preserve"> </w:t>
      </w:r>
      <w:r>
        <w:t xml:space="preserve">[11] Franz JR, Kram R. Advanced age affects the individual leg mechanics of level, uphill, and downhill walking. J Biomech. 2013;46(3):535-540.</w:t>
      </w:r>
      <w:r>
        <w:t xml:space="preserve"> </w:t>
      </w:r>
      <w:r>
        <w:t xml:space="preserve">[12] Reimann H, Ramadan R, Fettrow T, Hafer JF, Geyer H, Jeka JJ. Interactions between different age-related factors affecting balance control in walking. Front Sports Act Living. 2020;2:94.</w:t>
      </w:r>
      <w:r>
        <w:t xml:space="preserve"> </w:t>
      </w:r>
      <w:r>
        <w:t xml:space="preserve">[13] Marigold DS, Patla AE. Strategies for dynamic stability during locomotion on a slippery surface: effects of prior experience and knowledge. J Neurophysiol. 2002;88(1):339-353.</w:t>
      </w:r>
      <w:r>
        <w:t xml:space="preserve"> </w:t>
      </w:r>
      <w:r>
        <w:t xml:space="preserve">[14] Fujita K, Fujiwara Y, Chaves PH, Motohashi Y, Shinkai S. Frequency of going outdoors as a good predictors for incident disability of physical function as well as disability recovery in community-dwelling older adults in rural Japan. J Epidemiol. 2006;16(6):261-270.</w:t>
      </w:r>
      <w:r>
        <w:t xml:space="preserve"> </w:t>
      </w:r>
      <w:r>
        <w:t xml:space="preserve">[15] Quach L, Galica AM, Jones RN, et al. The nonlinear relationship between gait speed and falls: the MOBILIZE Boston Study. J Am Geriatr Soc. 2011;59(6):1069-1073.</w:t>
      </w:r>
      <w:r>
        <w:t xml:space="preserve"> </w:t>
      </w:r>
      <w:r>
        <w:t xml:space="preserve">[16] Dargent-Molina P, Favier F, Grandjean H, et al. Fall-related factors and risk of hip fracture: the EPIDOS prospective study. Lancet. 1996;348(9021):145-149.</w:t>
      </w:r>
      <w:r>
        <w:t xml:space="preserve"> </w:t>
      </w:r>
      <w:r>
        <w:t xml:space="preserve">[17] Studenski S, Perera S, Patel K, et al. Gait speed and survival in older adults. JAMA. 2011;305(1):50-58.</w:t>
      </w:r>
      <w:r>
        <w:t xml:space="preserve"> </w:t>
      </w:r>
      <w:r>
        <w:t xml:space="preserve">[18] Thies SB, Richardson JK, Ashton-Miller JA. Effects of surface irregularity and lighting on step variability during gait: a study in healthy young and older women. Gait Posture. 2005;22(1):26-31.</w:t>
      </w:r>
      <w:r>
        <w:t xml:space="preserve"> </w:t>
      </w:r>
      <w:r>
        <w:t xml:space="preserve">[19] Maki BE. Gait changes in older adults: predictors of falls or indicators of fear. J Am Geriatr Soc. 1997;45(3):313-320.</w:t>
      </w:r>
      <w:r>
        <w:t xml:space="preserve"> </w:t>
      </w:r>
      <w:r>
        <w:t xml:space="preserve">[20] Dahl C, Madsen C, Omsland TK, Søgaard AJ, Tell GS, Holvik K, Meyer HE. Contribution of elevation and residential proximity to the coast in explaining geographic variations in hip fracture incidence. A Norwegian Epidemiologic Osteoporosis Studies (NOREPOS) study. Osteoporos Int. 2021;32(5):1001-1006.</w:t>
      </w:r>
      <w:r>
        <w:t xml:space="preserve"> </w:t>
      </w:r>
      <w:r>
        <w:t xml:space="preserve">[21] Wang S, Zhang F, Guo Y, Chen C, Zhong Y, Hao D, Zhu S, Wu Y. Exposure to high altitude is associated with an elevated risk of hip fracture: a retrospective cohort study using data from the CHARLS. BMC Geriatr. 2025;25(1):884.</w:t>
      </w:r>
      <w:r>
        <w:t xml:space="preserve"> </w:t>
      </w:r>
      <w:r>
        <w:t xml:space="preserve">[22] Nevitt MC, Cummings SR. Type of fall and risk of hip and wrist fractures: the study of osteoporotic fractures. J Am Geriatr Soc. 1993;41(11):1226-1234.</w:t>
      </w:r>
      <w:r>
        <w:t xml:space="preserve"> </w:t>
      </w:r>
      <w:r>
        <w:t xml:space="preserve">[23] Yang Y, Komisar V, Shishov N, et al. The effect of fall biomechanics on risk for hip fracture in older adults: a cohort study of video-captured falls in long-term care. J Bone Miner Res. 2020;35(10):1914-1922.</w:t>
      </w:r>
      <w:r>
        <w:t xml:space="preserve"> </w:t>
      </w:r>
      <w:r>
        <w:t xml:space="preserve">[24] Hayes WC, Myers ER, Morris JN, Gerhart TN, Yett HS, Lipsitz LA. Impact near the hip dominates fracture risk in elderly nursing home residents who fall. Calcif Tissue Int. 1993;52(3):192-198.</w:t>
      </w:r>
      <w:r>
        <w:t xml:space="preserve"> </w:t>
      </w:r>
      <w:r>
        <w:t xml:space="preserve">[25] Sarvi MN, Luo Y. A two-level subject-specific biomechanical model for improving prediction of hip fracture risk. Clin Biomech (Bristol, Avon). 2015;30(8):881-887.</w:t>
      </w:r>
      <w:r>
        <w:t xml:space="preserve"> </w:t>
      </w:r>
      <w:r>
        <w:t xml:space="preserve">[26] Faisal TR, Luo Y. Study of stress variations in single-stance and sideways fall using image-based finite element analysis. Biomed Mater Eng. 2016;27(1):1-14.</w:t>
      </w:r>
      <w:r>
        <w:t xml:space="preserve"> </w:t>
      </w:r>
      <w:r>
        <w:t xml:space="preserve">[27] Ortega JD, Farley CT. Minimizing center of mass vertical movement increases metabolic cost in walking. J Appl Physiol (1985). 2005;99(6):2099-2107.</w:t>
      </w:r>
      <w:r>
        <w:t xml:space="preserve"> </w:t>
      </w:r>
      <w:r>
        <w:t xml:space="preserve">[28] Tesio L, Rota V. The motion of body center of mass during walking: a review oriented to clinical applications. Front Neurol. 2019;10:999.</w:t>
      </w:r>
      <w:r>
        <w:t xml:space="preserve"> </w:t>
      </w:r>
      <w:r>
        <w:t xml:space="preserve">[29] Hak L, Houdijk H, Steenbrink F, Mert A, van der Wurff P, Beek PJ, van Dieën JH. Stepping strategies for regulating gait adaptability and stability. J Biomech. 2013;46(5):905-911.</w:t>
      </w:r>
      <w:r>
        <w:t xml:space="preserve"> </w:t>
      </w:r>
      <w:r>
        <w:t xml:space="preserve">[30] Kim KJ, Ashton-Miller JA. Biomechanics of fall arrest using the upper extremity: age differences. Clin Biomech (Bristol, Avon). 2003;18(4):311-318.</w:t>
      </w:r>
      <w:r>
        <w:t xml:space="preserve"> </w:t>
      </w:r>
      <w:r>
        <w:t xml:space="preserve">[31] O’Neill TW, Varlow J, Silman AJ, et al. Age and sex influences on fall characteristics. Ann Rheum Dis. 1994;53(11):773-775.</w:t>
      </w:r>
      <w:r>
        <w:t xml:space="preserve"> </w:t>
      </w:r>
      <w:r>
        <w:t xml:space="preserve">[32] Court-Brown CM, Caesar B. Epidemiology of adult fractures: a review. Injury. 2006;37(8):691-697.</w:t>
      </w:r>
      <w:r>
        <w:t xml:space="preserve"> </w:t>
      </w:r>
      <w:r>
        <w:t xml:space="preserve">[33] Dahl C, Madsen C, Omsland TK, et al. The association of cold ambient temperature with fracture risk and mortality: national data from Norway—a Norwegian Epidemiologic Osteoporosis Studies (NOREPOS) study. J Bone Miner Res. 2022;37(8):1527-1536.</w:t>
      </w:r>
      <w:r>
        <w:t xml:space="preserve"> </w:t>
      </w:r>
      <w:r>
        <w:t xml:space="preserve">[34] Blackwood J, Suzuki R, Karczewski H. Perceived neighborhood walkability is associated with recent falls in urban dwelling older adults. J Geriatr Phys Ther. 2022;45(1):E8-E15.</w:t>
      </w:r>
      <w:r>
        <w:t xml:space="preserve"> </w:t>
      </w:r>
      <w:r>
        <w:t xml:space="preserve">[35] 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r>
        <w:t xml:space="preserve"> </w:t>
      </w:r>
      <w:r>
        <w:t xml:space="preserve">[36] Consalvo S. Impact of population ageing on Japan’s inter-prefectural migration. Data Science and Service Research Discussion Paper No. 129. Tohoku University, 2022.</w:t>
      </w:r>
      <w:r>
        <w:t xml:space="preserve"> </w:t>
      </w:r>
      <w:r>
        <w:t xml:space="preserve">[37] Smith SG, O’Conor R, Curtis LM, Waite K, Deary IJ, Paasche-Orlow M, Wolf MS. Low health literacy predicts decline in physical function among older adults: findings from the LitCog cohort study. J Epidemiol Community Health. 2015;69(5):474-480.</w:t>
      </w:r>
      <w:r>
        <w:t xml:space="preserve"> </w:t>
      </w:r>
      <w:r>
        <w:t xml:space="preserve">[38] Kobayashi K, Nishida T, Sakakibara H. Factors associated with low albumin in community-dwelling older adults aged 75 years and above. Int J Environ Res Public Health. 2023;20(21):6994.</w:t>
      </w:r>
      <w:r>
        <w:t xml:space="preserve"> </w:t>
      </w:r>
      <w:r>
        <w:t xml:space="preserve">[39] Murayama H, Nishi M, Matsuo E, et al. Do bonding and bridging social capital affect self-rated health, depressive mood and cognitive decline in older Japanese? A prospective cohort study. Soc Sci Med. 2013;98:247-252.</w:t>
      </w:r>
      <w:r>
        <w:t xml:space="preserve"> </w:t>
      </w:r>
      <w:r>
        <w:t xml:space="preserve">[40] Delbaere K, Close JC, Brodaty H, Sachdev P, Lord SR. Determinants of disparities between perceived and physiological risk of falling among elderly people: cohort study. BMJ. 2010;341:c4165.</w:t>
      </w:r>
      <w:r>
        <w:t xml:space="preserve"> </w:t>
      </w:r>
      <w:r>
        <w:t xml:space="preserve">[41] Kempen GI, van Haastregt JC, McKee KJ, Delbaere K, Zijlstra GA. Socio-demographic, health-related and psychosocial correlates of fear of falling and avoidance of activity in community-living older persons who avoid activity due to fear of falling. BMC Public Health. 2009;9:170.</w:t>
      </w:r>
      <w:r>
        <w:t xml:space="preserve"> </w:t>
      </w:r>
      <w:r>
        <w:t xml:space="preserve">[42] Inage K, Kondo N, Komatsubara S, et al. Current status of patients with hip fracture in Japan: a nationwide survey. J Orthop Sci. 2025. doi:10.1016/j.jos.2025.05.014.</w:t>
      </w:r>
      <w:r>
        <w:t xml:space="preserve"> </w:t>
      </w:r>
      <w:r>
        <w:t xml:space="preserve">[43] Nakatoh S, Fujimori K, Ishii S, Tamaki J, Okimoto N, Ogawa S, Iki M. Trends in the incidence of secondary hip fractures and osteoporosis treatment in Japan (FY2012-FY2023). Arch Osteoporos. 2026;21(1):15.</w:t>
      </w:r>
      <w:r>
        <w:t xml:space="preserve"> </w:t>
      </w:r>
      <w:r>
        <w:t xml:space="preserve">[44] Yamamoto N, Sawaguchi T, Matsushita T, et al. Fragility Fracture Network-Japan: the challenge of establishment of a national hip fracture database and successful achievement of nationwide health system change for hip fracture care in Japan. Injury. 2024;55(6):111452.</w:t>
      </w:r>
      <w:r>
        <w:t xml:space="preserve"> </w:t>
      </w:r>
      <w:r>
        <w:t xml:space="preserve">[45] Miyachi M, Tripette J, Kawakami R, Murakami H.</w:t>
      </w:r>
      <w:r>
        <w:t xml:space="preserve"> </w:t>
      </w:r>
      <w:r>
        <w:t xml:space="preserve">“+10 min of physical activity per day”</w:t>
      </w:r>
      <w:r>
        <w:t xml:space="preserve">: Japan is looking for efficient but feasible recommendations for its population. J Nutr Sci Vitaminol (Tokyo). 2015;61 Suppl:S7-9.</w:t>
      </w:r>
      <w:r>
        <w:t xml:space="preserve"> </w:t>
      </w:r>
      <w:r>
        <w:t xml:space="preserve">[46] Murakami H, Tripette J, Kawakami R, Miyachi M.</w:t>
      </w:r>
      <w:r>
        <w:t xml:space="preserve"> </w:t>
      </w:r>
      <w:r>
        <w:t xml:space="preserve">“Add 10 min for your health”</w:t>
      </w:r>
      <w:r>
        <w:t xml:space="preserve">: the new Japanese recommendation for physical activity based on dose-response analysis. J Am Coll Cardiol. 2015;65(11):1153-1154.</w:t>
      </w:r>
      <w:r>
        <w:t xml:space="preserve"> </w:t>
      </w:r>
      <w:r>
        <w:t xml:space="preserve">[47] Sherrington C, Fairhall NJ, Wallbank GK, et al. Exercise for preventing falls in older people living in the community. Cochrane Database Syst Rev. 2019;1(1):CD012424.</w:t>
      </w:r>
      <w:r>
        <w:t xml:space="preserve"> </w:t>
      </w:r>
      <w:r>
        <w:t xml:space="preserve">[48] Rothman KJ, Greenland S, Lash TL. Modern Epidemiology. 3rd ed. Philadelphia: Lippincott Williams &amp; Wilkins; 2008.</w:t>
      </w:r>
    </w:p>
    <w:p>
      <w:r>
        <w:pict>
          <v:rect style="width:0;height:1.5pt" o:hralign="center" o:hrstd="t" o:hr="t"/>
        </w:pict>
      </w:r>
    </w:p>
    <w:bookmarkEnd w:id="46"/>
    <w:bookmarkStart w:id="73" w:name="tables-and-figures"/>
    <w:p>
      <w:pPr>
        <w:pStyle w:val="Heading1"/>
      </w:pPr>
      <w:r>
        <w:t xml:space="preserve">Tables and Figures</w:t>
      </w:r>
    </w:p>
    <w:p>
      <w:pPr>
        <w:pStyle w:val="FirstParagraph"/>
      </w:pPr>
      <w:r>
        <w:rPr>
          <w:i/>
          <w:iCs/>
        </w:rPr>
        <w:t xml:space="preserve">Submission note (Health &amp; Place):</w:t>
      </w:r>
      <w:r>
        <w:t xml:space="preserve"> </w:t>
      </w:r>
      <w:r>
        <w:t xml:space="preserve">tables must be submitted as editable text (not images). The journal requests avoiding vertical rules and cell shading in final Word typesetting; if borders appear after import from this document, remove vertical lines in the submission file. Figures must be supplied as separate image files in the submission system (e.g.,</w:t>
      </w:r>
      <w:r>
        <w:t xml:space="preserve"> </w:t>
      </w:r>
      <w:r>
        <w:rPr>
          <w:rStyle w:val="VerbatimChar"/>
        </w:rPr>
        <w:t xml:space="preserve">Figure_1.png</w:t>
      </w:r>
      <w:r>
        <w:t xml:space="preserve">,</w:t>
      </w:r>
      <w:r>
        <w:t xml:space="preserve"> </w:t>
      </w:r>
      <w:r>
        <w:rPr>
          <w:rStyle w:val="VerbatimChar"/>
        </w:rPr>
        <w:t xml:space="preserve">Figure_2.png</w:t>
      </w:r>
      <w:r>
        <w:t xml:space="preserve">, …) with logical file names; embedded figures below are included for Quarto compilation and internal review only.</w:t>
      </w:r>
    </w:p>
    <w:bookmarkStart w:id="47" w:name="Xd12e5d2fabb7f7da04933f49b094ec2cca003f6"/>
    <w:p>
      <w:pPr>
        <w:pStyle w:val="Heading2"/>
      </w:pPr>
      <w:r>
        <w:t xml:space="preserve">Table 1. Descriptive Statistics of Prefecture-Level Variables (N = 47)</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Variable</w:t>
            </w:r>
          </w:p>
        </w:tc>
        <w:tc>
          <w:tcPr/>
          <w:p>
            <w:pPr>
              <w:pStyle w:val="Compact"/>
              <w:jc w:val="left"/>
            </w:pPr>
            <w:r>
              <w:t xml:space="preserve">Unit</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Median</w:t>
            </w:r>
          </w:p>
        </w:tc>
        <w:tc>
          <w:tcPr/>
          <w:p>
            <w:pPr>
              <w:pStyle w:val="Compact"/>
              <w:jc w:val="right"/>
            </w:pPr>
            <w:r>
              <w:t xml:space="preserve">Q1</w:t>
            </w:r>
          </w:p>
        </w:tc>
        <w:tc>
          <w:tcPr/>
          <w:p>
            <w:pPr>
              <w:pStyle w:val="Compact"/>
              <w:jc w:val="right"/>
            </w:pPr>
            <w:r>
              <w:t xml:space="preserve">Q3</w:t>
            </w:r>
          </w:p>
        </w:tc>
        <w:tc>
          <w:tcPr/>
          <w:p>
            <w:pPr>
              <w:pStyle w:val="Compact"/>
              <w:jc w:val="right"/>
            </w:pPr>
            <w:r>
              <w:t xml:space="preserve">Min</w:t>
            </w:r>
          </w:p>
        </w:tc>
        <w:tc>
          <w:tcPr/>
          <w:p>
            <w:pPr>
              <w:pStyle w:val="Compact"/>
              <w:jc w:val="right"/>
            </w:pPr>
            <w:r>
              <w:t xml:space="preserve">Max</w:t>
            </w:r>
          </w:p>
        </w:tc>
      </w:tr>
      <w:tr>
        <w:tc>
          <w:tcPr/>
          <w:p>
            <w:pPr>
              <w:pStyle w:val="Compact"/>
              <w:jc w:val="left"/>
            </w:pPr>
            <w:r>
              <w:rPr>
                <w:b/>
                <w:bCs/>
              </w:rPr>
              <w:t xml:space="preserve">Outcome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352.75</w:t>
            </w:r>
          </w:p>
        </w:tc>
        <w:tc>
          <w:tcPr/>
          <w:p>
            <w:pPr>
              <w:pStyle w:val="Compact"/>
              <w:jc w:val="right"/>
            </w:pPr>
            <w:r>
              <w:t xml:space="preserve">54.85</w:t>
            </w:r>
          </w:p>
        </w:tc>
        <w:tc>
          <w:tcPr/>
          <w:p>
            <w:pPr>
              <w:pStyle w:val="Compact"/>
              <w:jc w:val="right"/>
            </w:pPr>
            <w:r>
              <w:t xml:space="preserve">356.11</w:t>
            </w:r>
          </w:p>
        </w:tc>
        <w:tc>
          <w:tcPr/>
          <w:p>
            <w:pPr>
              <w:pStyle w:val="Compact"/>
              <w:jc w:val="right"/>
            </w:pPr>
            <w:r>
              <w:t xml:space="preserve">306.44</w:t>
            </w:r>
          </w:p>
        </w:tc>
        <w:tc>
          <w:tcPr/>
          <w:p>
            <w:pPr>
              <w:pStyle w:val="Compact"/>
              <w:jc w:val="right"/>
            </w:pPr>
            <w:r>
              <w:t xml:space="preserve">397.13</w:t>
            </w:r>
          </w:p>
        </w:tc>
        <w:tc>
          <w:tcPr/>
          <w:p>
            <w:pPr>
              <w:pStyle w:val="Compact"/>
              <w:jc w:val="right"/>
            </w:pPr>
            <w:r>
              <w:t xml:space="preserve">249.22</w:t>
            </w:r>
          </w:p>
        </w:tc>
        <w:tc>
          <w:tcPr/>
          <w:p>
            <w:pPr>
              <w:pStyle w:val="Compact"/>
              <w:jc w:val="right"/>
            </w:pPr>
            <w:r>
              <w:t xml:space="preserve">446.68</w:t>
            </w:r>
          </w:p>
        </w:tc>
      </w:tr>
      <w:tr>
        <w:tc>
          <w:tcPr/>
          <w:p>
            <w:pPr>
              <w:pStyle w:val="Compact"/>
              <w:jc w:val="left"/>
            </w:pPr>
            <w:r>
              <w:t xml:space="preserve">Hip (femur)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253.99</w:t>
            </w:r>
          </w:p>
        </w:tc>
        <w:tc>
          <w:tcPr/>
          <w:p>
            <w:pPr>
              <w:pStyle w:val="Compact"/>
              <w:jc w:val="right"/>
            </w:pPr>
            <w:r>
              <w:t xml:space="preserve">37.57</w:t>
            </w:r>
          </w:p>
        </w:tc>
        <w:tc>
          <w:tcPr/>
          <w:p>
            <w:pPr>
              <w:pStyle w:val="Compact"/>
              <w:jc w:val="right"/>
            </w:pPr>
            <w:r>
              <w:t xml:space="preserve">253.87</w:t>
            </w:r>
          </w:p>
        </w:tc>
        <w:tc>
          <w:tcPr/>
          <w:p>
            <w:pPr>
              <w:pStyle w:val="Compact"/>
              <w:jc w:val="right"/>
            </w:pPr>
            <w:r>
              <w:t xml:space="preserve">228.57</w:t>
            </w:r>
          </w:p>
        </w:tc>
        <w:tc>
          <w:tcPr/>
          <w:p>
            <w:pPr>
              <w:pStyle w:val="Compact"/>
              <w:jc w:val="right"/>
            </w:pPr>
            <w:r>
              <w:t xml:space="preserve">286.32</w:t>
            </w:r>
          </w:p>
        </w:tc>
        <w:tc>
          <w:tcPr/>
          <w:p>
            <w:pPr>
              <w:pStyle w:val="Compact"/>
              <w:jc w:val="right"/>
            </w:pPr>
            <w:r>
              <w:t xml:space="preserve">167.61</w:t>
            </w:r>
          </w:p>
        </w:tc>
        <w:tc>
          <w:tcPr/>
          <w:p>
            <w:pPr>
              <w:pStyle w:val="Compact"/>
              <w:jc w:val="right"/>
            </w:pPr>
            <w:r>
              <w:t xml:space="preserve">329.62</w:t>
            </w:r>
          </w:p>
        </w:tc>
      </w:tr>
      <w:tr>
        <w:tc>
          <w:tcPr/>
          <w:p>
            <w:pPr>
              <w:pStyle w:val="Compact"/>
              <w:jc w:val="left"/>
            </w:pPr>
            <w:r>
              <w:t xml:space="preserve">Humerus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35.59</w:t>
            </w:r>
          </w:p>
        </w:tc>
        <w:tc>
          <w:tcPr/>
          <w:p>
            <w:pPr>
              <w:pStyle w:val="Compact"/>
              <w:jc w:val="right"/>
            </w:pPr>
            <w:r>
              <w:t xml:space="preserve">7.52</w:t>
            </w:r>
          </w:p>
        </w:tc>
        <w:tc>
          <w:tcPr/>
          <w:p>
            <w:pPr>
              <w:pStyle w:val="Compact"/>
              <w:jc w:val="right"/>
            </w:pPr>
            <w:r>
              <w:t xml:space="preserve">35.56</w:t>
            </w:r>
          </w:p>
        </w:tc>
        <w:tc>
          <w:tcPr/>
          <w:p>
            <w:pPr>
              <w:pStyle w:val="Compact"/>
              <w:jc w:val="right"/>
            </w:pPr>
            <w:r>
              <w:t xml:space="preserve">30.04</w:t>
            </w:r>
          </w:p>
        </w:tc>
        <w:tc>
          <w:tcPr/>
          <w:p>
            <w:pPr>
              <w:pStyle w:val="Compact"/>
              <w:jc w:val="right"/>
            </w:pPr>
            <w:r>
              <w:t xml:space="preserve">41.72</w:t>
            </w:r>
          </w:p>
        </w:tc>
        <w:tc>
          <w:tcPr/>
          <w:p>
            <w:pPr>
              <w:pStyle w:val="Compact"/>
              <w:jc w:val="right"/>
            </w:pPr>
            <w:r>
              <w:t xml:space="preserve">22.39</w:t>
            </w:r>
          </w:p>
        </w:tc>
        <w:tc>
          <w:tcPr/>
          <w:p>
            <w:pPr>
              <w:pStyle w:val="Compact"/>
              <w:jc w:val="right"/>
            </w:pPr>
            <w:r>
              <w:t xml:space="preserve">50.45</w:t>
            </w:r>
          </w:p>
        </w:tc>
      </w:tr>
      <w:tr>
        <w:tc>
          <w:tcPr/>
          <w:p>
            <w:pPr>
              <w:pStyle w:val="Compact"/>
              <w:jc w:val="left"/>
            </w:pPr>
            <w:r>
              <w:t xml:space="preserve">Forearm fracture surgery rate</w:t>
            </w:r>
          </w:p>
        </w:tc>
        <w:tc>
          <w:tcPr/>
          <w:p>
            <w:pPr>
              <w:pStyle w:val="Compact"/>
              <w:jc w:val="left"/>
            </w:pPr>
            <w:r>
              <w:t xml:space="preserve">per 100,000</w:t>
            </w:r>
          </w:p>
        </w:tc>
        <w:tc>
          <w:tcPr/>
          <w:p>
            <w:pPr>
              <w:pStyle w:val="Compact"/>
              <w:jc w:val="right"/>
            </w:pPr>
            <w:r>
              <w:t xml:space="preserve">47</w:t>
            </w:r>
          </w:p>
        </w:tc>
        <w:tc>
          <w:tcPr/>
          <w:p>
            <w:pPr>
              <w:pStyle w:val="Compact"/>
              <w:jc w:val="right"/>
            </w:pPr>
            <w:r>
              <w:t xml:space="preserve">63.18</w:t>
            </w:r>
          </w:p>
        </w:tc>
        <w:tc>
          <w:tcPr/>
          <w:p>
            <w:pPr>
              <w:pStyle w:val="Compact"/>
              <w:jc w:val="right"/>
            </w:pPr>
            <w:r>
              <w:t xml:space="preserve">15.59</w:t>
            </w:r>
          </w:p>
        </w:tc>
        <w:tc>
          <w:tcPr/>
          <w:p>
            <w:pPr>
              <w:pStyle w:val="Compact"/>
              <w:jc w:val="right"/>
            </w:pPr>
            <w:r>
              <w:t xml:space="preserve">60.84</w:t>
            </w:r>
          </w:p>
        </w:tc>
        <w:tc>
          <w:tcPr/>
          <w:p>
            <w:pPr>
              <w:pStyle w:val="Compact"/>
              <w:jc w:val="right"/>
            </w:pPr>
            <w:r>
              <w:t xml:space="preserve">51.68</w:t>
            </w:r>
          </w:p>
        </w:tc>
        <w:tc>
          <w:tcPr/>
          <w:p>
            <w:pPr>
              <w:pStyle w:val="Compact"/>
              <w:jc w:val="right"/>
            </w:pPr>
            <w:r>
              <w:t xml:space="preserve">76.04</w:t>
            </w:r>
          </w:p>
        </w:tc>
        <w:tc>
          <w:tcPr/>
          <w:p>
            <w:pPr>
              <w:pStyle w:val="Compact"/>
              <w:jc w:val="right"/>
            </w:pPr>
            <w:r>
              <w:t xml:space="preserve">33.49</w:t>
            </w:r>
          </w:p>
        </w:tc>
        <w:tc>
          <w:tcPr/>
          <w:p>
            <w:pPr>
              <w:pStyle w:val="Compact"/>
              <w:jc w:val="right"/>
            </w:pPr>
            <w:r>
              <w:t xml:space="preserve">106.33</w:t>
            </w:r>
          </w:p>
        </w:tc>
      </w:tr>
      <w:tr>
        <w:tc>
          <w:tcPr/>
          <w:p>
            <w:pPr>
              <w:pStyle w:val="Compact"/>
              <w:jc w:val="left"/>
            </w:pPr>
            <w:r>
              <w:rPr>
                <w:b/>
                <w:bCs/>
              </w:rPr>
              <w:t xml:space="preserve">Exposure variable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Habitable-area-weighted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8.57</w:t>
            </w:r>
          </w:p>
        </w:tc>
        <w:tc>
          <w:tcPr/>
          <w:p>
            <w:pPr>
              <w:pStyle w:val="Compact"/>
              <w:jc w:val="right"/>
            </w:pPr>
            <w:r>
              <w:t xml:space="preserve">3.16</w:t>
            </w:r>
          </w:p>
        </w:tc>
        <w:tc>
          <w:tcPr/>
          <w:p>
            <w:pPr>
              <w:pStyle w:val="Compact"/>
              <w:jc w:val="right"/>
            </w:pPr>
            <w:r>
              <w:t xml:space="preserve">8.36</w:t>
            </w:r>
          </w:p>
        </w:tc>
        <w:tc>
          <w:tcPr/>
          <w:p>
            <w:pPr>
              <w:pStyle w:val="Compact"/>
              <w:jc w:val="right"/>
            </w:pPr>
            <w:r>
              <w:t xml:space="preserve">6.56</w:t>
            </w:r>
          </w:p>
        </w:tc>
        <w:tc>
          <w:tcPr/>
          <w:p>
            <w:pPr>
              <w:pStyle w:val="Compact"/>
              <w:jc w:val="right"/>
            </w:pPr>
            <w:r>
              <w:t xml:space="preserve">10.95</w:t>
            </w:r>
          </w:p>
        </w:tc>
        <w:tc>
          <w:tcPr/>
          <w:p>
            <w:pPr>
              <w:pStyle w:val="Compact"/>
              <w:jc w:val="right"/>
            </w:pPr>
            <w:r>
              <w:t xml:space="preserve">1.81</w:t>
            </w:r>
          </w:p>
        </w:tc>
        <w:tc>
          <w:tcPr/>
          <w:p>
            <w:pPr>
              <w:pStyle w:val="Compact"/>
              <w:jc w:val="right"/>
            </w:pPr>
            <w:r>
              <w:t xml:space="preserve">15.43</w:t>
            </w:r>
          </w:p>
        </w:tc>
      </w:tr>
      <w:tr>
        <w:tc>
          <w:tcPr/>
          <w:p>
            <w:pPr>
              <w:pStyle w:val="Compact"/>
              <w:jc w:val="left"/>
            </w:pPr>
            <w:r>
              <w:t xml:space="preserve">Simple mean slope</w:t>
            </w:r>
          </w:p>
        </w:tc>
        <w:tc>
          <w:tcPr/>
          <w:p>
            <w:pPr>
              <w:pStyle w:val="Compact"/>
              <w:jc w:val="left"/>
            </w:pPr>
            <w:r>
              <w:t xml:space="preserve">degrees</w:t>
            </w:r>
          </w:p>
        </w:tc>
        <w:tc>
          <w:tcPr/>
          <w:p>
            <w:pPr>
              <w:pStyle w:val="Compact"/>
              <w:jc w:val="right"/>
            </w:pPr>
            <w:r>
              <w:t xml:space="preserve">47</w:t>
            </w:r>
          </w:p>
        </w:tc>
        <w:tc>
          <w:tcPr/>
          <w:p>
            <w:pPr>
              <w:pStyle w:val="Compact"/>
              <w:jc w:val="right"/>
            </w:pPr>
            <w:r>
              <w:t xml:space="preserve">8.28</w:t>
            </w:r>
          </w:p>
        </w:tc>
        <w:tc>
          <w:tcPr/>
          <w:p>
            <w:pPr>
              <w:pStyle w:val="Compact"/>
              <w:jc w:val="right"/>
            </w:pPr>
            <w:r>
              <w:t xml:space="preserve">2.90</w:t>
            </w:r>
          </w:p>
        </w:tc>
        <w:tc>
          <w:tcPr/>
          <w:p>
            <w:pPr>
              <w:pStyle w:val="Compact"/>
              <w:jc w:val="right"/>
            </w:pPr>
            <w:r>
              <w:t xml:space="preserve">8.18</w:t>
            </w:r>
          </w:p>
        </w:tc>
        <w:tc>
          <w:tcPr/>
          <w:p>
            <w:pPr>
              <w:pStyle w:val="Compact"/>
              <w:jc w:val="right"/>
            </w:pPr>
            <w:r>
              <w:t xml:space="preserve">6.37</w:t>
            </w:r>
          </w:p>
        </w:tc>
        <w:tc>
          <w:tcPr/>
          <w:p>
            <w:pPr>
              <w:pStyle w:val="Compact"/>
              <w:jc w:val="right"/>
            </w:pPr>
            <w:r>
              <w:t xml:space="preserve">10.24</w:t>
            </w:r>
          </w:p>
        </w:tc>
        <w:tc>
          <w:tcPr/>
          <w:p>
            <w:pPr>
              <w:pStyle w:val="Compact"/>
              <w:jc w:val="right"/>
            </w:pPr>
            <w:r>
              <w:t xml:space="preserve">1.88</w:t>
            </w:r>
          </w:p>
        </w:tc>
        <w:tc>
          <w:tcPr/>
          <w:p>
            <w:pPr>
              <w:pStyle w:val="Compact"/>
              <w:jc w:val="right"/>
            </w:pPr>
            <w:r>
              <w:t xml:space="preserve">14.22</w:t>
            </w:r>
          </w:p>
        </w:tc>
      </w:tr>
      <w:tr>
        <w:tc>
          <w:tcPr/>
          <w:p>
            <w:pPr>
              <w:pStyle w:val="Compact"/>
              <w:jc w:val="left"/>
            </w:pPr>
            <w:r>
              <w:rPr>
                <w:b/>
                <w:bCs/>
              </w:rPr>
              <w:t xml:space="preserve">Covariate variables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Aging rate (≥65 years)</w:t>
            </w:r>
          </w:p>
        </w:tc>
        <w:tc>
          <w:tcPr/>
          <w:p>
            <w:pPr>
              <w:pStyle w:val="Compact"/>
              <w:jc w:val="left"/>
            </w:pPr>
            <w:r>
              <w:t xml:space="preserve">%</w:t>
            </w:r>
          </w:p>
        </w:tc>
        <w:tc>
          <w:tcPr/>
          <w:p>
            <w:pPr>
              <w:pStyle w:val="Compact"/>
              <w:jc w:val="right"/>
            </w:pPr>
            <w:r>
              <w:t xml:space="preserve">47</w:t>
            </w:r>
          </w:p>
        </w:tc>
        <w:tc>
          <w:tcPr/>
          <w:p>
            <w:pPr>
              <w:pStyle w:val="Compact"/>
              <w:jc w:val="right"/>
            </w:pPr>
            <w:r>
              <w:t xml:space="preserve">30.74</w:t>
            </w:r>
          </w:p>
        </w:tc>
        <w:tc>
          <w:tcPr/>
          <w:p>
            <w:pPr>
              <w:pStyle w:val="Compact"/>
              <w:jc w:val="right"/>
            </w:pPr>
            <w:r>
              <w:t xml:space="preserve">3.10</w:t>
            </w:r>
          </w:p>
        </w:tc>
        <w:tc>
          <w:tcPr/>
          <w:p>
            <w:pPr>
              <w:pStyle w:val="Compact"/>
              <w:jc w:val="right"/>
            </w:pPr>
            <w:r>
              <w:t xml:space="preserve">31.26</w:t>
            </w:r>
          </w:p>
        </w:tc>
        <w:tc>
          <w:tcPr/>
          <w:p>
            <w:pPr>
              <w:pStyle w:val="Compact"/>
              <w:jc w:val="right"/>
            </w:pPr>
            <w:r>
              <w:t xml:space="preserve">29.28</w:t>
            </w:r>
          </w:p>
        </w:tc>
        <w:tc>
          <w:tcPr/>
          <w:p>
            <w:pPr>
              <w:pStyle w:val="Compact"/>
              <w:jc w:val="right"/>
            </w:pPr>
            <w:r>
              <w:t xml:space="preserve">32.88</w:t>
            </w:r>
          </w:p>
        </w:tc>
        <w:tc>
          <w:tcPr/>
          <w:p>
            <w:pPr>
              <w:pStyle w:val="Compact"/>
              <w:jc w:val="right"/>
            </w:pPr>
            <w:r>
              <w:t xml:space="preserve">22.61</w:t>
            </w:r>
          </w:p>
        </w:tc>
        <w:tc>
          <w:tcPr/>
          <w:p>
            <w:pPr>
              <w:pStyle w:val="Compact"/>
              <w:jc w:val="right"/>
            </w:pPr>
            <w:r>
              <w:t xml:space="preserve">36.45</w:t>
            </w:r>
          </w:p>
        </w:tc>
      </w:tr>
      <w:tr>
        <w:tc>
          <w:tcPr/>
          <w:p>
            <w:pPr>
              <w:pStyle w:val="Compact"/>
              <w:jc w:val="left"/>
            </w:pPr>
            <w:r>
              <w:t xml:space="preserve">Fast walking rate</w:t>
            </w:r>
          </w:p>
        </w:tc>
        <w:tc>
          <w:tcPr/>
          <w:p>
            <w:pPr>
              <w:pStyle w:val="Compact"/>
              <w:jc w:val="left"/>
            </w:pPr>
            <w:r>
              <w:t xml:space="preserve">%</w:t>
            </w:r>
          </w:p>
        </w:tc>
        <w:tc>
          <w:tcPr/>
          <w:p>
            <w:pPr>
              <w:pStyle w:val="Compact"/>
              <w:jc w:val="right"/>
            </w:pPr>
            <w:r>
              <w:t xml:space="preserve">47</w:t>
            </w:r>
          </w:p>
        </w:tc>
        <w:tc>
          <w:tcPr/>
          <w:p>
            <w:pPr>
              <w:pStyle w:val="Compact"/>
              <w:jc w:val="right"/>
            </w:pPr>
            <w:r>
              <w:t xml:space="preserve">48.62</w:t>
            </w:r>
          </w:p>
        </w:tc>
        <w:tc>
          <w:tcPr/>
          <w:p>
            <w:pPr>
              <w:pStyle w:val="Compact"/>
              <w:jc w:val="right"/>
            </w:pPr>
            <w:r>
              <w:t xml:space="preserve">4.34</w:t>
            </w:r>
          </w:p>
        </w:tc>
        <w:tc>
          <w:tcPr/>
          <w:p>
            <w:pPr>
              <w:pStyle w:val="Compact"/>
              <w:jc w:val="right"/>
            </w:pPr>
            <w:r>
              <w:t xml:space="preserve">49.23</w:t>
            </w:r>
          </w:p>
        </w:tc>
        <w:tc>
          <w:tcPr/>
          <w:p>
            <w:pPr>
              <w:pStyle w:val="Compact"/>
              <w:jc w:val="right"/>
            </w:pPr>
            <w:r>
              <w:t xml:space="preserve">46.23</w:t>
            </w:r>
          </w:p>
        </w:tc>
        <w:tc>
          <w:tcPr/>
          <w:p>
            <w:pPr>
              <w:pStyle w:val="Compact"/>
              <w:jc w:val="right"/>
            </w:pPr>
            <w:r>
              <w:t xml:space="preserve">51.22</w:t>
            </w:r>
          </w:p>
        </w:tc>
        <w:tc>
          <w:tcPr/>
          <w:p>
            <w:pPr>
              <w:pStyle w:val="Compact"/>
              <w:jc w:val="right"/>
            </w:pPr>
            <w:r>
              <w:t xml:space="preserve">29.79</w:t>
            </w:r>
          </w:p>
        </w:tc>
        <w:tc>
          <w:tcPr/>
          <w:p>
            <w:pPr>
              <w:pStyle w:val="Compact"/>
              <w:jc w:val="right"/>
            </w:pPr>
            <w:r>
              <w:t xml:space="preserve">57.30</w:t>
            </w:r>
          </w:p>
        </w:tc>
      </w:tr>
      <w:tr>
        <w:tc>
          <w:tcPr/>
          <w:p>
            <w:pPr>
              <w:pStyle w:val="Compact"/>
              <w:jc w:val="left"/>
            </w:pPr>
            <w:r>
              <w:t xml:space="preserve">Population density</w:t>
            </w:r>
          </w:p>
        </w:tc>
        <w:tc>
          <w:tcPr/>
          <w:p>
            <w:pPr>
              <w:pStyle w:val="Compact"/>
              <w:jc w:val="left"/>
            </w:pPr>
            <w:r>
              <w:t xml:space="preserve">persons/km²</w:t>
            </w:r>
          </w:p>
        </w:tc>
        <w:tc>
          <w:tcPr/>
          <w:p>
            <w:pPr>
              <w:pStyle w:val="Compact"/>
              <w:jc w:val="right"/>
            </w:pPr>
            <w:r>
              <w:t xml:space="preserve">47</w:t>
            </w:r>
          </w:p>
        </w:tc>
        <w:tc>
          <w:tcPr/>
          <w:p>
            <w:pPr>
              <w:pStyle w:val="Compact"/>
              <w:jc w:val="right"/>
            </w:pPr>
            <w:r>
              <w:t xml:space="preserve">657.00</w:t>
            </w:r>
          </w:p>
        </w:tc>
        <w:tc>
          <w:tcPr/>
          <w:p>
            <w:pPr>
              <w:pStyle w:val="Compact"/>
              <w:jc w:val="right"/>
            </w:pPr>
            <w:r>
              <w:t xml:space="preserve">1,223.13</w:t>
            </w:r>
          </w:p>
        </w:tc>
        <w:tc>
          <w:tcPr/>
          <w:p>
            <w:pPr>
              <w:pStyle w:val="Compact"/>
              <w:jc w:val="right"/>
            </w:pPr>
            <w:r>
              <w:t xml:space="preserve">265.44</w:t>
            </w:r>
          </w:p>
        </w:tc>
        <w:tc>
          <w:tcPr/>
          <w:p>
            <w:pPr>
              <w:pStyle w:val="Compact"/>
              <w:jc w:val="right"/>
            </w:pPr>
            <w:r>
              <w:t xml:space="preserve">173.20</w:t>
            </w:r>
          </w:p>
        </w:tc>
        <w:tc>
          <w:tcPr/>
          <w:p>
            <w:pPr>
              <w:pStyle w:val="Compact"/>
              <w:jc w:val="right"/>
            </w:pPr>
            <w:r>
              <w:t xml:space="preserve">468.68</w:t>
            </w:r>
          </w:p>
        </w:tc>
        <w:tc>
          <w:tcPr/>
          <w:p>
            <w:pPr>
              <w:pStyle w:val="Compact"/>
              <w:jc w:val="right"/>
            </w:pPr>
            <w:r>
              <w:t xml:space="preserve">62.63</w:t>
            </w:r>
          </w:p>
        </w:tc>
        <w:tc>
          <w:tcPr/>
          <w:p>
            <w:pPr>
              <w:pStyle w:val="Compact"/>
              <w:jc w:val="right"/>
            </w:pPr>
            <w:r>
              <w:t xml:space="preserve">6,402.64</w:t>
            </w:r>
          </w:p>
        </w:tc>
      </w:tr>
    </w:tbl>
    <w:p>
      <w:pPr>
        <w:pStyle w:val="BodyText"/>
      </w:pPr>
      <w:r>
        <w:rPr>
          <w:i/>
          <w:iCs/>
        </w:rPr>
        <w:t xml:space="preserve">Note.</w:t>
      </w:r>
      <w:r>
        <w:t xml:space="preserve"> </w:t>
      </w:r>
      <w:r>
        <w:t xml:space="preserve">Q1 and Q3 denote 25th and 75th percentiles (prefecture-level observations). Exploratory Shapiro–Wilk tests rejected normality for fast walking rate and population density (both</w:t>
      </w:r>
      <w:r>
        <w:t xml:space="preserve"> </w:t>
      </w:r>
      <w:r>
        <w:rPr>
          <w:i/>
          <w:iCs/>
        </w:rPr>
        <w:t xml:space="preserve">p</w:t>
      </w:r>
      <w:r>
        <w:t xml:space="preserve"> </w:t>
      </w:r>
      <w:r>
        <w:t xml:space="preserve">&lt; 0.001); other listed variables were not rejected at α = 0.05 (aging rate</w:t>
      </w:r>
      <w:r>
        <w:t xml:space="preserve"> </w:t>
      </w:r>
      <w:r>
        <w:rPr>
          <w:i/>
          <w:iCs/>
        </w:rPr>
        <w:t xml:space="preserve">p</w:t>
      </w:r>
      <w:r>
        <w:t xml:space="preserve"> </w:t>
      </w:r>
      <w:r>
        <w:t xml:space="preserve">= 0.090). Marginal normality is not required for ordinary least squares; median and quartiles are presented to describe skewed distributions alongside mean and SD.</w:t>
      </w:r>
    </w:p>
    <w:p>
      <w:r>
        <w:pict>
          <v:rect style="width:0;height:1.5pt" o:hralign="center" o:hrstd="t" o:hr="t"/>
        </w:pict>
      </w:r>
    </w:p>
    <w:bookmarkEnd w:id="47"/>
    <w:bookmarkStart w:id="48" w:name="Xc4d8efe96bb5dc084b3a6055df59151a4b74ad0"/>
    <w:p>
      <w:pPr>
        <w:pStyle w:val="Heading2"/>
      </w:pPr>
      <w:r>
        <w:t xml:space="preserve">Table 2. Pearson Correlation Matrix of Study Variables (N = 47)</w:t>
      </w:r>
    </w:p>
    <w:tbl>
      <w:tblPr>
        <w:tblStyle w:val="Table"/>
        <w:tblW w:type="pct" w:w="5000"/>
        <w:tblLayout w:type="fixed"/>
        <w:tblLook w:firstRow="1" w:lastRow="0" w:firstColumn="0" w:lastColumn="0" w:noHBand="0" w:noVBand="0" w:val="0020"/>
      </w:tblPr>
      <w:tblGrid>
        <w:gridCol w:w="856"/>
        <w:gridCol w:w="1070"/>
        <w:gridCol w:w="856"/>
        <w:gridCol w:w="856"/>
        <w:gridCol w:w="856"/>
        <w:gridCol w:w="856"/>
        <w:gridCol w:w="856"/>
        <w:gridCol w:w="856"/>
        <w:gridCol w:w="856"/>
      </w:tblGrid>
      <w:tr>
        <w:trPr>
          <w:tblHeader w:val="on"/>
        </w:trPr>
        <w:tc>
          <w:tcPr/>
          <w:p>
            <w:pPr>
              <w:pStyle w:val="Compact"/>
              <w:jc w:val="left"/>
            </w:pPr>
            <w:r>
              <w:t xml:space="preserve">Variable</w:t>
            </w:r>
          </w:p>
        </w:tc>
        <w:tc>
          <w:tcPr/>
          <w:p>
            <w:pPr>
              <w:pStyle w:val="Compact"/>
              <w:jc w:val="center"/>
            </w:pPr>
            <w:r>
              <w:t xml:space="preserve">Hip Fracture</w:t>
            </w:r>
          </w:p>
        </w:tc>
        <w:tc>
          <w:tcPr/>
          <w:p>
            <w:pPr>
              <w:pStyle w:val="Compact"/>
              <w:jc w:val="right"/>
            </w:pPr>
            <w:r>
              <w:t xml:space="preserve">Total Fracture</w:t>
            </w:r>
          </w:p>
        </w:tc>
        <w:tc>
          <w:tcPr/>
          <w:p>
            <w:pPr>
              <w:pStyle w:val="Compact"/>
              <w:jc w:val="right"/>
            </w:pPr>
            <w:r>
              <w:t xml:space="preserve">Humerus Fracture</w:t>
            </w:r>
          </w:p>
        </w:tc>
        <w:tc>
          <w:tcPr/>
          <w:p>
            <w:pPr>
              <w:pStyle w:val="Compact"/>
              <w:jc w:val="right"/>
            </w:pPr>
            <w:r>
              <w:t xml:space="preserve">Forearm Fracture</w:t>
            </w:r>
          </w:p>
        </w:tc>
        <w:tc>
          <w:tcPr/>
          <w:p>
            <w:pPr>
              <w:pStyle w:val="Compact"/>
              <w:jc w:val="right"/>
            </w:pPr>
            <w:r>
              <w:t xml:space="preserve">Terrain Slope</w:t>
            </w:r>
          </w:p>
        </w:tc>
        <w:tc>
          <w:tcPr/>
          <w:p>
            <w:pPr>
              <w:pStyle w:val="Compact"/>
              <w:jc w:val="right"/>
            </w:pPr>
            <w:r>
              <w:t xml:space="preserve">Aging Rate</w:t>
            </w:r>
          </w:p>
        </w:tc>
        <w:tc>
          <w:tcPr/>
          <w:p>
            <w:pPr>
              <w:pStyle w:val="Compact"/>
              <w:jc w:val="right"/>
            </w:pPr>
            <w:r>
              <w:t xml:space="preserve">Fast Walking Rate</w:t>
            </w:r>
          </w:p>
        </w:tc>
        <w:tc>
          <w:tcPr/>
          <w:p>
            <w:pPr>
              <w:pStyle w:val="Compact"/>
              <w:jc w:val="right"/>
            </w:pPr>
            <w:r>
              <w:t xml:space="preserve">Pop Density</w:t>
            </w:r>
          </w:p>
        </w:tc>
      </w:tr>
      <w:tr>
        <w:tc>
          <w:tcPr/>
          <w:p>
            <w:pPr>
              <w:pStyle w:val="Compact"/>
              <w:jc w:val="left"/>
            </w:pPr>
            <w:r>
              <w:t xml:space="preserve">Hip Fracture</w:t>
            </w:r>
          </w:p>
        </w:tc>
        <w:tc>
          <w:tcPr/>
          <w:p>
            <w:pPr>
              <w:pStyle w:val="Compact"/>
              <w:jc w:val="center"/>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Fracture</w:t>
            </w:r>
          </w:p>
        </w:tc>
        <w:tc>
          <w:tcPr/>
          <w:p>
            <w:pPr>
              <w:pStyle w:val="Compact"/>
              <w:jc w:val="center"/>
            </w:pPr>
            <w:r>
              <w:t xml:space="preserve">0.962***</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Humerus Fracture</w:t>
            </w:r>
          </w:p>
        </w:tc>
        <w:tc>
          <w:tcPr/>
          <w:p>
            <w:pPr>
              <w:pStyle w:val="Compact"/>
              <w:jc w:val="center"/>
            </w:pPr>
            <w:r>
              <w:t xml:space="preserve">0.697***</w:t>
            </w:r>
          </w:p>
        </w:tc>
        <w:tc>
          <w:tcPr/>
          <w:p>
            <w:pPr>
              <w:pStyle w:val="Compact"/>
              <w:jc w:val="right"/>
            </w:pPr>
            <w:r>
              <w:t xml:space="preserve">0.801***</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Forearm Fracture</w:t>
            </w:r>
          </w:p>
        </w:tc>
        <w:tc>
          <w:tcPr/>
          <w:p>
            <w:pPr>
              <w:pStyle w:val="Compact"/>
              <w:jc w:val="center"/>
            </w:pPr>
            <w:r>
              <w:t xml:space="preserve">0.640***</w:t>
            </w:r>
          </w:p>
        </w:tc>
        <w:tc>
          <w:tcPr/>
          <w:p>
            <w:pPr>
              <w:pStyle w:val="Compact"/>
              <w:jc w:val="right"/>
            </w:pPr>
            <w:r>
              <w:t xml:space="preserve">0.813***</w:t>
            </w:r>
          </w:p>
        </w:tc>
        <w:tc>
          <w:tcPr/>
          <w:p>
            <w:pPr>
              <w:pStyle w:val="Compact"/>
              <w:jc w:val="right"/>
            </w:pPr>
            <w:r>
              <w:t xml:space="preserve">0.656***</w:t>
            </w:r>
          </w:p>
        </w:tc>
        <w:tc>
          <w:tcPr/>
          <w:p>
            <w:pPr>
              <w:pStyle w:val="Compact"/>
              <w:jc w:val="right"/>
            </w:pPr>
            <w:r>
              <w:t xml:space="preserve">1.000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Terrain Slope</w:t>
            </w:r>
          </w:p>
        </w:tc>
        <w:tc>
          <w:tcPr/>
          <w:p>
            <w:pPr>
              <w:pStyle w:val="Compact"/>
              <w:jc w:val="center"/>
            </w:pPr>
            <w:r>
              <w:t xml:space="preserve">0.475***</w:t>
            </w:r>
          </w:p>
        </w:tc>
        <w:tc>
          <w:tcPr/>
          <w:p>
            <w:pPr>
              <w:pStyle w:val="Compact"/>
              <w:jc w:val="right"/>
            </w:pPr>
            <w:r>
              <w:t xml:space="preserve">0.394**</w:t>
            </w:r>
          </w:p>
        </w:tc>
        <w:tc>
          <w:tcPr/>
          <w:p>
            <w:pPr>
              <w:pStyle w:val="Compact"/>
              <w:jc w:val="right"/>
            </w:pPr>
            <w:r>
              <w:t xml:space="preserve">0.138</w:t>
            </w:r>
          </w:p>
        </w:tc>
        <w:tc>
          <w:tcPr/>
          <w:p>
            <w:pPr>
              <w:pStyle w:val="Compact"/>
              <w:jc w:val="right"/>
            </w:pPr>
            <w:r>
              <w:t xml:space="preserve">0.177</w:t>
            </w:r>
          </w:p>
        </w:tc>
        <w:tc>
          <w:tcPr/>
          <w:p>
            <w:pPr>
              <w:pStyle w:val="Compact"/>
              <w:jc w:val="right"/>
            </w:pPr>
            <w:r>
              <w:t xml:space="preserve">1.000</w:t>
            </w:r>
          </w:p>
        </w:tc>
        <w:tc>
          <w:tcPr/>
          <w:p>
            <w:pPr>
              <w:pStyle w:val="Compact"/>
            </w:pPr>
          </w:p>
        </w:tc>
        <w:tc>
          <w:tcPr/>
          <w:p>
            <w:pPr>
              <w:pStyle w:val="Compact"/>
            </w:pPr>
          </w:p>
        </w:tc>
        <w:tc>
          <w:tcPr/>
          <w:p>
            <w:pPr>
              <w:pStyle w:val="Compact"/>
            </w:pPr>
          </w:p>
        </w:tc>
      </w:tr>
      <w:tr>
        <w:tc>
          <w:tcPr/>
          <w:p>
            <w:pPr>
              <w:pStyle w:val="Compact"/>
              <w:jc w:val="left"/>
            </w:pPr>
            <w:r>
              <w:t xml:space="preserve">Aging Rate</w:t>
            </w:r>
          </w:p>
        </w:tc>
        <w:tc>
          <w:tcPr/>
          <w:p>
            <w:pPr>
              <w:pStyle w:val="Compact"/>
              <w:jc w:val="center"/>
            </w:pPr>
            <w:r>
              <w:t xml:space="preserve">0.533***</w:t>
            </w:r>
          </w:p>
        </w:tc>
        <w:tc>
          <w:tcPr/>
          <w:p>
            <w:pPr>
              <w:pStyle w:val="Compact"/>
              <w:jc w:val="right"/>
            </w:pPr>
            <w:r>
              <w:t xml:space="preserve">0.430**</w:t>
            </w:r>
          </w:p>
        </w:tc>
        <w:tc>
          <w:tcPr/>
          <w:p>
            <w:pPr>
              <w:pStyle w:val="Compact"/>
              <w:jc w:val="right"/>
            </w:pPr>
            <w:r>
              <w:t xml:space="preserve">0.152</w:t>
            </w:r>
          </w:p>
        </w:tc>
        <w:tc>
          <w:tcPr/>
          <w:p>
            <w:pPr>
              <w:pStyle w:val="Compact"/>
              <w:jc w:val="right"/>
            </w:pPr>
            <w:r>
              <w:t xml:space="preserve">0.156</w:t>
            </w:r>
          </w:p>
        </w:tc>
        <w:tc>
          <w:tcPr/>
          <w:p>
            <w:pPr>
              <w:pStyle w:val="Compact"/>
              <w:jc w:val="right"/>
            </w:pPr>
            <w:r>
              <w:t xml:space="preserve">0.505***</w:t>
            </w:r>
          </w:p>
        </w:tc>
        <w:tc>
          <w:tcPr/>
          <w:p>
            <w:pPr>
              <w:pStyle w:val="Compact"/>
              <w:jc w:val="right"/>
            </w:pPr>
            <w:r>
              <w:t xml:space="preserve">1.000</w:t>
            </w:r>
          </w:p>
        </w:tc>
        <w:tc>
          <w:tcPr/>
          <w:p>
            <w:pPr>
              <w:pStyle w:val="Compact"/>
            </w:pPr>
          </w:p>
        </w:tc>
        <w:tc>
          <w:tcPr/>
          <w:p>
            <w:pPr>
              <w:pStyle w:val="Compact"/>
            </w:pPr>
          </w:p>
        </w:tc>
      </w:tr>
      <w:tr>
        <w:tc>
          <w:tcPr/>
          <w:p>
            <w:pPr>
              <w:pStyle w:val="Compact"/>
              <w:jc w:val="left"/>
            </w:pPr>
            <w:r>
              <w:t xml:space="preserve">Fast Walking Rate</w:t>
            </w:r>
          </w:p>
        </w:tc>
        <w:tc>
          <w:tcPr/>
          <w:p>
            <w:pPr>
              <w:pStyle w:val="Compact"/>
              <w:jc w:val="center"/>
            </w:pPr>
            <w:r>
              <w:t xml:space="preserve">−0.044</w:t>
            </w:r>
          </w:p>
        </w:tc>
        <w:tc>
          <w:tcPr/>
          <w:p>
            <w:pPr>
              <w:pStyle w:val="Compact"/>
              <w:jc w:val="right"/>
            </w:pPr>
            <w:r>
              <w:t xml:space="preserve">0.011</w:t>
            </w:r>
          </w:p>
        </w:tc>
        <w:tc>
          <w:tcPr/>
          <w:p>
            <w:pPr>
              <w:pStyle w:val="Compact"/>
              <w:jc w:val="right"/>
            </w:pPr>
            <w:r>
              <w:t xml:space="preserve">0.177</w:t>
            </w:r>
          </w:p>
        </w:tc>
        <w:tc>
          <w:tcPr/>
          <w:p>
            <w:pPr>
              <w:pStyle w:val="Compact"/>
              <w:jc w:val="right"/>
            </w:pPr>
            <w:r>
              <w:t xml:space="preserve">0.060</w:t>
            </w:r>
          </w:p>
        </w:tc>
        <w:tc>
          <w:tcPr/>
          <w:p>
            <w:pPr>
              <w:pStyle w:val="Compact"/>
              <w:jc w:val="right"/>
            </w:pPr>
            <w:r>
              <w:t xml:space="preserve">−0.264</w:t>
            </w:r>
          </w:p>
        </w:tc>
        <w:tc>
          <w:tcPr/>
          <w:p>
            <w:pPr>
              <w:pStyle w:val="Compact"/>
              <w:jc w:val="right"/>
            </w:pPr>
            <w:r>
              <w:t xml:space="preserve">−0.406**</w:t>
            </w:r>
          </w:p>
        </w:tc>
        <w:tc>
          <w:tcPr/>
          <w:p>
            <w:pPr>
              <w:pStyle w:val="Compact"/>
              <w:jc w:val="right"/>
            </w:pPr>
            <w:r>
              <w:t xml:space="preserve">1.000</w:t>
            </w:r>
          </w:p>
        </w:tc>
        <w:tc>
          <w:tcPr/>
          <w:p>
            <w:pPr>
              <w:pStyle w:val="Compact"/>
            </w:pPr>
          </w:p>
        </w:tc>
      </w:tr>
      <w:tr>
        <w:tc>
          <w:tcPr/>
          <w:p>
            <w:pPr>
              <w:pStyle w:val="Compact"/>
              <w:jc w:val="left"/>
            </w:pPr>
            <w:r>
              <w:t xml:space="preserve">Pop Density</w:t>
            </w:r>
          </w:p>
        </w:tc>
        <w:tc>
          <w:tcPr/>
          <w:p>
            <w:pPr>
              <w:pStyle w:val="Compact"/>
              <w:jc w:val="center"/>
            </w:pPr>
            <w:r>
              <w:t xml:space="preserve">−0.336*</w:t>
            </w:r>
          </w:p>
        </w:tc>
        <w:tc>
          <w:tcPr/>
          <w:p>
            <w:pPr>
              <w:pStyle w:val="Compact"/>
              <w:jc w:val="right"/>
            </w:pPr>
            <w:r>
              <w:t xml:space="preserve">−0.238</w:t>
            </w:r>
          </w:p>
        </w:tc>
        <w:tc>
          <w:tcPr/>
          <w:p>
            <w:pPr>
              <w:pStyle w:val="Compact"/>
              <w:jc w:val="right"/>
            </w:pPr>
            <w:r>
              <w:t xml:space="preserve">0.006</w:t>
            </w:r>
          </w:p>
        </w:tc>
        <w:tc>
          <w:tcPr/>
          <w:p>
            <w:pPr>
              <w:pStyle w:val="Compact"/>
              <w:jc w:val="right"/>
            </w:pPr>
            <w:r>
              <w:t xml:space="preserve">−0.032</w:t>
            </w:r>
          </w:p>
        </w:tc>
        <w:tc>
          <w:tcPr/>
          <w:p>
            <w:pPr>
              <w:pStyle w:val="Compact"/>
              <w:jc w:val="right"/>
            </w:pPr>
            <w:r>
              <w:t xml:space="preserve">−0.345*</w:t>
            </w:r>
          </w:p>
        </w:tc>
        <w:tc>
          <w:tcPr/>
          <w:p>
            <w:pPr>
              <w:pStyle w:val="Compact"/>
              <w:jc w:val="right"/>
            </w:pPr>
            <w:r>
              <w:t xml:space="preserve">−0.628***</w:t>
            </w:r>
          </w:p>
        </w:tc>
        <w:tc>
          <w:tcPr/>
          <w:p>
            <w:pPr>
              <w:pStyle w:val="Compact"/>
              <w:jc w:val="right"/>
            </w:pPr>
            <w:r>
              <w:t xml:space="preserve">0.381**</w:t>
            </w:r>
          </w:p>
        </w:tc>
        <w:tc>
          <w:tcPr/>
          <w:p>
            <w:pPr>
              <w:pStyle w:val="Compact"/>
              <w:jc w:val="right"/>
            </w:pPr>
            <w:r>
              <w:t xml:space="preserve">1.000</w:t>
            </w:r>
          </w:p>
        </w:tc>
      </w:tr>
    </w:tbl>
    <w:p>
      <w:pPr>
        <w:pStyle w:val="BodyText"/>
      </w:pPr>
      <w:r>
        <w:rPr>
          <w:i/>
          <w:iCs/>
        </w:rPr>
        <w:t xml:space="preserve">p</w:t>
      </w:r>
      <w:r>
        <w:t xml:space="preserve"> </w:t>
      </w:r>
      <w:r>
        <w:t xml:space="preserve">&lt; 0.05 (</w:t>
      </w:r>
      <w:r>
        <w:rPr>
          <w:i/>
          <w:iCs/>
        </w:rPr>
        <w:t xml:space="preserve">),</w:t>
      </w:r>
      <w:r>
        <w:rPr>
          <w:i/>
          <w:iCs/>
        </w:rPr>
        <w:t xml:space="preserve"> </w:t>
      </w:r>
      <w:r>
        <w:t xml:space="preserve">p* &lt; 0.01 (</w:t>
      </w:r>
      <w:r>
        <w:rPr>
          <w:b/>
          <w:bCs/>
        </w:rPr>
        <w:t xml:space="preserve">),</w:t>
      </w:r>
      <w:r>
        <w:rPr>
          <w:b/>
          <w:bCs/>
        </w:rPr>
        <w:t xml:space="preserve"> </w:t>
      </w:r>
      <w:r>
        <w:rPr>
          <w:b/>
          <w:bCs/>
          <w:i/>
          <w:iCs/>
        </w:rPr>
        <w:t xml:space="preserve">p</w:t>
      </w:r>
      <w:r>
        <w:rPr>
          <w:b/>
          <w:bCs/>
        </w:rPr>
        <w:t xml:space="preserve"> </w:t>
      </w:r>
      <w:r>
        <w:rPr>
          <w:b/>
          <w:bCs/>
        </w:rPr>
        <w:t xml:space="preserve">&lt; 0.001 (</w:t>
      </w:r>
      <w:r>
        <w:t xml:space="preserve">*).</w:t>
      </w:r>
    </w:p>
    <w:p>
      <w:r>
        <w:pict>
          <v:rect style="width:0;height:1.5pt" o:hralign="center" o:hrstd="t" o:hr="t"/>
        </w:pict>
      </w:r>
    </w:p>
    <w:bookmarkEnd w:id="48"/>
    <w:bookmarkStart w:id="49" w:name="X6fac7f2e493ef5b618f5ac39729b4328cfa1bc7"/>
    <w:p>
      <w:pPr>
        <w:pStyle w:val="Heading2"/>
      </w:pPr>
      <w:r>
        <w:t xml:space="preserve">Table 3. Linear Regression Analysis: Association between Terrain Slope and Hip Fracture Surgery Rate (N = 47)</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right"/>
            </w:pPr>
            <w:r>
              <w:rPr>
                <w:b/>
                <w:bCs/>
              </w:rPr>
              <w:t xml:space="preserve">Model 1</w:t>
            </w:r>
            <w:r>
              <w:t xml:space="preserve"> </w:t>
            </w:r>
            <w:r>
              <w:t xml:space="preserve">(Unadjusted)</w:t>
            </w:r>
          </w:p>
        </w:tc>
        <w:tc>
          <w:tcPr/>
          <w:p>
            <w:pPr>
              <w:pStyle w:val="Compact"/>
            </w:pPr>
          </w:p>
        </w:tc>
        <w:tc>
          <w:tcPr/>
          <w:p>
            <w:pPr>
              <w:pStyle w:val="Compact"/>
              <w:jc w:val="right"/>
            </w:pPr>
            <w:r>
              <w:rPr>
                <w:b/>
                <w:bCs/>
              </w:rPr>
              <w:t xml:space="preserve">Model 2</w:t>
            </w:r>
            <w:r>
              <w:t xml:space="preserve"> </w:t>
            </w:r>
            <w:r>
              <w:t xml:space="preserve">(Multivariable)</w:t>
            </w:r>
          </w:p>
        </w:tc>
        <w:tc>
          <w:tcPr/>
          <w:p>
            <w:pPr>
              <w:pStyle w:val="Compact"/>
            </w:pPr>
          </w:p>
        </w:tc>
      </w:tr>
      <w:tr>
        <w:tc>
          <w:tcPr/>
          <w:p>
            <w:pPr>
              <w:pStyle w:val="Compact"/>
              <w:jc w:val="left"/>
            </w:pPr>
            <w:r>
              <w:rPr>
                <w:b/>
                <w:bCs/>
              </w:rPr>
              <w:t xml:space="preserve">Variable</w:t>
            </w:r>
          </w:p>
        </w:tc>
        <w:tc>
          <w:tcPr/>
          <w:p>
            <w:pPr>
              <w:pStyle w:val="Compact"/>
              <w:jc w:val="right"/>
            </w:pPr>
            <w:r>
              <w:rPr>
                <w:b/>
                <w:bCs/>
              </w:rPr>
              <w:t xml:space="preserve">β (95% CI)</w:t>
            </w:r>
          </w:p>
        </w:tc>
        <w:tc>
          <w:tcPr/>
          <w:p>
            <w:pPr>
              <w:pStyle w:val="Compact"/>
              <w:jc w:val="right"/>
            </w:pPr>
            <w:r>
              <w:rPr>
                <w:b/>
                <w:bCs/>
                <w:i/>
                <w:iCs/>
              </w:rPr>
              <w:t xml:space="preserve">p</w:t>
            </w:r>
          </w:p>
        </w:tc>
        <w:tc>
          <w:tcPr/>
          <w:p>
            <w:pPr>
              <w:pStyle w:val="Compact"/>
              <w:jc w:val="right"/>
            </w:pPr>
            <w:r>
              <w:rPr>
                <w:b/>
                <w:bCs/>
              </w:rPr>
              <w:t xml:space="preserve">β (95% CI)</w:t>
            </w:r>
          </w:p>
        </w:tc>
        <w:tc>
          <w:tcPr/>
          <w:p>
            <w:pPr>
              <w:pStyle w:val="Compact"/>
              <w:jc w:val="right"/>
            </w:pPr>
            <w:r>
              <w:rPr>
                <w:b/>
                <w:bCs/>
                <w:i/>
                <w:iCs/>
              </w:rPr>
              <w:t xml:space="preserve">p</w:t>
            </w:r>
          </w:p>
        </w:tc>
      </w:tr>
      <w:tr>
        <w:tc>
          <w:tcPr/>
          <w:p>
            <w:pPr>
              <w:pStyle w:val="Compact"/>
              <w:jc w:val="left"/>
            </w:pPr>
            <w:r>
              <w:t xml:space="preserve">Terrain slope (per 1 degree)</w:t>
            </w:r>
          </w:p>
        </w:tc>
        <w:tc>
          <w:tcPr/>
          <w:p>
            <w:pPr>
              <w:pStyle w:val="Compact"/>
              <w:jc w:val="right"/>
            </w:pPr>
            <w:r>
              <w:rPr>
                <w:b/>
                <w:bCs/>
              </w:rPr>
              <w:t xml:space="preserve">5.65 (2.50, 8.79)</w:t>
            </w:r>
          </w:p>
        </w:tc>
        <w:tc>
          <w:tcPr/>
          <w:p>
            <w:pPr>
              <w:pStyle w:val="Compact"/>
              <w:jc w:val="right"/>
            </w:pPr>
            <w:r>
              <w:rPr>
                <w:b/>
                <w:bCs/>
              </w:rPr>
              <w:t xml:space="preserve">0.001</w:t>
            </w:r>
          </w:p>
        </w:tc>
        <w:tc>
          <w:tcPr/>
          <w:p>
            <w:pPr>
              <w:pStyle w:val="Compact"/>
              <w:jc w:val="right"/>
            </w:pPr>
            <w:r>
              <w:rPr>
                <w:b/>
                <w:bCs/>
              </w:rPr>
              <w:t xml:space="preserve">3.49 (0.11, 6.86)</w:t>
            </w:r>
          </w:p>
        </w:tc>
        <w:tc>
          <w:tcPr/>
          <w:p>
            <w:pPr>
              <w:pStyle w:val="Compact"/>
              <w:jc w:val="right"/>
            </w:pPr>
            <w:r>
              <w:rPr>
                <w:b/>
                <w:bCs/>
              </w:rPr>
              <w:t xml:space="preserve">0.043</w:t>
            </w:r>
          </w:p>
        </w:tc>
      </w:tr>
      <w:tr>
        <w:tc>
          <w:tcPr/>
          <w:p>
            <w:pPr>
              <w:pStyle w:val="Compact"/>
              <w:jc w:val="left"/>
            </w:pPr>
            <w:r>
              <w:t xml:space="preserve">Aging rate (per 1%)</w:t>
            </w:r>
          </w:p>
        </w:tc>
        <w:tc>
          <w:tcPr/>
          <w:p>
            <w:pPr>
              <w:pStyle w:val="Compact"/>
              <w:jc w:val="right"/>
            </w:pPr>
            <w:r>
              <w:t xml:space="preserve">—</w:t>
            </w:r>
          </w:p>
        </w:tc>
        <w:tc>
          <w:tcPr/>
          <w:p>
            <w:pPr>
              <w:pStyle w:val="Compact"/>
              <w:jc w:val="right"/>
            </w:pPr>
            <w:r>
              <w:t xml:space="preserve">—</w:t>
            </w:r>
          </w:p>
        </w:tc>
        <w:tc>
          <w:tcPr/>
          <w:p>
            <w:pPr>
              <w:pStyle w:val="Compact"/>
              <w:jc w:val="right"/>
            </w:pPr>
            <w:r>
              <w:rPr>
                <w:b/>
                <w:bCs/>
              </w:rPr>
              <w:t xml:space="preserve">5.53 (1.32, 9.74)</w:t>
            </w:r>
          </w:p>
        </w:tc>
        <w:tc>
          <w:tcPr/>
          <w:p>
            <w:pPr>
              <w:pStyle w:val="Compact"/>
              <w:jc w:val="right"/>
            </w:pPr>
            <w:r>
              <w:rPr>
                <w:b/>
                <w:bCs/>
              </w:rPr>
              <w:t xml:space="preserve">0.011</w:t>
            </w:r>
          </w:p>
        </w:tc>
      </w:tr>
      <w:tr>
        <w:tc>
          <w:tcPr/>
          <w:p>
            <w:pPr>
              <w:pStyle w:val="Compact"/>
              <w:jc w:val="left"/>
            </w:pPr>
            <w:r>
              <w:t xml:space="preserve">Fast walking rate (per 1%)</w:t>
            </w:r>
          </w:p>
        </w:tc>
        <w:tc>
          <w:tcPr/>
          <w:p>
            <w:pPr>
              <w:pStyle w:val="Compact"/>
              <w:jc w:val="right"/>
            </w:pPr>
            <w:r>
              <w:t xml:space="preserve">—</w:t>
            </w:r>
          </w:p>
        </w:tc>
        <w:tc>
          <w:tcPr/>
          <w:p>
            <w:pPr>
              <w:pStyle w:val="Compact"/>
              <w:jc w:val="right"/>
            </w:pPr>
            <w:r>
              <w:t xml:space="preserve">—</w:t>
            </w:r>
          </w:p>
        </w:tc>
        <w:tc>
          <w:tcPr/>
          <w:p>
            <w:pPr>
              <w:pStyle w:val="Compact"/>
              <w:jc w:val="right"/>
            </w:pPr>
            <w:r>
              <w:t xml:space="preserve">2.02 (−0.34, 4.37)</w:t>
            </w:r>
          </w:p>
        </w:tc>
        <w:tc>
          <w:tcPr/>
          <w:p>
            <w:pPr>
              <w:pStyle w:val="Compact"/>
              <w:jc w:val="right"/>
            </w:pPr>
            <w:r>
              <w:t xml:space="preserve">0.091</w:t>
            </w:r>
          </w:p>
        </w:tc>
      </w:tr>
      <w:tr>
        <w:tc>
          <w:tcPr/>
          <w:p>
            <w:pPr>
              <w:pStyle w:val="Compact"/>
              <w:jc w:val="left"/>
            </w:pPr>
            <w:r>
              <w:t xml:space="preserve">Population density (per 1 person/km²)</w:t>
            </w:r>
          </w:p>
        </w:tc>
        <w:tc>
          <w:tcPr/>
          <w:p>
            <w:pPr>
              <w:pStyle w:val="Compact"/>
              <w:jc w:val="right"/>
            </w:pPr>
            <w:r>
              <w:t xml:space="preserve">—</w:t>
            </w:r>
          </w:p>
        </w:tc>
        <w:tc>
          <w:tcPr/>
          <w:p>
            <w:pPr>
              <w:pStyle w:val="Compact"/>
              <w:jc w:val="right"/>
            </w:pPr>
            <w:r>
              <w:t xml:space="preserve">—</w:t>
            </w:r>
          </w:p>
        </w:tc>
        <w:tc>
          <w:tcPr/>
          <w:p>
            <w:pPr>
              <w:pStyle w:val="Compact"/>
              <w:jc w:val="right"/>
            </w:pPr>
            <w:r>
              <w:t xml:space="preserve">−0.001 (−0.01, 0.01)</w:t>
            </w:r>
          </w:p>
        </w:tc>
        <w:tc>
          <w:tcPr/>
          <w:p>
            <w:pPr>
              <w:pStyle w:val="Compact"/>
              <w:jc w:val="right"/>
            </w:pPr>
            <w:r>
              <w:t xml:space="preserve">0.818</w:t>
            </w:r>
          </w:p>
        </w:tc>
      </w:tr>
      <w:tr>
        <w:tc>
          <w:tcPr/>
          <w:p>
            <w:pPr>
              <w:pStyle w:val="Compact"/>
              <w:jc w:val="left"/>
            </w:pPr>
            <w:r>
              <w:rPr>
                <w:b/>
                <w:bCs/>
              </w:rPr>
              <w:t xml:space="preserve">R²</w:t>
            </w:r>
          </w:p>
        </w:tc>
        <w:tc>
          <w:tcPr/>
          <w:p>
            <w:pPr>
              <w:pStyle w:val="Compact"/>
              <w:jc w:val="right"/>
            </w:pPr>
            <w:r>
              <w:t xml:space="preserve">0.225</w:t>
            </w:r>
          </w:p>
        </w:tc>
        <w:tc>
          <w:tcPr/>
          <w:p>
            <w:pPr>
              <w:pStyle w:val="Compact"/>
            </w:pPr>
          </w:p>
        </w:tc>
        <w:tc>
          <w:tcPr/>
          <w:p>
            <w:pPr>
              <w:pStyle w:val="Compact"/>
              <w:jc w:val="right"/>
            </w:pPr>
            <w:r>
              <w:t xml:space="preserve">0.385</w:t>
            </w:r>
          </w:p>
        </w:tc>
        <w:tc>
          <w:tcPr/>
          <w:p>
            <w:pPr>
              <w:pStyle w:val="Compact"/>
            </w:pPr>
          </w:p>
        </w:tc>
      </w:tr>
      <w:tr>
        <w:tc>
          <w:tcPr/>
          <w:p>
            <w:pPr>
              <w:pStyle w:val="Compact"/>
              <w:jc w:val="left"/>
            </w:pPr>
            <w:r>
              <w:rPr>
                <w:b/>
                <w:bCs/>
              </w:rPr>
              <w:t xml:space="preserve">Adjusted R²</w:t>
            </w:r>
          </w:p>
        </w:tc>
        <w:tc>
          <w:tcPr/>
          <w:p>
            <w:pPr>
              <w:pStyle w:val="Compact"/>
              <w:jc w:val="right"/>
            </w:pPr>
            <w:r>
              <w:t xml:space="preserve">0.208</w:t>
            </w:r>
          </w:p>
        </w:tc>
        <w:tc>
          <w:tcPr/>
          <w:p>
            <w:pPr>
              <w:pStyle w:val="Compact"/>
            </w:pPr>
          </w:p>
        </w:tc>
        <w:tc>
          <w:tcPr/>
          <w:p>
            <w:pPr>
              <w:pStyle w:val="Compact"/>
              <w:jc w:val="right"/>
            </w:pPr>
            <w:r>
              <w:t xml:space="preserve">0.326</w:t>
            </w:r>
          </w:p>
        </w:tc>
        <w:tc>
          <w:tcPr/>
          <w:p>
            <w:pPr>
              <w:pStyle w:val="Compact"/>
            </w:pPr>
          </w:p>
        </w:tc>
      </w:tr>
      <w:tr>
        <w:tc>
          <w:tcPr/>
          <w:p>
            <w:pPr>
              <w:pStyle w:val="Compact"/>
              <w:jc w:val="left"/>
            </w:pPr>
            <w:r>
              <w:rPr>
                <w:b/>
                <w:bCs/>
              </w:rPr>
              <w:t xml:space="preserve">F-statistic (</w:t>
            </w:r>
            <w:r>
              <w:rPr>
                <w:b/>
                <w:bCs/>
                <w:i/>
                <w:iCs/>
              </w:rPr>
              <w:t xml:space="preserve">p</w:t>
            </w:r>
            <w:r>
              <w:rPr>
                <w:b/>
                <w:bCs/>
              </w:rPr>
              <w:t xml:space="preserve">)</w:t>
            </w:r>
          </w:p>
        </w:tc>
        <w:tc>
          <w:tcPr/>
          <w:p>
            <w:pPr>
              <w:pStyle w:val="Compact"/>
              <w:jc w:val="right"/>
            </w:pPr>
            <w:r>
              <w:t xml:space="preserve">13.23 (0.001)</w:t>
            </w:r>
          </w:p>
        </w:tc>
        <w:tc>
          <w:tcPr/>
          <w:p>
            <w:pPr>
              <w:pStyle w:val="Compact"/>
            </w:pPr>
          </w:p>
        </w:tc>
        <w:tc>
          <w:tcPr/>
          <w:p>
            <w:pPr>
              <w:pStyle w:val="Compact"/>
              <w:jc w:val="right"/>
            </w:pPr>
            <w:r>
              <w:t xml:space="preserve">6.56 (0.0003)</w:t>
            </w:r>
          </w:p>
        </w:tc>
        <w:tc>
          <w:tcPr/>
          <w:p>
            <w:pPr>
              <w:pStyle w:val="Compact"/>
            </w:pPr>
          </w:p>
        </w:tc>
      </w:tr>
    </w:tbl>
    <w:p>
      <w:pPr>
        <w:pStyle w:val="BodyText"/>
      </w:pPr>
      <w:r>
        <w:t xml:space="preserve">Model 1: simple linear regression of hip fracture rate on terrain slope alone.</w:t>
      </w:r>
      <w:r>
        <w:t xml:space="preserve"> </w:t>
      </w:r>
      <w:r>
        <w:t xml:space="preserve">Model 2: multivariable linear regression adjusting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 (conventional model-based standard errors).</w:t>
      </w:r>
    </w:p>
    <w:p>
      <w:pPr>
        <w:pStyle w:val="BodyText"/>
      </w:pPr>
      <w:r>
        <w:rPr>
          <w:i/>
          <w:iCs/>
        </w:rPr>
        <w:t xml:space="preserve">Sensitivity (Model 2, terrain slope coefficient):</w:t>
      </w:r>
      <w:r>
        <w:t xml:space="preserve"> </w:t>
      </w:r>
      <w:r>
        <w:t xml:space="preserve">heteroskedasticity-robust (HC3) β = 3.49 (95% CI, −0.19–7.17;</w:t>
      </w:r>
      <w:r>
        <w:t xml:space="preserve"> </w:t>
      </w:r>
      <w:r>
        <w:rPr>
          <w:i/>
          <w:iCs/>
        </w:rPr>
        <w:t xml:space="preserve">p</w:t>
      </w:r>
      <w:r>
        <w:t xml:space="preserve"> </w:t>
      </w:r>
      <w:r>
        <w:t xml:space="preserve">= 0.063); nonparametric bootstrap 95% CI (prefecture resampling,</w:t>
      </w:r>
      <w:r>
        <w:t xml:space="preserve"> </w:t>
      </w:r>
      <w:r>
        <w:rPr>
          <w:i/>
          <w:iCs/>
        </w:rPr>
        <w:t xml:space="preserve">B</w:t>
      </w:r>
      <w:r>
        <w:t xml:space="preserve"> </w:t>
      </w:r>
      <w:r>
        <w:t xml:space="preserve">= 5,000) = −0.03–7.09.</w:t>
      </w:r>
    </w:p>
    <w:p>
      <w:r>
        <w:pict>
          <v:rect style="width:0;height:1.5pt" o:hralign="center" o:hrstd="t" o:hr="t"/>
        </w:pict>
      </w:r>
    </w:p>
    <w:bookmarkEnd w:id="49"/>
    <w:bookmarkStart w:id="50" w:name="Xdeb87af7aa3e82ca70e47e493f4f841d319d1c1"/>
    <w:p>
      <w:pPr>
        <w:pStyle w:val="Heading2"/>
      </w:pPr>
      <w:r>
        <w:t xml:space="preserve">Table 4. Linear Regression Results for All Fracture Outcomes: Model 2 (Multivariable, N = 47)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Outcome</w:t>
            </w:r>
          </w:p>
        </w:tc>
        <w:tc>
          <w:tcPr/>
          <w:p>
            <w:pPr>
              <w:pStyle w:val="Compact"/>
              <w:jc w:val="right"/>
            </w:pPr>
            <w:r>
              <w:rPr>
                <w:b/>
                <w:bCs/>
              </w:rPr>
              <w:t xml:space="preserve">Slope β (95% CI)</w:t>
            </w:r>
          </w:p>
        </w:tc>
        <w:tc>
          <w:tcPr/>
          <w:p>
            <w:pPr>
              <w:pStyle w:val="Compact"/>
              <w:jc w:val="right"/>
            </w:pPr>
            <w:r>
              <w:rPr>
                <w:b/>
                <w:bCs/>
                <w:i/>
                <w:iCs/>
              </w:rPr>
              <w:t xml:space="preserve">p</w:t>
            </w:r>
          </w:p>
        </w:tc>
        <w:tc>
          <w:tcPr/>
          <w:p>
            <w:pPr>
              <w:pStyle w:val="Compact"/>
              <w:jc w:val="right"/>
            </w:pPr>
            <w:r>
              <w:rPr>
                <w:b/>
                <w:bCs/>
              </w:rPr>
              <w:t xml:space="preserve">Aging rate β (95% CI)</w:t>
            </w:r>
          </w:p>
        </w:tc>
        <w:tc>
          <w:tcPr/>
          <w:p>
            <w:pPr>
              <w:pStyle w:val="Compact"/>
              <w:jc w:val="right"/>
            </w:pPr>
            <w:r>
              <w:rPr>
                <w:b/>
                <w:bCs/>
                <w:i/>
                <w:iCs/>
              </w:rPr>
              <w:t xml:space="preserve">p</w:t>
            </w:r>
          </w:p>
        </w:tc>
        <w:tc>
          <w:tcPr/>
          <w:p>
            <w:pPr>
              <w:pStyle w:val="Compact"/>
              <w:jc w:val="right"/>
            </w:pPr>
            <w:r>
              <w:rPr>
                <w:b/>
                <w:bCs/>
              </w:rPr>
              <w:t xml:space="preserve">R²</w:t>
            </w:r>
          </w:p>
        </w:tc>
        <w:tc>
          <w:tcPr/>
          <w:p>
            <w:pPr>
              <w:pStyle w:val="Compact"/>
              <w:jc w:val="right"/>
            </w:pPr>
            <w:r>
              <w:rPr>
                <w:b/>
                <w:bCs/>
              </w:rPr>
              <w:t xml:space="preserve">Adj. R²</w:t>
            </w:r>
          </w:p>
        </w:tc>
      </w:tr>
      <w:tr>
        <w:tc>
          <w:tcPr/>
          <w:p>
            <w:pPr>
              <w:pStyle w:val="Compact"/>
              <w:jc w:val="left"/>
            </w:pPr>
            <w:r>
              <w:t xml:space="preserve">Hip (femur) fracture</w:t>
            </w:r>
          </w:p>
        </w:tc>
        <w:tc>
          <w:tcPr/>
          <w:p>
            <w:pPr>
              <w:pStyle w:val="Compact"/>
              <w:jc w:val="right"/>
            </w:pPr>
            <w:r>
              <w:rPr>
                <w:b/>
                <w:bCs/>
              </w:rPr>
              <w:t xml:space="preserve">3.49 (0.11, 6.86)</w:t>
            </w:r>
          </w:p>
        </w:tc>
        <w:tc>
          <w:tcPr/>
          <w:p>
            <w:pPr>
              <w:pStyle w:val="Compact"/>
              <w:jc w:val="right"/>
            </w:pPr>
            <w:r>
              <w:rPr>
                <w:b/>
                <w:bCs/>
              </w:rPr>
              <w:t xml:space="preserve">0.043</w:t>
            </w:r>
          </w:p>
        </w:tc>
        <w:tc>
          <w:tcPr/>
          <w:p>
            <w:pPr>
              <w:pStyle w:val="Compact"/>
              <w:jc w:val="right"/>
            </w:pPr>
            <w:r>
              <w:rPr>
                <w:b/>
                <w:bCs/>
              </w:rPr>
              <w:t xml:space="preserve">5.53 (1.32, 9.74)</w:t>
            </w:r>
          </w:p>
        </w:tc>
        <w:tc>
          <w:tcPr/>
          <w:p>
            <w:pPr>
              <w:pStyle w:val="Compact"/>
              <w:jc w:val="right"/>
            </w:pPr>
            <w:r>
              <w:rPr>
                <w:b/>
                <w:bCs/>
              </w:rPr>
              <w:t xml:space="preserve">0.011</w:t>
            </w:r>
          </w:p>
        </w:tc>
        <w:tc>
          <w:tcPr/>
          <w:p>
            <w:pPr>
              <w:pStyle w:val="Compact"/>
              <w:jc w:val="right"/>
            </w:pPr>
            <w:r>
              <w:rPr>
                <w:b/>
                <w:bCs/>
              </w:rPr>
              <w:t xml:space="preserve">0.385</w:t>
            </w:r>
          </w:p>
        </w:tc>
        <w:tc>
          <w:tcPr/>
          <w:p>
            <w:pPr>
              <w:pStyle w:val="Compact"/>
              <w:jc w:val="right"/>
            </w:pPr>
            <w:r>
              <w:rPr>
                <w:b/>
                <w:bCs/>
              </w:rPr>
              <w:t xml:space="preserve">0.326</w:t>
            </w:r>
          </w:p>
        </w:tc>
      </w:tr>
      <w:tr>
        <w:tc>
          <w:tcPr/>
          <w:p>
            <w:pPr>
              <w:pStyle w:val="Compact"/>
              <w:jc w:val="left"/>
            </w:pPr>
            <w:r>
              <w:t xml:space="preserve">Total fracture</w:t>
            </w:r>
          </w:p>
        </w:tc>
        <w:tc>
          <w:tcPr/>
          <w:p>
            <w:pPr>
              <w:pStyle w:val="Compact"/>
              <w:jc w:val="right"/>
            </w:pPr>
            <w:r>
              <w:t xml:space="preserve">4.47 (−0.88, 9.82)</w:t>
            </w:r>
          </w:p>
        </w:tc>
        <w:tc>
          <w:tcPr/>
          <w:p>
            <w:pPr>
              <w:pStyle w:val="Compact"/>
              <w:jc w:val="right"/>
            </w:pPr>
            <w:r>
              <w:t xml:space="preserve">0.099</w:t>
            </w:r>
          </w:p>
        </w:tc>
        <w:tc>
          <w:tcPr/>
          <w:p>
            <w:pPr>
              <w:pStyle w:val="Compact"/>
              <w:jc w:val="right"/>
            </w:pPr>
            <w:r>
              <w:rPr>
                <w:b/>
                <w:bCs/>
              </w:rPr>
              <w:t xml:space="preserve">7.19 (0.51, 13.86)</w:t>
            </w:r>
          </w:p>
        </w:tc>
        <w:tc>
          <w:tcPr/>
          <w:p>
            <w:pPr>
              <w:pStyle w:val="Compact"/>
              <w:jc w:val="right"/>
            </w:pPr>
            <w:r>
              <w:rPr>
                <w:b/>
                <w:bCs/>
              </w:rPr>
              <w:t xml:space="preserve">0.035</w:t>
            </w:r>
          </w:p>
        </w:tc>
        <w:tc>
          <w:tcPr/>
          <w:p>
            <w:pPr>
              <w:pStyle w:val="Compact"/>
              <w:jc w:val="right"/>
            </w:pPr>
            <w:r>
              <w:t xml:space="preserve">0.276</w:t>
            </w:r>
          </w:p>
        </w:tc>
        <w:tc>
          <w:tcPr/>
          <w:p>
            <w:pPr>
              <w:pStyle w:val="Compact"/>
              <w:jc w:val="right"/>
            </w:pPr>
            <w:r>
              <w:t xml:space="preserve">0.206</w:t>
            </w:r>
          </w:p>
        </w:tc>
      </w:tr>
      <w:tr>
        <w:tc>
          <w:tcPr/>
          <w:p>
            <w:pPr>
              <w:pStyle w:val="Compact"/>
              <w:jc w:val="left"/>
            </w:pPr>
            <w:r>
              <w:t xml:space="preserve">Humerus fracture</w:t>
            </w:r>
          </w:p>
        </w:tc>
        <w:tc>
          <w:tcPr/>
          <w:p>
            <w:pPr>
              <w:pStyle w:val="Compact"/>
              <w:jc w:val="right"/>
            </w:pPr>
            <w:r>
              <w:t xml:space="preserve">0.23 (−0.50, 0.96)</w:t>
            </w:r>
          </w:p>
        </w:tc>
        <w:tc>
          <w:tcPr/>
          <w:p>
            <w:pPr>
              <w:pStyle w:val="Compact"/>
              <w:jc w:val="right"/>
            </w:pPr>
            <w:r>
              <w:t xml:space="preserve">0.524</w:t>
            </w:r>
          </w:p>
        </w:tc>
        <w:tc>
          <w:tcPr/>
          <w:p>
            <w:pPr>
              <w:pStyle w:val="Compact"/>
              <w:jc w:val="right"/>
            </w:pPr>
            <w:r>
              <w:t xml:space="preserve">0.54 (−0.38, 1.46)</w:t>
            </w:r>
          </w:p>
        </w:tc>
        <w:tc>
          <w:tcPr/>
          <w:p>
            <w:pPr>
              <w:pStyle w:val="Compact"/>
              <w:jc w:val="right"/>
            </w:pPr>
            <w:r>
              <w:t xml:space="preserve">0.245</w:t>
            </w:r>
          </w:p>
        </w:tc>
        <w:tc>
          <w:tcPr/>
          <w:p>
            <w:pPr>
              <w:pStyle w:val="Compact"/>
              <w:jc w:val="right"/>
            </w:pPr>
            <w:r>
              <w:t xml:space="preserve">0.107</w:t>
            </w:r>
          </w:p>
        </w:tc>
        <w:tc>
          <w:tcPr/>
          <w:p>
            <w:pPr>
              <w:pStyle w:val="Compact"/>
              <w:jc w:val="right"/>
            </w:pPr>
            <w:r>
              <w:t xml:space="preserve">0.022</w:t>
            </w:r>
          </w:p>
        </w:tc>
      </w:tr>
      <w:tr>
        <w:tc>
          <w:tcPr/>
          <w:p>
            <w:pPr>
              <w:pStyle w:val="Compact"/>
              <w:jc w:val="left"/>
            </w:pPr>
            <w:r>
              <w:t xml:space="preserve">Forearm fracture</w:t>
            </w:r>
          </w:p>
        </w:tc>
        <w:tc>
          <w:tcPr/>
          <w:p>
            <w:pPr>
              <w:pStyle w:val="Compact"/>
              <w:jc w:val="right"/>
            </w:pPr>
            <w:r>
              <w:t xml:space="preserve">0.67 (−0.95, 2.30)</w:t>
            </w:r>
          </w:p>
        </w:tc>
        <w:tc>
          <w:tcPr/>
          <w:p>
            <w:pPr>
              <w:pStyle w:val="Compact"/>
              <w:jc w:val="right"/>
            </w:pPr>
            <w:r>
              <w:t xml:space="preserve">0.402</w:t>
            </w:r>
          </w:p>
        </w:tc>
        <w:tc>
          <w:tcPr/>
          <w:p>
            <w:pPr>
              <w:pStyle w:val="Compact"/>
              <w:jc w:val="right"/>
            </w:pPr>
            <w:r>
              <w:t xml:space="preserve">1.28 (−0.77, 3.33)</w:t>
            </w:r>
          </w:p>
        </w:tc>
        <w:tc>
          <w:tcPr/>
          <w:p>
            <w:pPr>
              <w:pStyle w:val="Compact"/>
              <w:jc w:val="right"/>
            </w:pPr>
            <w:r>
              <w:t xml:space="preserve">0.218</w:t>
            </w:r>
          </w:p>
        </w:tc>
        <w:tc>
          <w:tcPr/>
          <w:p>
            <w:pPr>
              <w:pStyle w:val="Compact"/>
              <w:jc w:val="right"/>
            </w:pPr>
            <w:r>
              <w:t xml:space="preserve">0.062</w:t>
            </w:r>
          </w:p>
        </w:tc>
        <w:tc>
          <w:tcPr/>
          <w:p>
            <w:pPr>
              <w:pStyle w:val="Compact"/>
              <w:jc w:val="right"/>
            </w:pPr>
            <w:r>
              <w:t xml:space="preserve">−0.027</w:t>
            </w:r>
          </w:p>
        </w:tc>
      </w:tr>
    </w:tbl>
    <w:p>
      <w:pPr>
        <w:pStyle w:val="BodyText"/>
      </w:pPr>
      <w:r>
        <w:t xml:space="preserve">All models adjusted for aging rate, fast walking rate, and population density.</w:t>
      </w:r>
      <w:r>
        <w:t xml:space="preserve"> </w:t>
      </w:r>
      <w:r>
        <w:t xml:space="preserve">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w:t>
      </w:r>
    </w:p>
    <w:p>
      <w:pPr>
        <w:pStyle w:val="BodyText"/>
      </w:pPr>
      <w:r>
        <w:t xml:space="preserve">For the hip (femur) outcome, heteroskedasticity-robust (HC3) inference and bootstrap CIs for the slope coefficient were borderline (Table 3 footnote).</w:t>
      </w:r>
    </w:p>
    <w:p>
      <w:r>
        <w:pict>
          <v:rect style="width:0;height:1.5pt" o:hralign="center" o:hrstd="t" o:hr="t"/>
        </w:pict>
      </w:r>
    </w:p>
    <w:bookmarkEnd w:id="50"/>
    <w:bookmarkStart w:id="51" w:name="Xdc0a606f598a5a883dcc5454b19a0f98b5468b8"/>
    <w:p>
      <w:pPr>
        <w:pStyle w:val="Heading2"/>
      </w:pPr>
      <w:r>
        <w:t xml:space="preserve">Table 5. Indirect Standardization Sensitivity Analysis: Multivariable Linear Regression of Indirectly Standardized Hip (Femur) Surgery Rate (ISR) on Terrain Slope (N = 47)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Imputation scenario for masked (</w:t>
            </w:r>
            <w:r>
              <w:rPr>
                <w:rStyle w:val="VerbatimChar"/>
                <w:b/>
                <w:bCs/>
              </w:rPr>
              <w:t xml:space="preserve">"-"</w:t>
            </w:r>
            <w:r>
              <w:rPr>
                <w:b/>
                <w:bCs/>
              </w:rPr>
              <w:t xml:space="preserve">) age-stratified surgery cells</w:t>
            </w:r>
          </w:p>
        </w:tc>
        <w:tc>
          <w:tcPr/>
          <w:p>
            <w:pPr>
              <w:pStyle w:val="Compact"/>
              <w:jc w:val="left"/>
            </w:pPr>
            <w:r>
              <w:rPr>
                <w:b/>
                <w:bCs/>
              </w:rPr>
              <w:t xml:space="preserve">Terrain slope β (95% CI)</w:t>
            </w:r>
            <w:r>
              <w:t xml:space="preserve"> </w:t>
            </w:r>
            <w:r>
              <w:t xml:space="preserve">per 1°</w:t>
            </w:r>
          </w:p>
        </w:tc>
        <w:tc>
          <w:tcPr/>
          <w:p>
            <w:pPr>
              <w:pStyle w:val="Compact"/>
              <w:jc w:val="left"/>
            </w:pPr>
            <w:r>
              <w:rPr>
                <w:b/>
                <w:bCs/>
                <w:i/>
                <w:iCs/>
              </w:rPr>
              <w:t xml:space="preserve">p</w:t>
            </w:r>
          </w:p>
        </w:tc>
      </w:tr>
      <w:tr>
        <w:tc>
          <w:tcPr/>
          <w:p>
            <w:pPr>
              <w:pStyle w:val="Compact"/>
              <w:jc w:val="left"/>
            </w:pPr>
            <w:r>
              <w:rPr>
                <w:rStyle w:val="VerbatimChar"/>
              </w:rPr>
              <w:t xml:space="preserve">"-"</w:t>
            </w:r>
            <w:r>
              <w:t xml:space="preserve"> </w:t>
            </w:r>
            <w:r>
              <w:t xml:space="preserve">imputed as 0</w:t>
            </w:r>
          </w:p>
        </w:tc>
        <w:tc>
          <w:tcPr/>
          <w:p>
            <w:pPr>
              <w:pStyle w:val="Compact"/>
              <w:jc w:val="left"/>
            </w:pPr>
            <w:r>
              <w:rPr>
                <w:b/>
                <w:bCs/>
              </w:rPr>
              <w:t xml:space="preserve">5.71 (0.54, 10.88)</w:t>
            </w:r>
          </w:p>
        </w:tc>
        <w:tc>
          <w:tcPr/>
          <w:p>
            <w:pPr>
              <w:pStyle w:val="Compact"/>
              <w:jc w:val="left"/>
            </w:pPr>
            <w:r>
              <w:rPr>
                <w:b/>
                <w:bCs/>
              </w:rPr>
              <w:t xml:space="preserve">0.031</w:t>
            </w:r>
          </w:p>
        </w:tc>
      </w:tr>
      <w:tr>
        <w:tc>
          <w:tcPr/>
          <w:p>
            <w:pPr>
              <w:pStyle w:val="Compact"/>
              <w:jc w:val="left"/>
            </w:pPr>
            <w:r>
              <w:rPr>
                <w:rStyle w:val="VerbatimChar"/>
              </w:rPr>
              <w:t xml:space="preserve">"-"</w:t>
            </w:r>
            <w:r>
              <w:t xml:space="preserve"> </w:t>
            </w:r>
            <w:r>
              <w:t xml:space="preserve">imputed as 5</w:t>
            </w:r>
          </w:p>
        </w:tc>
        <w:tc>
          <w:tcPr/>
          <w:p>
            <w:pPr>
              <w:pStyle w:val="Compact"/>
              <w:jc w:val="left"/>
            </w:pPr>
            <w:r>
              <w:rPr>
                <w:b/>
                <w:bCs/>
              </w:rPr>
              <w:t xml:space="preserve">3.61 (0.30, 6.92)</w:t>
            </w:r>
          </w:p>
        </w:tc>
        <w:tc>
          <w:tcPr/>
          <w:p>
            <w:pPr>
              <w:pStyle w:val="Compact"/>
              <w:jc w:val="left"/>
            </w:pPr>
            <w:r>
              <w:rPr>
                <w:b/>
                <w:bCs/>
              </w:rPr>
              <w:t xml:space="preserve">0.033</w:t>
            </w:r>
          </w:p>
        </w:tc>
      </w:tr>
      <w:tr>
        <w:tc>
          <w:tcPr/>
          <w:p>
            <w:pPr>
              <w:pStyle w:val="Compact"/>
              <w:jc w:val="left"/>
            </w:pPr>
            <w:r>
              <w:rPr>
                <w:rStyle w:val="VerbatimChar"/>
              </w:rPr>
              <w:t xml:space="preserve">"-"</w:t>
            </w:r>
            <w:r>
              <w:t xml:space="preserve"> </w:t>
            </w:r>
            <w:r>
              <w:t xml:space="preserve">imputed as 9</w:t>
            </w:r>
          </w:p>
        </w:tc>
        <w:tc>
          <w:tcPr/>
          <w:p>
            <w:pPr>
              <w:pStyle w:val="Compact"/>
              <w:jc w:val="left"/>
            </w:pPr>
            <w:r>
              <w:rPr>
                <w:b/>
                <w:bCs/>
              </w:rPr>
              <w:t xml:space="preserve">3.64 (0.28, 7.00)</w:t>
            </w:r>
          </w:p>
        </w:tc>
        <w:tc>
          <w:tcPr/>
          <w:p>
            <w:pPr>
              <w:pStyle w:val="Compact"/>
              <w:jc w:val="left"/>
            </w:pPr>
            <w:r>
              <w:rPr>
                <w:b/>
                <w:bCs/>
              </w:rPr>
              <w:t xml:space="preserve">0.035</w:t>
            </w:r>
          </w:p>
        </w:tc>
      </w:tr>
    </w:tbl>
    <w:p>
      <w:pPr>
        <w:pStyle w:val="BodyText"/>
      </w:pPr>
      <w:r>
        <w:t xml:space="preserve">Each row fits the same multivariable specification as Table 3 Model 2, replacing the crude hip fracture surgery rate with ISR (per 100,000) derived from indirect standardization under the indicated imputation rule (Methods). β, unstandardized regression coefficient; CI, confidence interval.</w:t>
      </w:r>
      <w:r>
        <w:t xml:space="preserve"> </w:t>
      </w:r>
      <w:r>
        <w:rPr>
          <w:b/>
          <w:bCs/>
        </w:rPr>
        <w:t xml:space="preserve">Bold</w:t>
      </w:r>
      <w:r>
        <w:t xml:space="preserve"> </w:t>
      </w:r>
      <w:r>
        <w:t xml:space="preserve">indicates</w:t>
      </w:r>
      <w:r>
        <w:t xml:space="preserve"> </w:t>
      </w:r>
      <w:r>
        <w:rPr>
          <w:i/>
          <w:iCs/>
        </w:rPr>
        <w:t xml:space="preserve">p</w:t>
      </w:r>
      <w:r>
        <w:t xml:space="preserve"> </w:t>
      </w:r>
      <w:r>
        <w:t xml:space="preserve">&lt; 0.05 (conventional model-based standard errors). These results are sensitivity analyses only.</w:t>
      </w:r>
    </w:p>
    <w:p>
      <w:r>
        <w:pict>
          <v:rect style="width:0;height:1.5pt" o:hralign="center" o:hrstd="t" o:hr="t"/>
        </w:pict>
      </w:r>
    </w:p>
    <w:bookmarkEnd w:id="51"/>
    <w:bookmarkStart w:id="52" w:name="figure-legends"/>
    <w:p>
      <w:pPr>
        <w:pStyle w:val="Heading2"/>
      </w:pPr>
      <w:r>
        <w:t xml:space="preserve">Figure Legends</w:t>
      </w:r>
    </w:p>
    <w:p>
      <w:pPr>
        <w:pStyle w:val="FirstParagraph"/>
      </w:pPr>
      <w:r>
        <w:rPr>
          <w:b/>
          <w:bCs/>
        </w:rPr>
        <w:t xml:space="preserve">Figure 1.</w:t>
      </w:r>
      <w:r>
        <w:t xml:space="preserve"> </w:t>
      </w:r>
      <w:r>
        <w:t xml:space="preserve">Scatter plot showing the association between habitable-area-weighted terrain slope (degrees) and hip fracture surgery rate (per 100,000 population) across 47 Japanese prefectures. Each point represents one prefecture, labeled with the prefecture name in English. The solid line represents the simple linear regression fit.</w:t>
      </w:r>
    </w:p>
    <w:p>
      <w:pPr>
        <w:pStyle w:val="BodyText"/>
      </w:pPr>
      <w:r>
        <w:rPr>
          <w:b/>
          <w:bCs/>
        </w:rPr>
        <w:t xml:space="preserve">Figure 2.</w:t>
      </w:r>
      <w:r>
        <w:t xml:space="preserve"> </w:t>
      </w:r>
      <w:r>
        <w:t xml:space="preserve">Correlation heatmap of key study variables across 47 Japanese prefectures. Pearson correlation coefficients are displayed in each cell. Color intensity represents the magnitude of correlation (red = positive, blue = negative).</w:t>
      </w:r>
    </w:p>
    <w:p>
      <w:pPr>
        <w:pStyle w:val="BodyText"/>
      </w:pPr>
      <w:r>
        <w:rPr>
          <w:b/>
          <w:bCs/>
        </w:rPr>
        <w:t xml:space="preserve">Figure 3.</w:t>
      </w:r>
      <w:r>
        <w:t xml:space="preserve"> </w:t>
      </w:r>
      <w:r>
        <w:t xml:space="preserve">Prefectural distribution of habitable-area-weighted terrain slope (degrees) across Japan. Darker shading indicates steeper terrain. Prefectures in the Chugoku, Shikoku, and Kyushu mountain ranges show the highest slope values.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4.</w:t>
      </w:r>
      <w:r>
        <w:t xml:space="preserve"> </w:t>
      </w:r>
      <w:r>
        <w:t xml:space="preserve">Prefectural distribution of hip fracture surgery rate (per 100,000 population) across Japan. Darker shading indicates higher rates. Prefectures in mountainous regions tend to show elevated rates.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p>
      <w:pPr>
        <w:pStyle w:val="BodyText"/>
      </w:pPr>
      <w:r>
        <w:rPr>
          <w:b/>
          <w:bCs/>
        </w:rPr>
        <w:t xml:space="preserve">Figure 5.</w:t>
      </w:r>
      <w:r>
        <w:t xml:space="preserve"> </w:t>
      </w:r>
      <w:r>
        <w:t xml:space="preserve">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t xml:space="preserve"> </w:t>
      </w:r>
      <w:r>
        <w:rPr>
          <w:b/>
          <w:bCs/>
        </w:rPr>
        <w:t xml:space="preserve">Note:</w:t>
      </w:r>
      <w:r>
        <w:t xml:space="preserve"> </w:t>
      </w:r>
      <w:r>
        <w:t xml:space="preserve">map lines delineate study areas and do not necessarily depict accepted national boundaries (here, prefectures used as the analytic geography).</w:t>
      </w:r>
    </w:p>
    <w:bookmarkEnd w:id="52"/>
    <w:bookmarkStart w:id="56" w:name="figure-1"/>
    <w:p>
      <w:pPr>
        <w:pStyle w:val="Heading2"/>
      </w:pPr>
      <w:r>
        <w:t xml:space="preserve">Figure 1</w:t>
      </w:r>
    </w:p>
    <w:p>
      <w:pPr>
        <w:pStyle w:val="FirstParagraph"/>
      </w:pPr>
      <w:r>
        <w:drawing>
          <wp:inline>
            <wp:extent cx="5334000" cy="3556000"/>
            <wp:effectExtent b="0" l="0" r="0" t="0"/>
            <wp:docPr descr="" title="" id="54" name="Picture"/>
            <a:graphic>
              <a:graphicData uri="http://schemas.openxmlformats.org/drawingml/2006/picture">
                <pic:pic>
                  <pic:nvPicPr>
                    <pic:cNvPr descr="../03_Analysis/results/figures/scatter_slope_fracture.png" id="55" name="Picture"/>
                    <pic:cNvPicPr>
                      <a:picLocks noChangeArrowheads="1" noChangeAspect="1"/>
                    </pic:cNvPicPr>
                  </pic:nvPicPr>
                  <pic:blipFill>
                    <a:blip r:embed="rId53"/>
                    <a:stretch>
                      <a:fillRect/>
                    </a:stretch>
                  </pic:blipFill>
                  <pic:spPr bwMode="auto">
                    <a:xfrm>
                      <a:off x="0" y="0"/>
                      <a:ext cx="5334000" cy="3556000"/>
                    </a:xfrm>
                    <a:prstGeom prst="rect">
                      <a:avLst/>
                    </a:prstGeom>
                    <a:noFill/>
                    <a:ln w="9525">
                      <a:noFill/>
                      <a:headEnd/>
                      <a:tailEnd/>
                    </a:ln>
                  </pic:spPr>
                </pic:pic>
              </a:graphicData>
            </a:graphic>
          </wp:inline>
        </w:drawing>
      </w:r>
    </w:p>
    <w:bookmarkEnd w:id="56"/>
    <w:bookmarkStart w:id="60" w:name="figure-2"/>
    <w:p>
      <w:pPr>
        <w:pStyle w:val="Heading2"/>
      </w:pPr>
      <w:r>
        <w:t xml:space="preserve">Figure 2</w:t>
      </w:r>
    </w:p>
    <w:p>
      <w:pPr>
        <w:pStyle w:val="FirstParagraph"/>
      </w:pPr>
      <w:r>
        <w:drawing>
          <wp:inline>
            <wp:extent cx="5334000" cy="4267200"/>
            <wp:effectExtent b="0" l="0" r="0" t="0"/>
            <wp:docPr descr="" title="" id="58" name="Picture"/>
            <a:graphic>
              <a:graphicData uri="http://schemas.openxmlformats.org/drawingml/2006/picture">
                <pic:pic>
                  <pic:nvPicPr>
                    <pic:cNvPr descr="../03_Analysis/results/figures/heatmap_correlation.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bookmarkEnd w:id="60"/>
    <w:bookmarkStart w:id="64" w:name="figure-3"/>
    <w:p>
      <w:pPr>
        <w:pStyle w:val="Heading2"/>
      </w:pPr>
      <w:r>
        <w:t xml:space="preserve">Figure 3</w:t>
      </w:r>
    </w:p>
    <w:p>
      <w:pPr>
        <w:pStyle w:val="FirstParagraph"/>
      </w:pPr>
      <w:r>
        <w:drawing>
          <wp:inline>
            <wp:extent cx="5334000" cy="4306210"/>
            <wp:effectExtent b="0" l="0" r="0" t="0"/>
            <wp:docPr descr="" title="" id="62" name="Picture"/>
            <a:graphic>
              <a:graphicData uri="http://schemas.openxmlformats.org/drawingml/2006/picture">
                <pic:pic>
                  <pic:nvPicPr>
                    <pic:cNvPr descr="../03_Analysis/results/figures/fig_map_slope.png" id="63" name="Picture"/>
                    <pic:cNvPicPr>
                      <a:picLocks noChangeArrowheads="1" noChangeAspect="1"/>
                    </pic:cNvPicPr>
                  </pic:nvPicPr>
                  <pic:blipFill>
                    <a:blip r:embed="rId61"/>
                    <a:stretch>
                      <a:fillRect/>
                    </a:stretch>
                  </pic:blipFill>
                  <pic:spPr bwMode="auto">
                    <a:xfrm>
                      <a:off x="0" y="0"/>
                      <a:ext cx="5334000" cy="4306210"/>
                    </a:xfrm>
                    <a:prstGeom prst="rect">
                      <a:avLst/>
                    </a:prstGeom>
                    <a:noFill/>
                    <a:ln w="9525">
                      <a:noFill/>
                      <a:headEnd/>
                      <a:tailEnd/>
                    </a:ln>
                  </pic:spPr>
                </pic:pic>
              </a:graphicData>
            </a:graphic>
          </wp:inline>
        </w:drawing>
      </w:r>
    </w:p>
    <w:bookmarkEnd w:id="64"/>
    <w:bookmarkStart w:id="68" w:name="figure-4"/>
    <w:p>
      <w:pPr>
        <w:pStyle w:val="Heading2"/>
      </w:pPr>
      <w:r>
        <w:t xml:space="preserve">Figure 4</w:t>
      </w:r>
    </w:p>
    <w:p>
      <w:pPr>
        <w:pStyle w:val="FirstParagraph"/>
      </w:pPr>
      <w:r>
        <w:drawing>
          <wp:inline>
            <wp:extent cx="5334000" cy="4178675"/>
            <wp:effectExtent b="0" l="0" r="0" t="0"/>
            <wp:docPr descr="" title="" id="66" name="Picture"/>
            <a:graphic>
              <a:graphicData uri="http://schemas.openxmlformats.org/drawingml/2006/picture">
                <pic:pic>
                  <pic:nvPicPr>
                    <pic:cNvPr descr="../03_Analysis/results/figures/fig_map_fracture.png" id="67" name="Picture"/>
                    <pic:cNvPicPr>
                      <a:picLocks noChangeArrowheads="1" noChangeAspect="1"/>
                    </pic:cNvPicPr>
                  </pic:nvPicPr>
                  <pic:blipFill>
                    <a:blip r:embed="rId65"/>
                    <a:stretch>
                      <a:fillRect/>
                    </a:stretch>
                  </pic:blipFill>
                  <pic:spPr bwMode="auto">
                    <a:xfrm>
                      <a:off x="0" y="0"/>
                      <a:ext cx="5334000" cy="4178675"/>
                    </a:xfrm>
                    <a:prstGeom prst="rect">
                      <a:avLst/>
                    </a:prstGeom>
                    <a:noFill/>
                    <a:ln w="9525">
                      <a:noFill/>
                      <a:headEnd/>
                      <a:tailEnd/>
                    </a:ln>
                  </pic:spPr>
                </pic:pic>
              </a:graphicData>
            </a:graphic>
          </wp:inline>
        </w:drawing>
      </w:r>
    </w:p>
    <w:bookmarkEnd w:id="68"/>
    <w:bookmarkStart w:id="72" w:name="figure-5"/>
    <w:p>
      <w:pPr>
        <w:pStyle w:val="Heading2"/>
      </w:pPr>
      <w:r>
        <w:t xml:space="preserve">Figure 5</w:t>
      </w:r>
    </w:p>
    <w:p>
      <w:pPr>
        <w:pStyle w:val="FirstParagraph"/>
      </w:pPr>
      <w:r>
        <w:drawing>
          <wp:inline>
            <wp:extent cx="5334000" cy="5093932"/>
            <wp:effectExtent b="0" l="0" r="0" t="0"/>
            <wp:docPr descr="" title="" id="70" name="Picture"/>
            <a:graphic>
              <a:graphicData uri="http://schemas.openxmlformats.org/drawingml/2006/picture">
                <pic:pic>
                  <pic:nvPicPr>
                    <pic:cNvPr descr="../03_Analysis/results/figures/fig_map_bivariate.png" id="71" name="Picture"/>
                    <pic:cNvPicPr>
                      <a:picLocks noChangeArrowheads="1" noChangeAspect="1"/>
                    </pic:cNvPicPr>
                  </pic:nvPicPr>
                  <pic:blipFill>
                    <a:blip r:embed="rId69"/>
                    <a:stretch>
                      <a:fillRect/>
                    </a:stretch>
                  </pic:blipFill>
                  <pic:spPr bwMode="auto">
                    <a:xfrm>
                      <a:off x="0" y="0"/>
                      <a:ext cx="5334000" cy="5093932"/>
                    </a:xfrm>
                    <a:prstGeom prst="rect">
                      <a:avLst/>
                    </a:prstGeom>
                    <a:noFill/>
                    <a:ln w="9525">
                      <a:noFill/>
                      <a:headEnd/>
                      <a:tailEnd/>
                    </a:ln>
                  </pic:spPr>
                </pic:pic>
              </a:graphicData>
            </a:graphic>
          </wp:inline>
        </w:drawing>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65" Target="media/rId65.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 [Author 2]</dc:creator>
  <cp:keywords/>
  <dcterms:created xsi:type="dcterms:W3CDTF">2026-05-01T05:18:54Z</dcterms:created>
  <dcterms:modified xsi:type="dcterms:W3CDTF">2026-05-01T05:18:54Z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