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4B33EC48" w:rsidR="00073AD9" w:rsidRDefault="00000000">
      <w:pPr>
        <w:pStyle w:val="a8"/>
      </w:pPr>
      <w:r>
        <w:t>2026-</w:t>
      </w:r>
      <w:r w:rsidR="00CA7656">
        <w:rPr>
          <w:rFonts w:hint="eastAsia"/>
          <w:lang w:eastAsia="ja-JP"/>
        </w:rPr>
        <w:t>04</w:t>
      </w:r>
      <w:r>
        <w:t>-</w:t>
      </w:r>
      <w:r w:rsidR="00E53E4C">
        <w:rPr>
          <w:rFonts w:hint="eastAsia"/>
          <w:lang w:eastAsia="ja-JP"/>
        </w:rPr>
        <w:t>25</w:t>
      </w:r>
    </w:p>
    <w:p w14:paraId="0308B2C6" w14:textId="77777777" w:rsidR="00073AD9" w:rsidRDefault="00000000">
      <w:r>
        <w:pict w14:anchorId="7A00CCE9">
          <v:rect id="_x0000_i1027" style="width:0;height:1.5pt" o:hralign="center" o:hrstd="t" o:hr="t"/>
        </w:pict>
      </w:r>
    </w:p>
    <w:p w14:paraId="7FBF17A3" w14:textId="77777777" w:rsidR="00073AD9" w:rsidRDefault="00000000" w:rsidP="00705772">
      <w:pPr>
        <w:pStyle w:val="1"/>
        <w:spacing w:line="360" w:lineRule="auto"/>
      </w:pPr>
      <w:bookmarkStart w:id="0" w:name="abstract"/>
      <w:r>
        <w:t>Abstract</w:t>
      </w:r>
    </w:p>
    <w:p w14:paraId="5B0A40A8" w14:textId="627336DC" w:rsidR="00073AD9" w:rsidRDefault="001C1A6A" w:rsidP="00705772">
      <w:pPr>
        <w:pStyle w:val="a0"/>
        <w:spacing w:line="360" w:lineRule="auto"/>
      </w:pPr>
      <w:r w:rsidRPr="001C1A6A">
        <w:t>Hip fracture imposes a large burden on older adults in Japan, and community-level environmental correlates of hip fracture surgery rates remain incompletely understood, including terrain slope. We conducted an ecological study of 47 prefectures using the 10th National Database (NDB) Open Data: fracture surgery rates (per 100,000) from Reiwa 5 health insurance claims (April 2023 through March 2024) and habitual walking speed from Reiwa 4 Specific Health Checkup tabulations (April 2022 through March 2023); habitable-area-weighted terrain slope from national 10-m digital elevation models; aging rate and population density from the 2020 census. We fitted ordinary least squares (OLS) models with heteroskedasticity-robust (HC3) standard errors and nonparametric bootstrap resampling (</w:t>
      </w:r>
      <w:r w:rsidRPr="007D54A5">
        <w:rPr>
          <w:i/>
          <w:iCs/>
        </w:rPr>
        <w:t>B</w:t>
      </w:r>
      <w:r w:rsidRPr="001C1A6A">
        <w:t xml:space="preserve"> = 5000) as sensitivity analyses. Mean slope was 8.57 degrees (SD 3.16) and mean hip fracture surgery rate was 254.0 per 100,000 (SD 37.6). Terrain slope was positively associated with hip fracture rates in unadjusted models (β = 5.65; 95% CI, 2.50–8.79; </w:t>
      </w:r>
      <w:r w:rsidRPr="007D54A5">
        <w:rPr>
          <w:i/>
          <w:iCs/>
        </w:rPr>
        <w:t>p</w:t>
      </w:r>
      <w:r w:rsidRPr="001C1A6A">
        <w:t xml:space="preserve"> = 0.001) and in adjusted models with conventional standard errors (β = 3.49; 95% CI, 0.11–6.86; </w:t>
      </w:r>
      <w:r w:rsidRPr="007D54A5">
        <w:rPr>
          <w:i/>
          <w:iCs/>
        </w:rPr>
        <w:t>p</w:t>
      </w:r>
      <w:r w:rsidRPr="001C1A6A">
        <w:t xml:space="preserve"> = 0.043); HC3 and bootstrap intervals for the slope coefficient were borderline </w:t>
      </w:r>
      <w:r w:rsidRPr="001C1A6A">
        <w:lastRenderedPageBreak/>
        <w:t>at N = 47. No associations were observed for humerus or forearm fractures. Prefecture-level terrain slope showed a hip-specific signal consistent with lateral-fall mechanisms, but inferential sensitivity at small ecological N warrants cautious interpretation.</w:t>
      </w:r>
      <w:bookmarkStart w:id="1" w:name="conclusions"/>
    </w:p>
    <w:p w14:paraId="335F4440" w14:textId="13EDFE77" w:rsidR="00073AD9" w:rsidRDefault="00000000" w:rsidP="00705772">
      <w:pPr>
        <w:pStyle w:val="a0"/>
        <w:spacing w:line="360" w:lineRule="auto"/>
        <w:rPr>
          <w:lang w:eastAsia="ja-JP"/>
        </w:rPr>
      </w:pPr>
      <w:r>
        <w:rPr>
          <w:b/>
          <w:bCs/>
        </w:rPr>
        <w:t>Keywords</w:t>
      </w:r>
      <w:r>
        <w:t>: terrain</w:t>
      </w:r>
      <w:r w:rsidR="00AA6810">
        <w:rPr>
          <w:rFonts w:hint="eastAsia"/>
          <w:lang w:eastAsia="ja-JP"/>
        </w:rPr>
        <w:t>;</w:t>
      </w:r>
      <w:r>
        <w:t xml:space="preserve"> slope; hip</w:t>
      </w:r>
      <w:r w:rsidR="00AA6810">
        <w:rPr>
          <w:rFonts w:hint="eastAsia"/>
          <w:lang w:eastAsia="ja-JP"/>
        </w:rPr>
        <w:t>;</w:t>
      </w:r>
      <w:r>
        <w:t xml:space="preserve"> fracture; ecolog</w:t>
      </w:r>
      <w:r w:rsidR="00AA6810">
        <w:rPr>
          <w:rFonts w:hint="eastAsia"/>
          <w:lang w:eastAsia="ja-JP"/>
        </w:rPr>
        <w:t>y</w:t>
      </w:r>
      <w:r>
        <w:t xml:space="preserve">; Japan; </w:t>
      </w:r>
      <w:r w:rsidR="00AA6810">
        <w:rPr>
          <w:rFonts w:hint="eastAsia"/>
          <w:lang w:eastAsia="ja-JP"/>
        </w:rPr>
        <w:t>epidemiology</w:t>
      </w:r>
    </w:p>
    <w:p w14:paraId="68CA0F35" w14:textId="77777777" w:rsidR="00073AD9" w:rsidRDefault="00000000" w:rsidP="00705772">
      <w:pPr>
        <w:spacing w:line="360" w:lineRule="auto"/>
      </w:pPr>
      <w:r>
        <w:pict w14:anchorId="0BC1EF66">
          <v:rect id="_x0000_i1028" style="width:0;height:1.5pt" o:hralign="center" o:hrstd="t" o:hr="t"/>
        </w:pict>
      </w:r>
    </w:p>
    <w:p w14:paraId="2AB65ACB" w14:textId="77777777" w:rsidR="00073AD9" w:rsidRDefault="00000000" w:rsidP="00705772">
      <w:pPr>
        <w:pStyle w:val="1"/>
        <w:spacing w:line="360" w:lineRule="auto"/>
      </w:pPr>
      <w:bookmarkStart w:id="2" w:name="introduction"/>
      <w:bookmarkEnd w:id="0"/>
      <w:bookmarkEnd w:id="1"/>
      <w:r>
        <w:t>Introduction</w:t>
      </w:r>
    </w:p>
    <w:p w14:paraId="30C5DEDC" w14:textId="7F81DE13" w:rsidR="00073AD9" w:rsidRDefault="00000000" w:rsidP="00705772">
      <w:pPr>
        <w:pStyle w:val="FirstParagraph"/>
        <w:spacing w:line="360" w:lineRule="auto"/>
      </w:pPr>
      <w:r>
        <w:t>Hip fracture is a serious public health problem among older adults worldwide. In Japan, approximately 200,000 hip fractures occur annually, and this number is projected to increase with the ongoing demographic shift toward an aging society.</w:t>
      </w:r>
      <w:r w:rsidR="00AA6810" w:rsidRPr="00AA6810">
        <w:t xml:space="preserve"> [1, 2]</w:t>
      </w:r>
      <w:r>
        <w:t xml:space="preserve"> Hip fracture leads to prolonged hospitalization, functional decline, institutionalization, and increased mortality, imposing a substantial burden on both individuals and the healthcare system.</w:t>
      </w:r>
      <w:r w:rsidR="00AA6810" w:rsidRPr="00AA6810">
        <w:t>[1, 3]</w:t>
      </w:r>
      <w:r>
        <w:t xml:space="preserve"> The acute care costs of hip fracture treatment in Japan reached approximately 1,000 billion yen ($989 million) in 2021, and this burden continues to escalate.</w:t>
      </w:r>
      <w:r w:rsidR="00AA6810" w:rsidRPr="00AA6810">
        <w:t xml:space="preserve"> [4, 5]</w:t>
      </w:r>
    </w:p>
    <w:p w14:paraId="320371D8" w14:textId="3F5F9046" w:rsidR="00073AD9" w:rsidRDefault="00000000" w:rsidP="00705772">
      <w:pPr>
        <w:pStyle w:val="a0"/>
        <w:spacing w:line="360" w:lineRule="auto"/>
        <w:rPr>
          <w:lang w:eastAsia="ja-JP"/>
        </w:rPr>
      </w:pPr>
      <w:r>
        <w:t>Falls are the primary cause of hip fractures, accounting for more than 90% of cases.</w:t>
      </w:r>
      <w:r w:rsidR="00AA6810" w:rsidRPr="00AA6810">
        <w:t xml:space="preserve"> [6]</w:t>
      </w:r>
      <w:r>
        <w:t xml:space="preserve"> Multiple risk factors for falls have been identified, including muscle weakness, impaired gait and balance, polypharmacy, and visual impairment.</w:t>
      </w:r>
      <w:r w:rsidR="00AA6810" w:rsidRPr="00AA6810">
        <w:t xml:space="preserve"> [7]</w:t>
      </w:r>
      <w:r>
        <w:t xml:space="preserve"> Among environmental factors, home hazards such as slippery floors, steps, and inadequate lighting are well recognized.</w:t>
      </w:r>
      <w:r w:rsidR="00AA6810" w:rsidRPr="00AA6810">
        <w:t xml:space="preserve"> [8]</w:t>
      </w:r>
      <w:r>
        <w:t xml:space="preserve"> However, broader environmental determinants of fall risk at the community level, such as outdoor terrain characteristics, have received limited attention despite their potential population-level impact.</w:t>
      </w:r>
      <w:r w:rsidR="00AA6810" w:rsidRPr="00AA6810">
        <w:t xml:space="preserve"> [9]</w:t>
      </w:r>
      <w:r w:rsidR="00A5630A">
        <w:rPr>
          <w:rFonts w:hint="eastAsia"/>
          <w:lang w:eastAsia="ja-JP"/>
        </w:rPr>
        <w:t xml:space="preserve"> </w:t>
      </w:r>
    </w:p>
    <w:p w14:paraId="49332FBA" w14:textId="27F0BDF5" w:rsidR="00073AD9" w:rsidRDefault="00000000" w:rsidP="00705772">
      <w:pPr>
        <w:pStyle w:val="a0"/>
        <w:spacing w:line="360" w:lineRule="auto"/>
      </w:pPr>
      <w:r>
        <w:t xml:space="preserve">Terrain slope is a plausible environmental determinant of fall-related fractures. Walking on inclined surfaces requires greater neuromuscular effort and alters </w:t>
      </w:r>
      <w:r>
        <w:lastRenderedPageBreak/>
        <w:t>biomechanics, increasing instability, particularly among older adults with impaired balance and reduced muscle strength.</w:t>
      </w:r>
      <w:r w:rsidR="00AA6810" w:rsidRPr="00AA6810">
        <w:t xml:space="preserve"> [10, 11]</w:t>
      </w:r>
      <w:r>
        <w:t xml:space="preserve"> The control of body center of mass (CoM) during inclined walking becomes increasingly challenging with age, as margin of stability (MoS) decreases and required coefficient of friction (RCOF) changes unpredictably on uneven terrain.</w:t>
      </w:r>
      <w:r w:rsidR="00AA6810" w:rsidRPr="00AA6810">
        <w:t xml:space="preserve"> [12, 13]</w:t>
      </w:r>
      <w:r>
        <w:t xml:space="preserve">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231FD902" w:rsidR="00073AD9" w:rsidRDefault="00000000" w:rsidP="00705772">
      <w:pPr>
        <w:pStyle w:val="a0"/>
        <w:spacing w:line="360" w:lineRule="auto"/>
      </w:pPr>
      <w:r>
        <w:t>Previous studies have demonstrated that environmental terrain features are associated with physical activity levels and walking speed in community-dwelling older adults.</w:t>
      </w:r>
      <w:r w:rsidR="00AA6810" w:rsidRPr="00AA6810">
        <w:t xml:space="preserve"> [14]</w:t>
      </w:r>
      <w:r>
        <w:t xml:space="preserve"> Walking speed is itself a powerful predictor of fracture risk</w:t>
      </w:r>
      <w:r w:rsidR="006558D1">
        <w:rPr>
          <w:rFonts w:hint="eastAsia"/>
          <w:lang w:eastAsia="ja-JP"/>
        </w:rPr>
        <w:t xml:space="preserve"> </w:t>
      </w:r>
      <w:r w:rsidR="00AA6810" w:rsidRPr="00AA6810">
        <w:rPr>
          <w:lang w:eastAsia="ja-JP"/>
        </w:rPr>
        <w:t>[15, 16]</w:t>
      </w:r>
      <w:r>
        <w:t xml:space="preserve"> and has been designated the “sixth vital sign.”</w:t>
      </w:r>
      <w:r w:rsidR="00CA3F03" w:rsidRPr="00CA3F03">
        <w:t xml:space="preserve"> </w:t>
      </w:r>
      <w:r w:rsidR="00CA3F03" w:rsidRPr="00CA3F03">
        <w:rPr>
          <w:lang w:eastAsia="ja-JP"/>
        </w:rPr>
        <w:t>[17]</w:t>
      </w:r>
      <w:r>
        <w:t xml:space="preserve"> Older adults walking on complex outdoor terrain unconsciously adopt cautious gait strategies, reducing step length and cadence, which may lead to chronic deconditioning and increased frailty.</w:t>
      </w:r>
      <w:r w:rsidR="00CA3F03" w:rsidRPr="00CA3F03">
        <w:t xml:space="preserve"> </w:t>
      </w:r>
      <w:r w:rsidR="00CA3F03" w:rsidRPr="00CA3F03">
        <w:rPr>
          <w:lang w:eastAsia="ja-JP"/>
        </w:rPr>
        <w:t>[18, 19]</w:t>
      </w:r>
      <w:r>
        <w:t xml:space="preserve"> We therefore hypothesized that terrain slope may influence hip fracture rates through direct mechanical effects of inclined walking (direct pathway) and through its effect on walking capacity (indirect pathway).</w:t>
      </w:r>
    </w:p>
    <w:p w14:paraId="5AFB2A64" w14:textId="5D73C17F" w:rsidR="00073AD9" w:rsidRDefault="00000000" w:rsidP="00705772">
      <w:pPr>
        <w:pStyle w:val="a0"/>
        <w:spacing w:line="360" w:lineRule="auto"/>
      </w:pPr>
      <w:r>
        <w:t>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w:t>
      </w:r>
      <w:r w:rsidR="00CA3F03" w:rsidRPr="00CA3F03">
        <w:t xml:space="preserve"> </w:t>
      </w:r>
      <w:r w:rsidR="00CA3F03" w:rsidRPr="00CA3F03">
        <w:rPr>
          <w:lang w:eastAsia="ja-JP"/>
        </w:rPr>
        <w:t>[20, 21]</w:t>
      </w:r>
      <w:r>
        <w:t xml:space="preserve"> but Japan-specific nationwide evidence has been lacking. The National Database (NDB) of Health Insurance Claims, released as open data by Japan’s Ministry of Health, Labour and Welfare, provides a unique opportunity to assess fracture surgery rates across all 47 Japanese prefectures. Combined with digital elevation model (DEM) </w:t>
      </w:r>
      <w:r>
        <w:lastRenderedPageBreak/>
        <w:t>data from the Geospatial Information Authority of Japan, this ecological approach enables the first nationwide quantitative assessment of the terrain–fracture relationship in Japan.</w:t>
      </w:r>
    </w:p>
    <w:p w14:paraId="709613BE" w14:textId="77777777" w:rsidR="00073AD9" w:rsidRDefault="00000000" w:rsidP="00705772">
      <w:pPr>
        <w:pStyle w:val="a0"/>
        <w:spacing w:line="360" w:lineRule="auto"/>
      </w:pPr>
      <w:r>
        <w:t>In this study, we examined whether terrain slope was associated with hip fracture surgery rates at the prefectural level, independent of aging rate and walking speed, using nationwide administrative and geospatial data.</w:t>
      </w:r>
    </w:p>
    <w:p w14:paraId="488062EC" w14:textId="77777777" w:rsidR="00073AD9" w:rsidRDefault="00000000" w:rsidP="00705772">
      <w:pPr>
        <w:spacing w:line="360" w:lineRule="auto"/>
      </w:pPr>
      <w:r>
        <w:pict w14:anchorId="2A09CD22">
          <v:rect id="_x0000_i1029" style="width:0;height:1.5pt" o:hralign="center" o:hrstd="t" o:hr="t"/>
        </w:pict>
      </w:r>
    </w:p>
    <w:p w14:paraId="005FDE2A" w14:textId="77777777" w:rsidR="00073AD9" w:rsidRDefault="00000000" w:rsidP="00705772">
      <w:pPr>
        <w:pStyle w:val="1"/>
        <w:spacing w:line="360" w:lineRule="auto"/>
      </w:pPr>
      <w:bookmarkStart w:id="3" w:name="methods-1"/>
      <w:bookmarkEnd w:id="2"/>
      <w:r>
        <w:t>Methods</w:t>
      </w:r>
    </w:p>
    <w:p w14:paraId="78DAB058" w14:textId="77777777" w:rsidR="00073AD9" w:rsidRDefault="00000000" w:rsidP="00705772">
      <w:pPr>
        <w:pStyle w:val="2"/>
        <w:spacing w:line="360" w:lineRule="auto"/>
      </w:pPr>
      <w:bookmarkStart w:id="4" w:name="study-design"/>
      <w:r>
        <w:t>1. Study Design</w:t>
      </w:r>
    </w:p>
    <w:p w14:paraId="78AC1DEC" w14:textId="77777777" w:rsidR="00073AD9" w:rsidRDefault="00000000" w:rsidP="00705772">
      <w:pPr>
        <w:pStyle w:val="FirstParagraph"/>
        <w:spacing w:line="360" w:lineRule="auto"/>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rsidP="00705772">
      <w:pPr>
        <w:pStyle w:val="2"/>
        <w:spacing w:line="360" w:lineRule="auto"/>
      </w:pPr>
      <w:bookmarkStart w:id="5" w:name="outcome-fracture-surgery-rates"/>
      <w:bookmarkEnd w:id="4"/>
      <w:r>
        <w:t>2. Outcome: Fracture Surgery Rates</w:t>
      </w:r>
    </w:p>
    <w:p w14:paraId="1B78A9D2" w14:textId="77777777" w:rsidR="00073AD9" w:rsidRDefault="00000000" w:rsidP="00705772">
      <w:pPr>
        <w:pStyle w:val="FirstParagraph"/>
        <w:spacing w:line="360" w:lineRule="auto"/>
      </w:pPr>
      <w:r>
        <w:t>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p w14:paraId="7F178B37" w14:textId="77777777" w:rsidR="00073AD9" w:rsidRDefault="00000000" w:rsidP="00705772">
      <w:pPr>
        <w:pStyle w:val="2"/>
        <w:spacing w:line="360" w:lineRule="auto"/>
      </w:pPr>
      <w:bookmarkStart w:id="6" w:name="exposure-terrain-slope"/>
      <w:bookmarkEnd w:id="5"/>
      <w:r>
        <w:lastRenderedPageBreak/>
        <w:t>3. Exposure: Terrain Slope</w:t>
      </w:r>
    </w:p>
    <w:p w14:paraId="4544CA72" w14:textId="3CD318FA" w:rsidR="00073AD9" w:rsidRDefault="00000000" w:rsidP="00705772">
      <w:pPr>
        <w:pStyle w:val="FirstParagraph"/>
        <w:spacing w:line="360" w:lineRule="auto"/>
      </w:pPr>
      <w:r>
        <w:t>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r w:rsidR="00CA3F03" w:rsidRPr="00CA3F03">
        <w:t xml:space="preserve"> [10]</w:t>
      </w:r>
    </w:p>
    <w:p w14:paraId="7B174EDA" w14:textId="77777777" w:rsidR="00073AD9" w:rsidRDefault="00000000" w:rsidP="00705772">
      <w:pPr>
        <w:pStyle w:val="2"/>
        <w:spacing w:line="360" w:lineRule="auto"/>
      </w:pPr>
      <w:bookmarkStart w:id="7" w:name="covariate-walking-speed"/>
      <w:bookmarkEnd w:id="6"/>
      <w:r>
        <w:t>4. Covariate: Walking Speed</w:t>
      </w:r>
    </w:p>
    <w:p w14:paraId="4839006C" w14:textId="77777777" w:rsidR="00073AD9" w:rsidRDefault="00000000" w:rsidP="00705772">
      <w:pPr>
        <w:pStyle w:val="FirstParagraph"/>
        <w:spacing w:line="360" w:lineRule="auto"/>
      </w:pPr>
      <w:r>
        <w:t>The proportion of individuals who reported walking fast (fast walking rate, %) was derived from the NDB Specific Health Checkup (Tokutei Kenko Shinsa)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rsidP="00705772">
      <w:pPr>
        <w:pStyle w:val="2"/>
        <w:spacing w:line="360" w:lineRule="auto"/>
      </w:pPr>
      <w:bookmarkStart w:id="8" w:name="additional-covariates"/>
      <w:bookmarkEnd w:id="7"/>
      <w:r>
        <w:t>5. Additional Covariates</w:t>
      </w:r>
    </w:p>
    <w:p w14:paraId="102B5320" w14:textId="77777777" w:rsidR="00073AD9" w:rsidRDefault="00000000" w:rsidP="00705772">
      <w:pPr>
        <w:pStyle w:val="FirstParagraph"/>
        <w:spacing w:line="360" w:lineRule="auto"/>
      </w:pPr>
      <w:r>
        <w:t>Aging rate (proportion of individuals aged ≥65 years, %) was obtained from the 2020 National Census. Population density (persons per km²) was calculated as total population divided by prefecture area from the same source.</w:t>
      </w:r>
    </w:p>
    <w:p w14:paraId="6920B3BC" w14:textId="77777777" w:rsidR="00073AD9" w:rsidRDefault="00000000" w:rsidP="00705772">
      <w:pPr>
        <w:pStyle w:val="2"/>
        <w:spacing w:line="360" w:lineRule="auto"/>
      </w:pPr>
      <w:bookmarkStart w:id="9" w:name="statistical-analysis"/>
      <w:bookmarkEnd w:id="8"/>
      <w:r>
        <w:t>6. Statistical Analysis</w:t>
      </w:r>
    </w:p>
    <w:p w14:paraId="269C2D95" w14:textId="35FE3CD8" w:rsidR="00073AD9" w:rsidRDefault="00000000" w:rsidP="00705772">
      <w:pPr>
        <w:pStyle w:val="FirstParagraph"/>
        <w:spacing w:line="360" w:lineRule="auto"/>
      </w:pPr>
      <w:r>
        <w:t xml:space="preserve">We </w:t>
      </w:r>
      <w:r w:rsidR="009643D6" w:rsidRPr="009643D6">
        <w:t>summarized prefecture-level distributions using mean, SD, median, 25th and 75th percentiles</w:t>
      </w:r>
      <w:r w:rsidR="009643D6">
        <w:rPr>
          <w:rFonts w:hint="eastAsia"/>
          <w:lang w:eastAsia="ja-JP"/>
        </w:rPr>
        <w:t xml:space="preserve">, </w:t>
      </w:r>
      <w:r w:rsidR="006558D1" w:rsidRPr="006558D1">
        <w:t>minimum, and maximum</w:t>
      </w:r>
      <w:r>
        <w:t xml:space="preserve">. Pearson correlation coefficients were </w:t>
      </w:r>
      <w:r>
        <w:lastRenderedPageBreak/>
        <w:t>computed between terrain slope and each outcome and covariate variable. We fit two regression models for each fracture outcome:</w:t>
      </w:r>
    </w:p>
    <w:p w14:paraId="508D7163" w14:textId="77777777" w:rsidR="00073AD9" w:rsidRDefault="00000000" w:rsidP="00705772">
      <w:pPr>
        <w:pStyle w:val="Compact"/>
        <w:numPr>
          <w:ilvl w:val="0"/>
          <w:numId w:val="2"/>
        </w:numPr>
        <w:spacing w:line="360" w:lineRule="auto"/>
      </w:pPr>
      <w:r>
        <w:rPr>
          <w:b/>
          <w:bCs/>
        </w:rPr>
        <w:t>Model 1 (unadjusted)</w:t>
      </w:r>
      <w:r>
        <w:t>: Simple linear regression of fracture rate on terrain slope only.</w:t>
      </w:r>
    </w:p>
    <w:p w14:paraId="5D43CF03" w14:textId="67DEF7D9" w:rsidR="00073AD9" w:rsidRDefault="00000000" w:rsidP="005B47C8">
      <w:pPr>
        <w:pStyle w:val="Compact"/>
        <w:numPr>
          <w:ilvl w:val="0"/>
          <w:numId w:val="2"/>
        </w:numPr>
        <w:spacing w:line="360" w:lineRule="auto"/>
      </w:pPr>
      <w:r>
        <w:rPr>
          <w:b/>
          <w:bCs/>
        </w:rPr>
        <w:t>Model 2 (multivariable)</w:t>
      </w:r>
      <w:r>
        <w:t>: Multiple linear regression of fracture rate on terrain slope, aging rate, fast walking rate, and population density.</w:t>
      </w:r>
      <w:r w:rsidR="005B47C8">
        <w:rPr>
          <w:lang w:eastAsia="ja-JP"/>
        </w:rPr>
        <w:br/>
      </w:r>
      <w:r w:rsidR="005B47C8">
        <w:t>In the primary causal interpretation, aging rate and fast walking rate were treated as confounder-adjustment variables rather than formal mediators.</w:t>
      </w:r>
    </w:p>
    <w:p w14:paraId="0D697D16" w14:textId="7EE1EE4B" w:rsidR="00073AD9" w:rsidRDefault="00000000" w:rsidP="00705772">
      <w:pPr>
        <w:pStyle w:val="FirstParagraph"/>
        <w:spacing w:line="360" w:lineRule="auto"/>
        <w:rPr>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r w:rsidR="000B2A23">
        <w:rPr>
          <w:rFonts w:hint="eastAsia"/>
          <w:lang w:eastAsia="ja-JP"/>
        </w:rPr>
        <w:t>14</w:t>
      </w:r>
      <w:r w:rsidR="009643D6">
        <w:rPr>
          <w:rFonts w:hint="eastAsia"/>
          <w:lang w:eastAsia="ja-JP"/>
        </w:rPr>
        <w:t>.2</w:t>
      </w:r>
      <w:r>
        <w:t xml:space="preserve">) with the </w:t>
      </w:r>
      <w:r w:rsidR="00B65167" w:rsidRPr="00B65167">
        <w:t>statsmodels</w:t>
      </w:r>
      <w:r w:rsidR="00B65167">
        <w:rPr>
          <w:rFonts w:hint="eastAsia"/>
          <w:lang w:eastAsia="ja-JP"/>
        </w:rPr>
        <w:t xml:space="preserve"> </w:t>
      </w:r>
      <w:r>
        <w:t>library (version 0.14</w:t>
      </w:r>
      <w:r w:rsidR="00B65167">
        <w:rPr>
          <w:rFonts w:hint="eastAsia"/>
          <w:lang w:eastAsia="ja-JP"/>
        </w:rPr>
        <w:t>.6</w:t>
      </w:r>
      <w:r>
        <w:t>).</w:t>
      </w:r>
      <w:r w:rsidR="00B65167" w:rsidRPr="00B65167">
        <w:t xml:space="preserve"> Linear regression models were estimated by ordinary least squares (OLS) using the statsmodels formula interface</w:t>
      </w:r>
      <w:r w:rsidR="00B65167">
        <w:rPr>
          <w:rFonts w:hint="eastAsia"/>
          <w:lang w:eastAsia="ja-JP"/>
        </w:rPr>
        <w:t>.</w:t>
      </w:r>
    </w:p>
    <w:p w14:paraId="61FFF099" w14:textId="77777777" w:rsidR="00061A98" w:rsidRDefault="00A5744A" w:rsidP="00705772">
      <w:pPr>
        <w:pStyle w:val="a0"/>
        <w:spacing w:line="360" w:lineRule="auto"/>
      </w:pPr>
      <w:r w:rsidRPr="00A5744A">
        <w:rPr>
          <w:lang w:eastAsia="ja-JP"/>
        </w:rPr>
        <w:t xml:space="preserve">For the primary hip-fracture outcome (Model 2), we assessed linear model assumptions graphically using residuals-versus-fitted and normal quantile–quantile (Q–Q) plots of OLS residuals, and we report the Shapiro–Wilk test on residuals for 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r w:rsidR="005B47C8" w:rsidRPr="005B47C8">
        <w:rPr>
          <w:lang w:eastAsia="ja-JP"/>
        </w:rPr>
        <w:t xml:space="preserve"> Given N = 47 with multiple covariates, we also checked coefficient stability and multicollinearity diagnostics (including model condition number) and interpreted estimates cautiously.</w:t>
      </w:r>
    </w:p>
    <w:p w14:paraId="6214F16B" w14:textId="5F4C25D1" w:rsidR="00A5744A" w:rsidRDefault="00061A98" w:rsidP="00705772">
      <w:pPr>
        <w:pStyle w:val="a0"/>
        <w:spacing w:line="360" w:lineRule="auto"/>
        <w:rPr>
          <w:lang w:eastAsia="ja-JP"/>
        </w:rPr>
      </w:pPr>
      <w:r w:rsidRPr="00061A98">
        <w:rPr>
          <w:lang w:eastAsia="ja-JP"/>
        </w:rPr>
        <w:lastRenderedPageBreak/>
        <w:t xml:space="preserve">As an additional sensitivity analysis for age-structure confounding, we </w:t>
      </w:r>
      <w:r w:rsidR="005A5D79" w:rsidRPr="005A5D79">
        <w:rPr>
          <w:lang w:eastAsia="ja-JP"/>
        </w:rPr>
        <w:t>performed</w:t>
      </w:r>
      <w:r w:rsidRPr="00061A98">
        <w:rPr>
          <w:lang w:eastAsia="ja-JP"/>
        </w:rPr>
        <w:t xml:space="preserve"> indirect</w:t>
      </w:r>
      <w:r w:rsidR="005A5D79">
        <w:rPr>
          <w:rFonts w:hint="eastAsia"/>
          <w:lang w:eastAsia="ja-JP"/>
        </w:rPr>
        <w:t xml:space="preserve"> </w:t>
      </w:r>
      <w:r w:rsidRPr="00061A98">
        <w:rPr>
          <w:lang w:eastAsia="ja-JP"/>
        </w:rPr>
        <w:t>standardization for the femur-surgery outcome</w:t>
      </w:r>
      <w:r w:rsidR="005A5D79" w:rsidRPr="005A5D79">
        <w:rPr>
          <w:lang w:eastAsia="ja-JP"/>
        </w:rPr>
        <w:t>. We combined</w:t>
      </w:r>
      <w:r w:rsidRPr="00061A98">
        <w:rPr>
          <w:lang w:eastAsia="ja-JP"/>
        </w:rPr>
        <w:t xml:space="preserve"> NDB age-stratified surgery tables </w:t>
      </w:r>
      <w:r w:rsidR="005A5D79" w:rsidRPr="005A5D79">
        <w:rPr>
          <w:lang w:eastAsia="ja-JP"/>
        </w:rPr>
        <w:t>with</w:t>
      </w:r>
      <w:r w:rsidRPr="00061A98">
        <w:rPr>
          <w:lang w:eastAsia="ja-JP"/>
        </w:rPr>
        <w:t xml:space="preserve"> 2020 census 5-year age-group population counts from e-Stat. Because disclosure-control masking (`"-"`) was present in age-stratified surgery cells, we prespecified imputation scenarios (`"-" = 0`, `5`, or `9`) and repeated </w:t>
      </w:r>
      <w:r w:rsidR="00205AF3" w:rsidRPr="00205AF3">
        <w:rPr>
          <w:lang w:eastAsia="ja-JP"/>
        </w:rPr>
        <w:t>indirect standardization under</w:t>
      </w:r>
      <w:r w:rsidRPr="00061A98">
        <w:rPr>
          <w:lang w:eastAsia="ja-JP"/>
        </w:rPr>
        <w:t xml:space="preserve"> each scenario. For each scenario, we calculated national age-specific surgery rates, expected prefectural counts, </w:t>
      </w:r>
      <w:r w:rsidR="00E378C4" w:rsidRPr="00E378C4">
        <w:rPr>
          <w:lang w:eastAsia="ja-JP"/>
        </w:rPr>
        <w:t>the standardized incidence ratio (</w:t>
      </w:r>
      <w:r w:rsidRPr="00061A98">
        <w:rPr>
          <w:lang w:eastAsia="ja-JP"/>
        </w:rPr>
        <w:t>SIR</w:t>
      </w:r>
      <w:r w:rsidR="00E378C4" w:rsidRPr="00E378C4">
        <w:rPr>
          <w:lang w:eastAsia="ja-JP"/>
        </w:rPr>
        <w:t>; observed-to-expected surgery count ratio)</w:t>
      </w:r>
      <w:r w:rsidRPr="00061A98">
        <w:rPr>
          <w:lang w:eastAsia="ja-JP"/>
        </w:rPr>
        <w:t xml:space="preserve">, and </w:t>
      </w:r>
      <w:r w:rsidR="00E378C4" w:rsidRPr="00E378C4">
        <w:rPr>
          <w:lang w:eastAsia="ja-JP"/>
        </w:rPr>
        <w:t>the indirectly standardized surgery rate (per 100,000), computed as</w:t>
      </w:r>
      <w:r w:rsidR="00E378C4">
        <w:rPr>
          <w:rFonts w:hint="eastAsia"/>
          <w:lang w:eastAsia="ja-JP"/>
        </w:rPr>
        <w:t xml:space="preserve"> </w:t>
      </w:r>
      <w:r w:rsidRPr="00061A98">
        <w:rPr>
          <w:lang w:eastAsia="ja-JP"/>
        </w:rPr>
        <w:t xml:space="preserve">SIR </w:t>
      </w:r>
      <w:r w:rsidR="00E378C4" w:rsidRPr="00E378C4">
        <w:rPr>
          <w:lang w:eastAsia="ja-JP"/>
        </w:rPr>
        <w:t>times the</w:t>
      </w:r>
      <w:r w:rsidRPr="00061A98">
        <w:rPr>
          <w:lang w:eastAsia="ja-JP"/>
        </w:rPr>
        <w:t xml:space="preserve"> national crude </w:t>
      </w:r>
      <w:r w:rsidR="00E378C4" w:rsidRPr="00E378C4">
        <w:rPr>
          <w:lang w:eastAsia="ja-JP"/>
        </w:rPr>
        <w:t>surgery</w:t>
      </w:r>
      <w:r w:rsidR="00E378C4">
        <w:rPr>
          <w:rFonts w:hint="eastAsia"/>
          <w:lang w:eastAsia="ja-JP"/>
        </w:rPr>
        <w:t xml:space="preserve"> </w:t>
      </w:r>
      <w:r w:rsidRPr="00061A98">
        <w:rPr>
          <w:lang w:eastAsia="ja-JP"/>
        </w:rPr>
        <w:t>rate</w:t>
      </w:r>
      <w:r w:rsidR="005A5D79" w:rsidRPr="005A5D79">
        <w:rPr>
          <w:lang w:eastAsia="ja-JP"/>
        </w:rPr>
        <w:t>. We</w:t>
      </w:r>
      <w:r w:rsidRPr="00061A98">
        <w:rPr>
          <w:lang w:eastAsia="ja-JP"/>
        </w:rPr>
        <w:t xml:space="preserve"> then regressed </w:t>
      </w:r>
      <w:r w:rsidR="00E378C4" w:rsidRPr="00E378C4">
        <w:rPr>
          <w:lang w:eastAsia="ja-JP"/>
        </w:rPr>
        <w:t>the indirectly standardized rate</w:t>
      </w:r>
      <w:r w:rsidRPr="00061A98">
        <w:rPr>
          <w:lang w:eastAsia="ja-JP"/>
        </w:rPr>
        <w:t xml:space="preserve"> on terrain slope with and without covariate adjustment. </w:t>
      </w:r>
      <w:r w:rsidR="005A5D79" w:rsidRPr="005A5D79">
        <w:rPr>
          <w:lang w:eastAsia="ja-JP"/>
        </w:rPr>
        <w:t>These analyses were treated</w:t>
      </w:r>
      <w:r w:rsidRPr="00061A98">
        <w:rPr>
          <w:lang w:eastAsia="ja-JP"/>
        </w:rPr>
        <w:t xml:space="preserve"> as sensitivity analyses only (not primary inference), given potential secondary masking.</w:t>
      </w:r>
    </w:p>
    <w:p w14:paraId="557CFC09" w14:textId="4DB0C837" w:rsidR="00E911FF" w:rsidRPr="00A5744A" w:rsidRDefault="00E911FF" w:rsidP="00705772">
      <w:pPr>
        <w:pStyle w:val="a0"/>
        <w:spacing w:line="360" w:lineRule="auto"/>
        <w:rPr>
          <w:lang w:eastAsia="ja-JP"/>
        </w:rPr>
      </w:pPr>
      <w:r w:rsidRPr="00E911FF">
        <w:rPr>
          <w:lang w:eastAsia="ja-JP"/>
        </w:rPr>
        <w:t>All manuscript figures were generated programmatically from study data (not by image-generative AI tools) using reproducible Python workflows: Python 3.14.2 with pandas 2.3.3, numpy 2.3.5, matplotlib 3.10.8, seaborn 0.13.2, scipy 1.16.3, geopandas 1.1.2, and japanize</w:t>
      </w:r>
      <w:r>
        <w:rPr>
          <w:rFonts w:hint="eastAsia"/>
          <w:lang w:eastAsia="ja-JP"/>
        </w:rPr>
        <w:t xml:space="preserve"> </w:t>
      </w:r>
      <w:r w:rsidRPr="00E911FF">
        <w:rPr>
          <w:lang w:eastAsia="ja-JP"/>
        </w:rPr>
        <w:t>matplotlib 1.1.3. Figure 1 was generated via linear-fit visualization from the prefecture-level analytical dataset, Figure 2 from the corresponding correlation matrix, and Figures 3-5 by joining prefecture-level indicators to national prefectural boundary geodata and rendering choropleth maps.</w:t>
      </w:r>
    </w:p>
    <w:p w14:paraId="22F0640D" w14:textId="77777777" w:rsidR="00073AD9" w:rsidRDefault="00000000" w:rsidP="00705772">
      <w:pPr>
        <w:pStyle w:val="a0"/>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sidP="00705772">
      <w:pPr>
        <w:spacing w:line="360" w:lineRule="auto"/>
      </w:pPr>
      <w:r>
        <w:pict w14:anchorId="550F6A37">
          <v:rect id="_x0000_i1030" style="width:0;height:1.5pt" o:hralign="center" o:hrstd="t" o:hr="t"/>
        </w:pict>
      </w:r>
    </w:p>
    <w:p w14:paraId="2104C38C" w14:textId="77777777" w:rsidR="00073AD9" w:rsidRDefault="00000000" w:rsidP="00705772">
      <w:pPr>
        <w:pStyle w:val="1"/>
        <w:spacing w:line="360" w:lineRule="auto"/>
      </w:pPr>
      <w:bookmarkStart w:id="10" w:name="results-1"/>
      <w:bookmarkEnd w:id="3"/>
      <w:bookmarkEnd w:id="9"/>
      <w:r>
        <w:lastRenderedPageBreak/>
        <w:t>Results</w:t>
      </w:r>
    </w:p>
    <w:p w14:paraId="4ECE8A21" w14:textId="77777777" w:rsidR="00073AD9" w:rsidRDefault="00000000" w:rsidP="00705772">
      <w:pPr>
        <w:pStyle w:val="2"/>
        <w:spacing w:line="360" w:lineRule="auto"/>
      </w:pPr>
      <w:bookmarkStart w:id="11" w:name="descriptive-statistics"/>
      <w:r>
        <w:t>1. Descriptive Statistics</w:t>
      </w:r>
    </w:p>
    <w:p w14:paraId="6495FDA3" w14:textId="09E336CD" w:rsidR="00073AD9" w:rsidRDefault="00000000" w:rsidP="00705772">
      <w:pPr>
        <w:pStyle w:val="FirstParagraph"/>
        <w:spacing w:line="360" w:lineRule="auto"/>
      </w:pPr>
      <w:r>
        <w:t>Across the 47 Japanese prefectures, the mean habitable-area-weighted terrain slope was 8.57 ± 3.16 degrees (</w:t>
      </w:r>
      <w:r w:rsidR="00E11A9A" w:rsidRPr="00E11A9A">
        <w:t xml:space="preserve">median 8.36; interquartile range [IQR] 6.56–10.95; </w:t>
      </w:r>
      <w:r>
        <w:t>range 1.81–15.43 degrees) (Table 1). The mean hip fracture surgery rate was 254.0 ± 37.6 per 100,000 population (</w:t>
      </w:r>
      <w:r w:rsidR="00E11A9A" w:rsidRPr="00E11A9A">
        <w:t>median 253.9; IQR 228.6–286.3;</w:t>
      </w:r>
      <w:r w:rsidR="00E11A9A">
        <w:rPr>
          <w:rFonts w:hint="eastAsia"/>
          <w:lang w:eastAsia="ja-JP"/>
        </w:rPr>
        <w:t xml:space="preserve"> </w:t>
      </w:r>
      <w:r>
        <w:t>range 167.6–329.6), and the mean total fracture surgery rate was 352.8 ± 54.9 per 100,000</w:t>
      </w:r>
      <w:r w:rsidR="00E11A9A" w:rsidRPr="00E11A9A">
        <w:t xml:space="preserve"> (median 356.1; IQR 306.4–397.1)</w:t>
      </w:r>
      <w:r>
        <w:t>. The mean aging rate was 30.7 ± 3.1%</w:t>
      </w:r>
      <w:r w:rsidR="00E11A9A" w:rsidRPr="00E11A9A">
        <w:t xml:space="preserve"> (median 31.3%; IQR 29.3–32.9%)</w:t>
      </w:r>
      <w:r>
        <w:t>, and the mean proportion with fast walking speed was 48.6 ± 4.3%</w:t>
      </w:r>
      <w:r w:rsidR="00E11A9A" w:rsidRPr="00E11A9A">
        <w:t xml:space="preserve"> (median 49.2%; IQR 46.2–51.2%). Population density was right-skewed (mean 657 persons/km² versus median 265; IQR 173–469)</w:t>
      </w:r>
      <w:r>
        <w:t>.</w:t>
      </w:r>
    </w:p>
    <w:p w14:paraId="69303466" w14:textId="77777777" w:rsidR="00073AD9" w:rsidRDefault="00000000" w:rsidP="00705772">
      <w:pPr>
        <w:pStyle w:val="2"/>
        <w:spacing w:line="360" w:lineRule="auto"/>
      </w:pPr>
      <w:bookmarkStart w:id="12" w:name="correlation-analysis"/>
      <w:bookmarkEnd w:id="11"/>
      <w:r>
        <w:t>2. Correlation Analysis</w:t>
      </w:r>
    </w:p>
    <w:p w14:paraId="79571341" w14:textId="69FE6B2D" w:rsidR="00073AD9" w:rsidRDefault="00000000" w:rsidP="00705772">
      <w:pPr>
        <w:pStyle w:val="FirstParagraph"/>
        <w:spacing w:line="360" w:lineRule="auto"/>
      </w:pPr>
      <w:r>
        <w:t xml:space="preserve">Terrain slope showed a moderate positive correlation with hip fracture surgery rate (r = 0.475, </w:t>
      </w:r>
      <w:r>
        <w:rPr>
          <w:i/>
          <w:iCs/>
        </w:rPr>
        <w:t>p</w:t>
      </w:r>
      <w:r>
        <w:t xml:space="preserve"> &lt; 0.01) and with total fracture surgery rate (r = 0.394, </w:t>
      </w:r>
      <w:r>
        <w:rPr>
          <w:i/>
          <w:iCs/>
        </w:rPr>
        <w:t>p</w:t>
      </w:r>
      <w:r>
        <w:t xml:space="preserve"> &lt; 0.01) (Table 2). </w:t>
      </w:r>
      <w:r w:rsidR="00CA3F03" w:rsidRPr="00CA3F03">
        <w:t>Figure 1 illustrates the bivariate association between terrain slope and hip fracture surgery rate; Figure 2 displays the correlation matrix.</w:t>
      </w:r>
      <w:r w:rsidR="00CA3F03">
        <w:rPr>
          <w:rFonts w:hint="eastAsia"/>
          <w:lang w:eastAsia="ja-JP"/>
        </w:rPr>
        <w:t xml:space="preserve"> </w:t>
      </w:r>
      <w:r>
        <w:t xml:space="preserve">Slope was also positively correlated with aging rate (r = 0.505, </w:t>
      </w:r>
      <w:r>
        <w:rPr>
          <w:i/>
          <w:iCs/>
        </w:rPr>
        <w:t>p</w:t>
      </w:r>
      <w:r>
        <w:t xml:space="preserve"> &lt; 0.01). In contrast, slope showed a weak negative correlation with fast walking rate (r = −0.264). Slope showed weak and non-significant correlations with humerus fracture rate (r = 0.138) and forearm fracture rate (r = 0.177).</w:t>
      </w:r>
    </w:p>
    <w:p w14:paraId="1C8A9B87" w14:textId="77777777" w:rsidR="00073AD9" w:rsidRDefault="00000000" w:rsidP="00705772">
      <w:pPr>
        <w:pStyle w:val="2"/>
        <w:spacing w:line="360" w:lineRule="auto"/>
      </w:pPr>
      <w:bookmarkStart w:id="13" w:name="regression-analysis-hip-fracture"/>
      <w:bookmarkEnd w:id="12"/>
      <w:r>
        <w:t>3. Regression Analysis: Hip Fracture</w:t>
      </w:r>
    </w:p>
    <w:p w14:paraId="0C7D47B6" w14:textId="5AB5B7A8" w:rsidR="00073AD9" w:rsidRDefault="00000000" w:rsidP="00705772">
      <w:pPr>
        <w:pStyle w:val="FirstParagraph"/>
        <w:spacing w:line="360" w:lineRule="auto"/>
      </w:pPr>
      <w:r>
        <w:t xml:space="preserve">In the unadjusted model (Model 1), terrain slope was significantly and positively associated with hip fracture surgery rate (β = 5.65; 95% CI, 2.50–8.79; R² = 0.225; </w:t>
      </w:r>
      <w:r>
        <w:rPr>
          <w:i/>
          <w:iCs/>
        </w:rPr>
        <w:t>p</w:t>
      </w:r>
      <w:r>
        <w:t xml:space="preserve"> = </w:t>
      </w:r>
      <w:r>
        <w:lastRenderedPageBreak/>
        <w:t xml:space="preserve">0.001). After adjustment for aging rate, fast walking rate, and population density (Model 2), </w:t>
      </w:r>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r>
        <w:t xml:space="preserve"> (Table 3). Aging rate was also associated with hip fracture rate (β = 5.53; 95% CI, 1.32–9.74; </w:t>
      </w:r>
      <w:r>
        <w:rPr>
          <w:i/>
          <w:iCs/>
        </w:rPr>
        <w:t>p</w:t>
      </w:r>
      <w:r>
        <w:t xml:space="preserve"> = 0.011). Fast walking rate </w:t>
      </w:r>
      <w:r w:rsidR="00E11A9A" w:rsidRPr="00E11A9A">
        <w:t>was positively associated with hip fracture rate under HC3 robust inference (β = 2.02; 95% CI, 0.29–3.74; *p* = 0.022) but not under conventional standard errors (β = 2.02; 95% CI, −0.34–4.37;</w:t>
      </w:r>
      <w:r>
        <w:t xml:space="preserve"> </w:t>
      </w:r>
      <w:r>
        <w:rPr>
          <w:i/>
          <w:iCs/>
        </w:rPr>
        <w:t>p</w:t>
      </w:r>
      <w:r>
        <w:t xml:space="preserve"> = 0.091). Population density was not significantly associated with hip fracture rate (β = −0.001; </w:t>
      </w:r>
      <w:r>
        <w:rPr>
          <w:i/>
          <w:iCs/>
        </w:rPr>
        <w:t>p</w:t>
      </w:r>
      <w:r>
        <w:t xml:space="preserve"> = 0.818).</w:t>
      </w:r>
    </w:p>
    <w:p w14:paraId="39F72240" w14:textId="77777777" w:rsidR="00B4073B" w:rsidRDefault="00622A77" w:rsidP="00705772">
      <w:pPr>
        <w:pStyle w:val="a0"/>
        <w:spacing w:line="360" w:lineRule="auto"/>
      </w:pPr>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 (both intervals include null).</w:t>
      </w:r>
    </w:p>
    <w:p w14:paraId="2B43F58A" w14:textId="62ABFA30" w:rsidR="00622A77" w:rsidRPr="00622A77" w:rsidRDefault="00205AF3" w:rsidP="00705772">
      <w:pPr>
        <w:pStyle w:val="a0"/>
        <w:spacing w:line="360" w:lineRule="auto"/>
        <w:rPr>
          <w:lang w:eastAsia="ja-JP"/>
        </w:rPr>
      </w:pPr>
      <w:r w:rsidRPr="00205AF3">
        <w:rPr>
          <w:lang w:eastAsia="ja-JP"/>
        </w:rPr>
        <w:t xml:space="preserve">Multivariable linear regression models of indirectly standardized hip (femur) surgery rates (per 100,000) used terrain slope, aging rate, fast walking rate, and population density, matching Table 3 Model 2. Terrain slope coefficients were positive with </w:t>
      </w:r>
      <w:r w:rsidRPr="00205AF3">
        <w:rPr>
          <w:i/>
          <w:iCs/>
          <w:lang w:eastAsia="ja-JP"/>
        </w:rPr>
        <w:t>p</w:t>
      </w:r>
      <w:r w:rsidRPr="00205AF3">
        <w:rPr>
          <w:lang w:eastAsia="ja-JP"/>
        </w:rPr>
        <w:t xml:space="preserve"> &lt; 0.05 under conventional standard errors in all three imputation scenarios (Table 5)</w:t>
      </w:r>
      <w:r w:rsidR="00622A77" w:rsidRPr="00622A77">
        <w:rPr>
          <w:lang w:eastAsia="ja-JP"/>
        </w:rPr>
        <w:t>.</w:t>
      </w:r>
    </w:p>
    <w:p w14:paraId="3D34D767" w14:textId="77777777" w:rsidR="00073AD9" w:rsidRDefault="00000000" w:rsidP="00705772">
      <w:pPr>
        <w:pStyle w:val="2"/>
        <w:spacing w:line="360" w:lineRule="auto"/>
      </w:pPr>
      <w:bookmarkStart w:id="14" w:name="X19b7a829deade195ab8e30bfbfddb97c9ee92ae"/>
      <w:bookmarkEnd w:id="13"/>
      <w:r>
        <w:t>4. Regression Analysis: Total, Humerus, and Forearm Fractures</w:t>
      </w:r>
    </w:p>
    <w:p w14:paraId="2F384C6E" w14:textId="77777777" w:rsidR="00073AD9" w:rsidRDefault="00000000" w:rsidP="00705772">
      <w:pPr>
        <w:pStyle w:val="FirstParagraph"/>
        <w:spacing w:line="360" w:lineRule="auto"/>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aging rate remained a significant predictor (β = 7.19; </w:t>
      </w:r>
      <w:r>
        <w:rPr>
          <w:i/>
          <w:iCs/>
        </w:rPr>
        <w:t>p</w:t>
      </w:r>
      <w:r>
        <w:t xml:space="preserve"> = 0.035; R² = 0.276). Neither humerus fracture rate (Model 1: </w:t>
      </w:r>
      <w:r>
        <w:rPr>
          <w:i/>
          <w:iCs/>
        </w:rPr>
        <w:t>p</w:t>
      </w:r>
      <w:r>
        <w:t xml:space="preserve"> = 0.355; Model 2: R² = 0.107) nor forearm fracture rate (Model 1: </w:t>
      </w:r>
      <w:r>
        <w:rPr>
          <w:i/>
          <w:iCs/>
        </w:rPr>
        <w:t>p</w:t>
      </w:r>
      <w:r>
        <w:t xml:space="preserve"> = 0.233; Model 2: R² = 0.062) was significantly associated with terrain slope in either model.</w:t>
      </w:r>
    </w:p>
    <w:p w14:paraId="1DD8F2C7" w14:textId="77777777" w:rsidR="00073AD9" w:rsidRDefault="00000000" w:rsidP="00705772">
      <w:pPr>
        <w:spacing w:line="360" w:lineRule="auto"/>
      </w:pPr>
      <w:r>
        <w:lastRenderedPageBreak/>
        <w:pict w14:anchorId="4B6AAA27">
          <v:rect id="_x0000_i1031" style="width:0;height:1.5pt" o:hralign="center" o:hrstd="t" o:hr="t"/>
        </w:pict>
      </w:r>
    </w:p>
    <w:p w14:paraId="26E67577" w14:textId="77777777" w:rsidR="00073AD9" w:rsidRDefault="00000000" w:rsidP="00705772">
      <w:pPr>
        <w:pStyle w:val="1"/>
        <w:spacing w:line="360" w:lineRule="auto"/>
      </w:pPr>
      <w:bookmarkStart w:id="15" w:name="discussion"/>
      <w:bookmarkEnd w:id="10"/>
      <w:bookmarkEnd w:id="14"/>
      <w:r>
        <w:t>Discussion</w:t>
      </w:r>
    </w:p>
    <w:p w14:paraId="72352068" w14:textId="77777777" w:rsidR="00073AD9" w:rsidRDefault="00000000" w:rsidP="00705772">
      <w:pPr>
        <w:pStyle w:val="2"/>
        <w:spacing w:line="360" w:lineRule="auto"/>
      </w:pPr>
      <w:bookmarkStart w:id="16" w:name="main-findings"/>
      <w:r>
        <w:t>1. Main Findings</w:t>
      </w:r>
    </w:p>
    <w:p w14:paraId="7B292F3D" w14:textId="2CD6BEBF" w:rsidR="00073AD9" w:rsidRDefault="00000000" w:rsidP="00705772">
      <w:pPr>
        <w:pStyle w:val="FirstParagraph"/>
        <w:spacing w:line="360" w:lineRule="auto"/>
      </w:pPr>
      <w:r>
        <w:t xml:space="preserve">This ecological study </w:t>
      </w:r>
      <w:r w:rsidR="00F964C5" w:rsidRPr="00F964C5">
        <w:t>showed</w:t>
      </w:r>
      <w:r>
        <w:t xml:space="preserve"> </w:t>
      </w:r>
      <w:r w:rsidR="00622A77" w:rsidRPr="00622A77">
        <w:t>a positive association between prefectural-level terrain slope and</w:t>
      </w:r>
      <w:r>
        <w:t xml:space="preserve"> hip fracture surgery rates after adjustment for aging rate, walking speed, and population density (β = 3.49 per one-degree increase</w:t>
      </w:r>
      <w:r w:rsidR="00622A77" w:rsidRPr="00622A77">
        <w:t>; conventional 95% CI, 0.11–6.86;</w:t>
      </w:r>
      <w:r>
        <w:t xml:space="preserve"> </w:t>
      </w:r>
      <w:r>
        <w:rPr>
          <w:i/>
          <w:iCs/>
        </w:rPr>
        <w:t>p</w:t>
      </w:r>
      <w:r>
        <w:t xml:space="preserve"> = 0.043)</w:t>
      </w:r>
      <w:r w:rsidR="00622A77" w:rsidRPr="00622A77">
        <w:t>, while acknowledging that heteroskedasticity-robust and bootstrap intervals for the slope coefficient were compatible with no association at α = 0.05</w:t>
      </w:r>
      <w:r>
        <w:t xml:space="preserve">. Each additional degree of slope </w:t>
      </w:r>
      <w:r w:rsidR="00622A77" w:rsidRPr="00622A77">
        <w:t>corresponded to</w:t>
      </w:r>
      <w:r>
        <w:t xml:space="preserve"> approximately 3.5 additional hip fracture surgeries per 100,000 population</w:t>
      </w:r>
      <w:r w:rsidR="00622A77">
        <w:rPr>
          <w:rFonts w:hint="eastAsia"/>
          <w:lang w:eastAsia="ja-JP"/>
        </w:rPr>
        <w:t xml:space="preserve"> </w:t>
      </w:r>
      <w:r w:rsidR="00622A77" w:rsidRPr="00622A77">
        <w:t>under the primary OLS parameterization</w:t>
      </w:r>
      <w:r>
        <w:t xml:space="preserve">. </w:t>
      </w:r>
      <w:r w:rsidR="00556984" w:rsidRPr="00556984">
        <w:t>The adjusted</w:t>
      </w:r>
      <w:r>
        <w:t xml:space="preserve"> association was specific to hip fractures and was not observed for humerus or forearm fractures.</w:t>
      </w:r>
      <w:r w:rsidR="006558D1" w:rsidRPr="006558D1">
        <w:t xml:space="preserve"> </w:t>
      </w:r>
      <w:r w:rsidR="000B6CF6">
        <w:rPr>
          <w:rFonts w:hint="eastAsia"/>
          <w:lang w:eastAsia="ja-JP"/>
        </w:rPr>
        <w:t>T</w:t>
      </w:r>
      <w:r w:rsidR="00556984" w:rsidRPr="00556984">
        <w:t>hese findings suggest that, at the population level, steeper habitable terrain may track hip-specific surgical burden beyond compositional aging and self-reported walking pace</w:t>
      </w:r>
      <w:r w:rsidR="006558D1" w:rsidRPr="006558D1">
        <w:t>.</w:t>
      </w:r>
    </w:p>
    <w:p w14:paraId="760621EE" w14:textId="77777777" w:rsidR="00073AD9" w:rsidRDefault="00000000" w:rsidP="00705772">
      <w:pPr>
        <w:pStyle w:val="2"/>
        <w:spacing w:line="360" w:lineRule="auto"/>
      </w:pPr>
      <w:bookmarkStart w:id="17" w:name="biological-plausibility"/>
      <w:bookmarkEnd w:id="16"/>
      <w:r>
        <w:t>2. Biological Plausibility</w:t>
      </w:r>
    </w:p>
    <w:p w14:paraId="6450A184" w14:textId="2D78BB6F" w:rsidR="00073AD9" w:rsidRDefault="00000000" w:rsidP="00705772">
      <w:pPr>
        <w:pStyle w:val="FirstParagraph"/>
        <w:spacing w:line="360" w:lineRule="auto"/>
      </w:pPr>
      <w:r>
        <w:t xml:space="preserve">The slope–fracture association </w:t>
      </w:r>
      <w:r w:rsidR="00896745" w:rsidRPr="00896745">
        <w:t>observed for</w:t>
      </w:r>
      <w:r>
        <w:t xml:space="preserve"> the hip </w:t>
      </w:r>
      <w:r w:rsidR="00896745">
        <w:rPr>
          <w:rFonts w:hint="eastAsia"/>
          <w:lang w:eastAsia="ja-JP"/>
        </w:rPr>
        <w:t>may be</w:t>
      </w:r>
      <w:r>
        <w:t xml:space="preserve"> biologically plausible and </w:t>
      </w:r>
      <w:r w:rsidR="00896745" w:rsidRPr="00896745">
        <w:t>may be partly</w:t>
      </w:r>
      <w:r w:rsidR="00896745">
        <w:rPr>
          <w:rFonts w:hint="eastAsia"/>
          <w:lang w:eastAsia="ja-JP"/>
        </w:rPr>
        <w:t xml:space="preserve"> </w:t>
      </w:r>
      <w:r>
        <w:t>supported by biomechanical evidence. Hip fractures typically result from lateral (sideways) falls,</w:t>
      </w:r>
      <w:r w:rsidR="00CA3F03" w:rsidRPr="00CA3F03">
        <w:t xml:space="preserve"> </w:t>
      </w:r>
      <w:r w:rsidR="00CA3F03" w:rsidRPr="00CA3F03">
        <w:rPr>
          <w:lang w:eastAsia="ja-JP"/>
        </w:rPr>
        <w:t>[22, 23]</w:t>
      </w:r>
      <w:r>
        <w:t xml:space="preserve"> which are </w:t>
      </w:r>
      <w:r w:rsidR="00896745" w:rsidRPr="00896745">
        <w:t>common</w:t>
      </w:r>
      <w:r>
        <w:t xml:space="preserve"> fall mechanism</w:t>
      </w:r>
      <w:r w:rsidR="00794CB3">
        <w:rPr>
          <w:rFonts w:hint="eastAsia"/>
          <w:lang w:eastAsia="ja-JP"/>
        </w:rPr>
        <w:t>s</w:t>
      </w:r>
      <w:r>
        <w:t xml:space="preserve">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w:t>
      </w:r>
      <w:r w:rsidR="00CA3F03" w:rsidRPr="00CA3F03">
        <w:t xml:space="preserve"> </w:t>
      </w:r>
      <w:r w:rsidR="00CA3F03" w:rsidRPr="00CA3F03">
        <w:rPr>
          <w:lang w:eastAsia="ja-JP"/>
        </w:rPr>
        <w:t>[23, 24]</w:t>
      </w:r>
      <w:r>
        <w:t xml:space="preserve"> The impact forces generated during lateral falls typically reach 2,000 to 4,000 N, exceeding the physiological tolerance of osteoporotic femoral necks.</w:t>
      </w:r>
      <w:r w:rsidR="00CA3F03" w:rsidRPr="00CA3F03">
        <w:t xml:space="preserve"> </w:t>
      </w:r>
      <w:r w:rsidR="00CA3F03" w:rsidRPr="00CA3F03">
        <w:rPr>
          <w:lang w:eastAsia="ja-JP"/>
        </w:rPr>
        <w:t>[25]</w:t>
      </w:r>
      <w:r>
        <w:t xml:space="preserve"> Finite element method </w:t>
      </w:r>
      <w:r>
        <w:lastRenderedPageBreak/>
        <w:t xml:space="preserve">(FEM) simulations have further </w:t>
      </w:r>
      <w:r w:rsidR="00896745" w:rsidRPr="00896745">
        <w:t>suggested</w:t>
      </w:r>
      <w:r>
        <w:t xml:space="preserve"> that posterolateral and lateral impacts generate maximum tensile and compressive stresses at the superior and inferior aspects of the femoral neck, </w:t>
      </w:r>
      <w:r w:rsidR="00896745" w:rsidRPr="00896745">
        <w:t>potentially increasing</w:t>
      </w:r>
      <w:r>
        <w:t xml:space="preserve"> fracture vulnerability.</w:t>
      </w:r>
      <w:r w:rsidR="00CA3F03" w:rsidRPr="00CA3F03">
        <w:t xml:space="preserve"> </w:t>
      </w:r>
      <w:r w:rsidR="00CA3F03" w:rsidRPr="00CA3F03">
        <w:rPr>
          <w:lang w:eastAsia="ja-JP"/>
        </w:rPr>
        <w:t>[26]</w:t>
      </w:r>
    </w:p>
    <w:p w14:paraId="0451411D" w14:textId="6BA491F3" w:rsidR="00073AD9" w:rsidRDefault="00000000" w:rsidP="00705772">
      <w:pPr>
        <w:pStyle w:val="a0"/>
        <w:spacing w:line="360" w:lineRule="auto"/>
        <w:rPr>
          <w:lang w:eastAsia="ja-JP"/>
        </w:rPr>
      </w:pPr>
      <w:r>
        <w:t>When walking downhill or across a slope, the body’s center of mass (CoM) shifts laterally, and the control of lateral stability becomes increasingly difficult.</w:t>
      </w:r>
      <w:r w:rsidR="00CA3F03" w:rsidRPr="00CA3F03">
        <w:t xml:space="preserve"> </w:t>
      </w:r>
      <w:r w:rsidR="00CA3F03" w:rsidRPr="00CA3F03">
        <w:rPr>
          <w:lang w:eastAsia="ja-JP"/>
        </w:rPr>
        <w:t>[27, 28]</w:t>
      </w:r>
      <w:r>
        <w:t xml:space="preserve"> The human gait pattern is biomechanically analogous to an inverted pendulum, with CoM tracing a bow-tie-shaped trajectory in three-dimensional space.</w:t>
      </w:r>
      <w:r w:rsidR="00CA3F03" w:rsidRPr="00CA3F03">
        <w:t xml:space="preserve"> [28]</w:t>
      </w:r>
      <w:r>
        <w:t xml:space="preserve"> On sloped terrain, maintaining CoM within the base of support (BoS) requires precise step-by-step adjustments of step width and foot placement.</w:t>
      </w:r>
      <w:r w:rsidR="00CA3F03" w:rsidRPr="00CA3F03">
        <w:t xml:space="preserve"> </w:t>
      </w:r>
      <w:r w:rsidR="00CA3F03" w:rsidRPr="00CA3F03">
        <w:rPr>
          <w:lang w:eastAsia="ja-JP"/>
        </w:rPr>
        <w:t>[29]</w:t>
      </w:r>
      <w:r>
        <w:t xml:space="preserve"> For older adults with age-related declines in hip abductor strength and ankle dorsiflexion, the margin of stability (MoS) during inclined walking is dramatically reduced.</w:t>
      </w:r>
      <w:r w:rsidR="00CA3F03" w:rsidRPr="00CA3F03">
        <w:t xml:space="preserve"> [11, 13]</w:t>
      </w:r>
      <w:r>
        <w:t xml:space="preserve"> Slips or minor perturbations that could be corrected via cross-over steps on flat surfaces become unarrested lateral falls on slopes due to delayed postural reflexes and environmental constraints.</w:t>
      </w:r>
      <w:r w:rsidR="00CA3F03" w:rsidRPr="00CA3F03">
        <w:t xml:space="preserve"> [12, 28]</w:t>
      </w:r>
    </w:p>
    <w:p w14:paraId="3C3BA830" w14:textId="274F7B4D" w:rsidR="00073AD9" w:rsidRDefault="00000000" w:rsidP="00705772">
      <w:pPr>
        <w:pStyle w:val="a0"/>
        <w:spacing w:line="360" w:lineRule="auto"/>
      </w:pPr>
      <w:r>
        <w:t>In contrast, wrist (forearm) fractures are more commonly caused by protective extension reflexes during forward falls on flat surfaces.</w:t>
      </w:r>
      <w:r w:rsidR="00CA3F03" w:rsidRPr="00CA3F03">
        <w:t xml:space="preserve"> </w:t>
      </w:r>
      <w:r w:rsidR="00CA3F03" w:rsidRPr="00CA3F03">
        <w:rPr>
          <w:lang w:eastAsia="ja-JP"/>
        </w:rPr>
        <w:t>[30]</w:t>
      </w:r>
      <w:r>
        <w:t xml:space="preserve"> When falling forward, individuals instinctively extend their arms to protect the head and torso, and kinematic studies show that elbow flexion and wrist dorsiflexion absorb fall energy, dramatically reducing pelvic impact velocity.</w:t>
      </w:r>
      <w:r w:rsidR="00CA3F03" w:rsidRPr="00CA3F03">
        <w:t xml:space="preserve"> </w:t>
      </w:r>
      <w:r w:rsidR="00CA3F03" w:rsidRPr="00CA3F03">
        <w:rPr>
          <w:lang w:eastAsia="ja-JP"/>
        </w:rPr>
        <w:t>[30]</w:t>
      </w:r>
      <w:r>
        <w:t xml:space="preserve"> Such forward falls typically occur from tripping on minor obstacles or steps indoors, rather than from rapid lateral displacement on steep slopes.</w:t>
      </w:r>
      <w:r w:rsidR="00CA3F03">
        <w:rPr>
          <w:rFonts w:hint="eastAsia"/>
          <w:lang w:eastAsia="ja-JP"/>
        </w:rPr>
        <w:t xml:space="preserve"> </w:t>
      </w:r>
      <w:r w:rsidR="00CA3F03" w:rsidRPr="00CA3F03">
        <w:rPr>
          <w:lang w:eastAsia="ja-JP"/>
        </w:rPr>
        <w:t>[31]</w:t>
      </w:r>
      <w:r>
        <w:t xml:space="preserve"> Similarly, humerus fractures in older adults often result from low-energy obliquely forward falls on level ground and occur in relatively younger, more ambulatory individuals who retain arm-protective reflexes.</w:t>
      </w:r>
      <w:r w:rsidR="00CA3F03" w:rsidRPr="00CA3F03">
        <w:t xml:space="preserve"> </w:t>
      </w:r>
      <w:r w:rsidR="00CA3F03" w:rsidRPr="00CA3F03">
        <w:rPr>
          <w:lang w:eastAsia="ja-JP"/>
        </w:rPr>
        <w:t>[32]</w:t>
      </w:r>
      <w:r>
        <w:t xml:space="preserve"> The fracture-site specificity observed in our data—significant association with hip fractures but not with humerus or forearm fractures—provides internal evidence </w:t>
      </w:r>
      <w:r w:rsidR="005A5D79" w:rsidRPr="005A5D79">
        <w:t>that is</w:t>
      </w:r>
      <w:r w:rsidR="005A5D79">
        <w:rPr>
          <w:rFonts w:hint="eastAsia"/>
          <w:lang w:eastAsia="ja-JP"/>
        </w:rPr>
        <w:t xml:space="preserve"> </w:t>
      </w:r>
      <w:r>
        <w:t xml:space="preserve">consistent with </w:t>
      </w:r>
      <w:r w:rsidR="005A5D79">
        <w:rPr>
          <w:rFonts w:hint="eastAsia"/>
          <w:lang w:eastAsia="ja-JP"/>
        </w:rPr>
        <w:t>a</w:t>
      </w:r>
      <w:r w:rsidR="005A5D79">
        <w:t xml:space="preserve"> </w:t>
      </w:r>
      <w:r>
        <w:t xml:space="preserve">biomechanical paradigm </w:t>
      </w:r>
      <w:r w:rsidR="005A5D79" w:rsidRPr="005A5D79">
        <w:t>in which</w:t>
      </w:r>
      <w:r>
        <w:t xml:space="preserve"> terrain slope </w:t>
      </w:r>
      <w:r w:rsidR="005A5D79">
        <w:rPr>
          <w:rFonts w:hint="eastAsia"/>
          <w:lang w:eastAsia="ja-JP"/>
        </w:rPr>
        <w:t xml:space="preserve">may </w:t>
      </w:r>
      <w:r>
        <w:t>specifically amplif</w:t>
      </w:r>
      <w:r w:rsidR="005A5D79">
        <w:rPr>
          <w:rFonts w:hint="eastAsia"/>
          <w:lang w:eastAsia="ja-JP"/>
        </w:rPr>
        <w:t>y</w:t>
      </w:r>
      <w:r>
        <w:t xml:space="preserve"> lateral fall risk.</w:t>
      </w:r>
    </w:p>
    <w:p w14:paraId="57B00B2F" w14:textId="77777777" w:rsidR="00073AD9" w:rsidRDefault="00000000" w:rsidP="00705772">
      <w:pPr>
        <w:pStyle w:val="2"/>
        <w:spacing w:line="360" w:lineRule="auto"/>
      </w:pPr>
      <w:bookmarkStart w:id="18" w:name="comparison-with-previous-studies"/>
      <w:bookmarkEnd w:id="17"/>
      <w:r>
        <w:lastRenderedPageBreak/>
        <w:t>3. Comparison with Previous Studies</w:t>
      </w:r>
    </w:p>
    <w:p w14:paraId="17A9EA6F" w14:textId="0B247903" w:rsidR="00073AD9" w:rsidRDefault="00000000" w:rsidP="00705772">
      <w:pPr>
        <w:pStyle w:val="FirstParagraph"/>
        <w:spacing w:line="360" w:lineRule="auto"/>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w:t>
      </w:r>
      <w:r w:rsidR="00CA3F03" w:rsidRPr="00CA3F03">
        <w:t xml:space="preserve"> </w:t>
      </w:r>
      <w:r w:rsidR="00CA3F03" w:rsidRPr="00CA3F03">
        <w:rPr>
          <w:lang w:eastAsia="ja-JP"/>
        </w:rPr>
        <w:t>[20]</w:t>
      </w:r>
      <w:r>
        <w:t xml:space="preserve"> The NOREPOS investigators further identified that cold ambient temperature and icy terrain in mountainous areas amplified this geographic risk,</w:t>
      </w:r>
      <w:r w:rsidR="00CA3F03" w:rsidRPr="00CA3F03">
        <w:t xml:space="preserve"> </w:t>
      </w:r>
      <w:r w:rsidR="00CA3F03" w:rsidRPr="00CA3F03">
        <w:rPr>
          <w:lang w:eastAsia="ja-JP"/>
        </w:rPr>
        <w:t>[33]</w:t>
      </w:r>
      <w:r>
        <w:t xml:space="preserve"> a finding with direct relevance to Japan’s snowy mountainous prefectures (e.g., Niigata, Nagano, Yamagata).</w:t>
      </w:r>
    </w:p>
    <w:p w14:paraId="6C936E6D" w14:textId="3730A197" w:rsidR="00073AD9" w:rsidRDefault="00000000" w:rsidP="00705772">
      <w:pPr>
        <w:pStyle w:val="a0"/>
        <w:spacing w:line="360" w:lineRule="auto"/>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r w:rsidR="00CA3F03" w:rsidRPr="00CA3F03">
        <w:t xml:space="preserve"> </w:t>
      </w:r>
      <w:r w:rsidR="00CA3F03" w:rsidRPr="00CA3F03">
        <w:rPr>
          <w:lang w:eastAsia="ja-JP"/>
        </w:rPr>
        <w:t>[21]</w:t>
      </w:r>
      <w:r>
        <w:t xml:space="preserve"> These findings reinforce the generalizability of our results across diverse geographic and ethnic contexts.</w:t>
      </w:r>
    </w:p>
    <w:p w14:paraId="6F003E16" w14:textId="12D9DB38" w:rsidR="00073AD9" w:rsidRDefault="00000000" w:rsidP="00705772">
      <w:pPr>
        <w:pStyle w:val="a0"/>
        <w:spacing w:line="360" w:lineRule="auto"/>
      </w:pPr>
      <w:r>
        <w:t>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w:t>
      </w:r>
      <w:r w:rsidR="00CA3F03" w:rsidRPr="00CA3F03">
        <w:t xml:space="preserve"> </w:t>
      </w:r>
      <w:r w:rsidR="00CA3F03" w:rsidRPr="00CA3F03">
        <w:rPr>
          <w:lang w:eastAsia="ja-JP"/>
        </w:rPr>
        <w:t>[34]</w:t>
      </w:r>
      <w:r>
        <w:t xml:space="preserve"> In Japan, Nakamura et al. reported that </w:t>
      </w:r>
      <w:r w:rsidR="00935FEB" w:rsidRPr="00935FEB">
        <w:t xml:space="preserve">frequent </w:t>
      </w:r>
      <w:r>
        <w:t xml:space="preserve">outdoor activity </w:t>
      </w:r>
      <w:r w:rsidR="005936E7" w:rsidRPr="005936E7">
        <w:t>predicts physical function in rural community-dwelling older adults.</w:t>
      </w:r>
      <w:r w:rsidR="00CA3F03" w:rsidRPr="00CA3F03">
        <w:t xml:space="preserve"> </w:t>
      </w:r>
      <w:r w:rsidR="00CA3F03" w:rsidRPr="00CA3F03">
        <w:rPr>
          <w:lang w:eastAsia="ja-JP"/>
        </w:rPr>
        <w:t>[14]</w:t>
      </w:r>
      <w:r>
        <w:t xml:space="preserve"> However, to our knowledge, no prior study has used nationwide DEM data linked to administrative fracture data to quantify the dose-response association between terrain slope and hip fracture rates at the population level in Japan. Our </w:t>
      </w:r>
      <w:r w:rsidR="00F7283B" w:rsidRPr="00F7283B">
        <w:t>findings add</w:t>
      </w:r>
      <w:r>
        <w:t xml:space="preserve"> nationwide quantitative evidence that each one-</w:t>
      </w:r>
      <w:r>
        <w:lastRenderedPageBreak/>
        <w:t>degree increase in terrain slope is associated with approximately 3.5 additional hip fracture surgeries per 100,000 population, independent of aging rate</w:t>
      </w:r>
      <w:r w:rsidR="00F7283B" w:rsidRPr="00F7283B">
        <w:t xml:space="preserve"> in the primary model</w:t>
      </w:r>
      <w:r>
        <w:t xml:space="preserve">. This quantitative estimate </w:t>
      </w:r>
      <w:r w:rsidR="00C22C4D">
        <w:rPr>
          <w:rFonts w:hint="eastAsia"/>
          <w:lang w:eastAsia="ja-JP"/>
        </w:rPr>
        <w:t xml:space="preserve">may </w:t>
      </w:r>
      <w:r>
        <w:t xml:space="preserve">contribute to the global evidence base for terrain as a modifiable environmental </w:t>
      </w:r>
      <w:r w:rsidR="00F7283B" w:rsidRPr="00F7283B">
        <w:t>correlate of fracture burden</w:t>
      </w:r>
      <w:r>
        <w:t>.</w:t>
      </w:r>
    </w:p>
    <w:p w14:paraId="775AC0CF" w14:textId="77777777" w:rsidR="00073AD9" w:rsidRDefault="00000000" w:rsidP="00705772">
      <w:pPr>
        <w:pStyle w:val="2"/>
        <w:spacing w:line="360" w:lineRule="auto"/>
      </w:pPr>
      <w:bookmarkStart w:id="19" w:name="role-of-aging-rate"/>
      <w:bookmarkEnd w:id="18"/>
      <w:r>
        <w:t>4. Role of Aging Rate</w:t>
      </w:r>
    </w:p>
    <w:p w14:paraId="76D36971" w14:textId="7F3C78E9" w:rsidR="00073AD9" w:rsidRDefault="00000000" w:rsidP="00705772">
      <w:pPr>
        <w:pStyle w:val="FirstParagraph"/>
        <w:spacing w:line="360" w:lineRule="auto"/>
      </w:pPr>
      <w:r>
        <w:t xml:space="preserve">Aging rate was the strongest predictor of hip fracture rate in the multivariable model (β = 5.53, </w:t>
      </w:r>
      <w:r>
        <w:rPr>
          <w:i/>
          <w:iCs/>
        </w:rPr>
        <w:t>p</w:t>
      </w:r>
      <w:r>
        <w:t xml:space="preserve"> = 0.011). Prefectures with steeper terrain also tended to have higher aging rates (r = 0.505), reflecting the well-documented trend of rural aging in Japan, where mountainous prefectures experience greater outmigration of younger populations.</w:t>
      </w:r>
      <w:r w:rsidR="00CA3F03" w:rsidRPr="00CA3F03">
        <w:t xml:space="preserve"> </w:t>
      </w:r>
      <w:r w:rsidR="00CA3F03" w:rsidRPr="00CA3F03">
        <w:rPr>
          <w:lang w:eastAsia="ja-JP"/>
        </w:rPr>
        <w:t>[35, 36, 37]</w:t>
      </w:r>
      <w:r>
        <w:t xml:space="preserve"> Older adults in these high-slope prefectures thus face a double burden: the physical challenge of navigating harsh terrain on a daily basis (environmental hazard) and the social isolation and lack of medical access associated with rural depopulation (social determinants of health).</w:t>
      </w:r>
      <w:r w:rsidR="00CA3F03" w:rsidRPr="00CA3F03">
        <w:t xml:space="preserve"> </w:t>
      </w:r>
      <w:r w:rsidR="00CA3F03" w:rsidRPr="00CA3F03">
        <w:rPr>
          <w:lang w:eastAsia="ja-JP"/>
        </w:rPr>
        <w:t>[38, 39]</w:t>
      </w:r>
    </w:p>
    <w:p w14:paraId="2781015F" w14:textId="02164660" w:rsidR="00073AD9" w:rsidRDefault="00000000" w:rsidP="00705772">
      <w:pPr>
        <w:pStyle w:val="a0"/>
        <w:spacing w:line="360" w:lineRule="auto"/>
      </w:pPr>
      <w:r>
        <w:t xml:space="preserve">The </w:t>
      </w:r>
      <w:r w:rsidR="00FB1385" w:rsidRPr="00FB1385">
        <w:t>partial</w:t>
      </w:r>
      <w:r>
        <w:t xml:space="preserve"> association of slope with hip fracture after adjustment for aging rate </w:t>
      </w:r>
      <w:r w:rsidR="00FB1385" w:rsidRPr="00FB1385">
        <w:t>suggests</w:t>
      </w:r>
      <w:r>
        <w:t xml:space="preserve"> that terrain </w:t>
      </w:r>
      <w:r w:rsidR="00FB1385" w:rsidRPr="00FB1385">
        <w:t>may constitute</w:t>
      </w:r>
      <w:r>
        <w:t xml:space="preserve"> a risk </w:t>
      </w:r>
      <w:r w:rsidR="00F7283B" w:rsidRPr="00F7283B">
        <w:t>correlate</w:t>
      </w:r>
      <w:r>
        <w:t xml:space="preserve"> over and above demographic composition</w:t>
      </w:r>
      <w:r w:rsidR="00FB1385" w:rsidRPr="00FB1385">
        <w:t>, subject to the inferential sensitivity noted above</w:t>
      </w:r>
      <w:r>
        <w:t xml:space="preserve">. This finding has practical implications: even within the context of Japan’s nationwide aging, geographic topography </w:t>
      </w:r>
      <w:r w:rsidR="00F7283B">
        <w:rPr>
          <w:rFonts w:hint="eastAsia"/>
          <w:lang w:eastAsia="ja-JP"/>
        </w:rPr>
        <w:t xml:space="preserve">may </w:t>
      </w:r>
      <w:r>
        <w:t xml:space="preserve">represent an additional and </w:t>
      </w:r>
      <w:r w:rsidR="00F7283B" w:rsidRPr="00F7283B">
        <w:t>potentially</w:t>
      </w:r>
      <w:r w:rsidR="00F7283B">
        <w:rPr>
          <w:rFonts w:hint="eastAsia"/>
          <w:lang w:eastAsia="ja-JP"/>
        </w:rPr>
        <w:t xml:space="preserve"> </w:t>
      </w:r>
      <w:r>
        <w:t xml:space="preserve">modifiable layer of fracture risk. Terrain slope </w:t>
      </w:r>
      <w:r w:rsidR="00F7283B">
        <w:rPr>
          <w:rFonts w:hint="eastAsia"/>
          <w:lang w:eastAsia="ja-JP"/>
        </w:rPr>
        <w:t>may</w:t>
      </w:r>
      <w:r>
        <w:t xml:space="preserve"> not </w:t>
      </w:r>
      <w:r w:rsidR="00F7283B">
        <w:rPr>
          <w:rFonts w:hint="eastAsia"/>
          <w:lang w:eastAsia="ja-JP"/>
        </w:rPr>
        <w:t xml:space="preserve">be </w:t>
      </w:r>
      <w:r>
        <w:t>merely a proxy for aging</w:t>
      </w:r>
      <w:r w:rsidR="00F7283B" w:rsidRPr="00F7283B">
        <w:t xml:space="preserve"> and may represent</w:t>
      </w:r>
      <w:r>
        <w:t xml:space="preserve"> an </w:t>
      </w:r>
      <w:r w:rsidR="00F7283B" w:rsidRPr="00F7283B">
        <w:t>additional</w:t>
      </w:r>
      <w:r>
        <w:t xml:space="preserve"> environmental </w:t>
      </w:r>
      <w:r w:rsidR="00F7283B" w:rsidRPr="00F7283B">
        <w:t>correlate</w:t>
      </w:r>
      <w:r>
        <w:t xml:space="preserve"> that </w:t>
      </w:r>
      <w:r w:rsidR="00F7283B" w:rsidRPr="00F7283B">
        <w:t>could contribute to functional decline</w:t>
      </w:r>
      <w:r>
        <w:t xml:space="preserve"> among rural-dwelling older adults.</w:t>
      </w:r>
      <w:r w:rsidR="008227BE" w:rsidRPr="008227BE">
        <w:t xml:space="preserve"> Given public-data masking in age-stratified surgery tables, we interpret age-structure robustness primarily from the consistency of adjusted ecological models and from imputation-based sensitivity analyses, while acknowledging that full indirect standardization without imputation is not feasible with the current open dataset.</w:t>
      </w:r>
    </w:p>
    <w:p w14:paraId="1B1E73F4" w14:textId="77777777" w:rsidR="00073AD9" w:rsidRDefault="00000000" w:rsidP="00705772">
      <w:pPr>
        <w:pStyle w:val="2"/>
        <w:spacing w:line="360" w:lineRule="auto"/>
      </w:pPr>
      <w:bookmarkStart w:id="20" w:name="walking-speed-as-a-mediator"/>
      <w:bookmarkEnd w:id="19"/>
      <w:r>
        <w:lastRenderedPageBreak/>
        <w:t>5. Walking Speed as a Mediator</w:t>
      </w:r>
    </w:p>
    <w:p w14:paraId="7A531454" w14:textId="7014E641" w:rsidR="00073AD9" w:rsidRDefault="00FB1385" w:rsidP="00705772">
      <w:pPr>
        <w:pStyle w:val="FirstParagraph"/>
        <w:spacing w:line="360" w:lineRule="auto"/>
      </w:pPr>
      <w:r w:rsidRPr="00FB1385">
        <w:t>At the individual level, slower</w:t>
      </w:r>
      <w:r>
        <w:t xml:space="preserve"> walking speed </w:t>
      </w:r>
      <w:r w:rsidRPr="00FB1385">
        <w:t>is a well-established marker</w:t>
      </w:r>
      <w:r>
        <w:t xml:space="preserve"> of fracture risk, sarcopenia, frailty, and mortality</w:t>
      </w:r>
      <w:r w:rsidRPr="00FB1385">
        <w:t xml:space="preserve"> (often termed the "sixth vital sign")</w:t>
      </w:r>
      <w:r>
        <w:t>.</w:t>
      </w:r>
      <w:r w:rsidR="00CA3F03" w:rsidRPr="00CA3F03">
        <w:t xml:space="preserve"> </w:t>
      </w:r>
      <w:r w:rsidR="00CA3F03" w:rsidRPr="00CA3F03">
        <w:rPr>
          <w:lang w:eastAsia="ja-JP"/>
        </w:rPr>
        <w:t>[15, 16, 17]</w:t>
      </w:r>
      <w:r>
        <w:t xml:space="preserve"> Prospective cohort studies in community-dwelling older adults have demonstrated that walking speeds below 0.8 m/s or 0.69 m/s significantly elevate hip fracture incidence.</w:t>
      </w:r>
      <w:r w:rsidR="00CA3F03" w:rsidRPr="00CA3F03">
        <w:t xml:space="preserve"> </w:t>
      </w:r>
      <w:r w:rsidR="00CA3F03" w:rsidRPr="00CA3F03">
        <w:rPr>
          <w:lang w:eastAsia="ja-JP"/>
        </w:rPr>
        <w:t>[16]</w:t>
      </w:r>
      <w:r>
        <w:t xml:space="preserve"> </w:t>
      </w:r>
      <w:r w:rsidRPr="00FB1385">
        <w:t>Walking</w:t>
      </w:r>
      <w:r>
        <w:t xml:space="preserve"> speed measured in clinical settings (flat 10-meter walk tests) may not accurately reflect real-world walking ability on complex outdoor terrain.</w:t>
      </w:r>
      <w:r w:rsidR="00CA3F03" w:rsidRPr="00CA3F03">
        <w:t xml:space="preserve"> </w:t>
      </w:r>
      <w:r w:rsidR="00CA3F03" w:rsidRPr="00CA3F03">
        <w:rPr>
          <w:lang w:eastAsia="ja-JP"/>
        </w:rPr>
        <w:t>[18]</w:t>
      </w:r>
    </w:p>
    <w:p w14:paraId="603FDFA9" w14:textId="5E46C4D8" w:rsidR="00073AD9" w:rsidRDefault="00FB1385" w:rsidP="00705772">
      <w:pPr>
        <w:pStyle w:val="a0"/>
        <w:spacing w:line="360" w:lineRule="auto"/>
      </w:pPr>
      <w:r w:rsidRPr="00FB1385">
        <w:t xml:space="preserve">In our ecological data, terrain slope was negatively correlated with prefecture-level fast walking rate (r = −0.264), consistent with residents of steeper prefectures reporting slower habitual walking on average. </w:t>
      </w:r>
      <w:r>
        <w:t>When confronted with uneven or sloped terrain, older adults unconsciously adopt cautious gait strategies, reducing step length and cadence to enhance stability, which results in substantially slower walking speeds.</w:t>
      </w:r>
      <w:r w:rsidR="00CA3F03" w:rsidRPr="00CA3F03">
        <w:t xml:space="preserve"> </w:t>
      </w:r>
      <w:r w:rsidR="00CA3F03" w:rsidRPr="00CA3F03">
        <w:rPr>
          <w:lang w:eastAsia="ja-JP"/>
        </w:rPr>
        <w:t>[11, 18, 19]</w:t>
      </w:r>
      <w:r>
        <w:t xml:space="preserve"> Older adults residing in high-slope regions are exposed to such challenging terrain daily during shopping and outdoor activities, leading to chronic fear of falling, reduced outdoor activity, and progressive deconditioning (disuse muscle atrophy).</w:t>
      </w:r>
      <w:r w:rsidR="00CA3F03" w:rsidRPr="00CA3F03">
        <w:t xml:space="preserve"> </w:t>
      </w:r>
      <w:r w:rsidR="00CA3F03" w:rsidRPr="00CA3F03">
        <w:rPr>
          <w:lang w:eastAsia="ja-JP"/>
        </w:rPr>
        <w:t>[40, 41]</w:t>
      </w:r>
    </w:p>
    <w:p w14:paraId="0D744E0F" w14:textId="45E7DED2" w:rsidR="00073AD9" w:rsidRDefault="00000000" w:rsidP="00705772">
      <w:pPr>
        <w:pStyle w:val="a0"/>
        <w:spacing w:line="360" w:lineRule="auto"/>
      </w:pPr>
      <w:r>
        <w:t xml:space="preserve">However, </w:t>
      </w:r>
      <w:r w:rsidR="00FB1385" w:rsidRPr="00FB1385">
        <w:t xml:space="preserve">the multivariable OLS coefficient for fast walking rate was positive (β = 2.02 per 1 percentage-point increase in fast walking), which is difficult to interpret as a causal protective effect at prefecture resolution and is not the individual-level association described in cohort studies. Inference for this coefficient was sensitive to 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t>
      </w:r>
      <w:r w:rsidR="00DB17F0" w:rsidRPr="00DB17F0">
        <w:t xml:space="preserve">Because only the 40–74-year questionnaire aggregate is publicly available, we treated this variable as a contextual covariate and not as a direct proxy for hip fracture risk in the oldest age groups. </w:t>
      </w:r>
      <w:r w:rsidR="00FB1385" w:rsidRPr="00FB1385">
        <w:t xml:space="preserve">We </w:t>
      </w:r>
      <w:r w:rsidR="00FB1385" w:rsidRPr="00FB1385">
        <w:lastRenderedPageBreak/>
        <w:t>therefore did not treat walking speed as a statistically supported mediator of the slope–hip fracture association.</w:t>
      </w:r>
      <w:r>
        <w:t xml:space="preserve">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41E34BFF" w14:textId="77777777" w:rsidR="00073AD9" w:rsidRDefault="00000000" w:rsidP="00705772">
      <w:pPr>
        <w:pStyle w:val="2"/>
        <w:spacing w:line="360" w:lineRule="auto"/>
      </w:pPr>
      <w:bookmarkStart w:id="21" w:name="policy-implications"/>
      <w:bookmarkEnd w:id="20"/>
      <w:r>
        <w:t>6. Policy Implications</w:t>
      </w:r>
    </w:p>
    <w:p w14:paraId="47E75878" w14:textId="1EDF9530" w:rsidR="00073AD9" w:rsidRDefault="00000000" w:rsidP="00705772">
      <w:pPr>
        <w:pStyle w:val="FirstParagraph"/>
        <w:spacing w:line="360" w:lineRule="auto"/>
      </w:pPr>
      <w:r>
        <w:t xml:space="preserve">Our findings </w:t>
      </w:r>
      <w:r w:rsidR="00086EBA">
        <w:rPr>
          <w:rFonts w:hint="eastAsia"/>
          <w:lang w:eastAsia="ja-JP"/>
        </w:rPr>
        <w:t xml:space="preserve">may </w:t>
      </w:r>
      <w:r>
        <w:t>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r w:rsidR="008D01AA" w:rsidRPr="008D01AA">
        <w:t xml:space="preserve"> </w:t>
      </w:r>
      <w:r w:rsidR="008D01AA" w:rsidRPr="008D01AA">
        <w:rPr>
          <w:lang w:eastAsia="ja-JP"/>
        </w:rPr>
        <w:t>[4, 42, 43]</w:t>
      </w:r>
      <w:r>
        <w:t xml:space="preserve"> Acute care costs for hip fracture treatment reached approximately 1,000 billion yen in 2021,</w:t>
      </w:r>
      <w:r w:rsidR="008D01AA" w:rsidRPr="008D01AA">
        <w:t xml:space="preserve"> </w:t>
      </w:r>
      <w:r w:rsidR="008D01AA" w:rsidRPr="008D01AA">
        <w:rPr>
          <w:lang w:eastAsia="ja-JP"/>
        </w:rPr>
        <w:t>[5]</w:t>
      </w:r>
      <w:r>
        <w:t xml:space="preserve"> prompting the Japanese government to introduce a new reimbursement incentive in April 2022 for early surgery within 48 hours for patients aged ≥75 years.</w:t>
      </w:r>
      <w:r w:rsidR="008D01AA" w:rsidRPr="008D01AA">
        <w:t xml:space="preserve"> </w:t>
      </w:r>
      <w:r w:rsidR="008D01AA" w:rsidRPr="008D01AA">
        <w:rPr>
          <w:lang w:eastAsia="ja-JP"/>
        </w:rPr>
        <w:t>[44]</w:t>
      </w:r>
    </w:p>
    <w:p w14:paraId="1139BD7A" w14:textId="1D6E85A4" w:rsidR="00073AD9" w:rsidRDefault="00000000" w:rsidP="00705772">
      <w:pPr>
        <w:pStyle w:val="a0"/>
        <w:spacing w:line="360" w:lineRule="auto"/>
      </w:pPr>
      <w:r>
        <w:t>First, prefectures with steeper terrain should be prioritized in national fall prevention programs. Japan’s Ministry of Health, Labour and Welfare has promoted the “Active Guide” (Plus-Ten campaign: “add 10 minutes of physical activity daily”) under the Health Japan 21 (second edition) framework.</w:t>
      </w:r>
      <w:r w:rsidR="008D01AA" w:rsidRPr="008D01AA">
        <w:t xml:space="preserve"> </w:t>
      </w:r>
      <w:r w:rsidR="008D01AA" w:rsidRPr="008D01AA">
        <w:rPr>
          <w:lang w:eastAsia="ja-JP"/>
        </w:rPr>
        <w:t>[45, 46]</w:t>
      </w:r>
      <w:r>
        <w:t xml:space="preserve"> However, research has shown that physical activity behavior is strongly dependent on neighborhood environmental features (sidewalk availability, safety, topography), not individual motivation alone.</w:t>
      </w:r>
      <w:r w:rsidR="008D01AA" w:rsidRPr="008D01AA">
        <w:t xml:space="preserve"> </w:t>
      </w:r>
      <w:r w:rsidR="008D01AA" w:rsidRPr="008D01AA">
        <w:rPr>
          <w:lang w:eastAsia="ja-JP"/>
        </w:rPr>
        <w:t>[45]</w:t>
      </w:r>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w:t>
      </w:r>
      <w:r>
        <w:lastRenderedPageBreak/>
        <w:t>training programs, anti-slip footwear distribution, and handrail installation subsidies for outdoor pathways.</w:t>
      </w:r>
      <w:r w:rsidR="008D01AA" w:rsidRPr="008D01AA">
        <w:t xml:space="preserve"> </w:t>
      </w:r>
      <w:r w:rsidR="008D01AA" w:rsidRPr="008D01AA">
        <w:rPr>
          <w:lang w:eastAsia="ja-JP"/>
        </w:rPr>
        <w:t>[47]</w:t>
      </w:r>
    </w:p>
    <w:p w14:paraId="6F26A88A" w14:textId="77777777" w:rsidR="00073AD9" w:rsidRDefault="00000000" w:rsidP="00705772">
      <w:pPr>
        <w:pStyle w:val="a0"/>
        <w:spacing w:line="360" w:lineRule="auto"/>
      </w:pPr>
      <w:r>
        <w:t>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p w14:paraId="391CB151" w14:textId="77777777" w:rsidR="00073AD9" w:rsidRDefault="00000000" w:rsidP="00705772">
      <w:pPr>
        <w:pStyle w:val="2"/>
        <w:spacing w:line="360" w:lineRule="auto"/>
      </w:pPr>
      <w:bookmarkStart w:id="22" w:name="strengths"/>
      <w:bookmarkEnd w:id="21"/>
      <w:r>
        <w:t>7. Strengths</w:t>
      </w:r>
    </w:p>
    <w:p w14:paraId="1CCB3B95" w14:textId="77777777" w:rsidR="00073AD9" w:rsidRDefault="00000000" w:rsidP="00705772">
      <w:pPr>
        <w:pStyle w:val="FirstParagraph"/>
        <w:spacing w:line="360" w:lineRule="auto"/>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rsidP="00705772">
      <w:pPr>
        <w:pStyle w:val="2"/>
        <w:spacing w:line="360" w:lineRule="auto"/>
      </w:pPr>
      <w:bookmarkStart w:id="23" w:name="limitations"/>
      <w:bookmarkEnd w:id="22"/>
      <w:r>
        <w:t>8. Limitations</w:t>
      </w:r>
    </w:p>
    <w:p w14:paraId="5618FDB2" w14:textId="704EB4EB" w:rsidR="00073AD9" w:rsidRDefault="00000000" w:rsidP="00705772">
      <w:pPr>
        <w:pStyle w:val="FirstParagraph"/>
        <w:spacing w:line="360" w:lineRule="auto"/>
      </w:pPr>
      <w:r>
        <w:t>Several limitations should be considered. First, as an ecological study, our findings are subject to the ecological fallacy: associations observed at the prefecture level may not reflect individual-level relationships.</w:t>
      </w:r>
      <w:r w:rsidR="008D01AA" w:rsidRPr="008D01AA">
        <w:t xml:space="preserve"> </w:t>
      </w:r>
      <w:r w:rsidR="008D01AA" w:rsidRPr="008D01AA">
        <w:rPr>
          <w:lang w:eastAsia="ja-JP"/>
        </w:rPr>
        <w:t>[48]</w:t>
      </w:r>
      <w:r>
        <w:t xml:space="preserve"> We cannot establish whether individuals living in steeper terrain within a prefecture have higher fracture risk than those in flatter areas of the same prefecture. Individual-level studies with residential </w:t>
      </w:r>
      <w:r>
        <w:lastRenderedPageBreak/>
        <w:t>geocoding and objective measures of daily terrain exposure (e.g., GPS tracking, accelerometry) are necessary to confirm our prefecture-level findings.</w:t>
      </w:r>
    </w:p>
    <w:p w14:paraId="17C96730" w14:textId="6B5C0098" w:rsidR="00073AD9" w:rsidRDefault="00000000" w:rsidP="00705772">
      <w:pPr>
        <w:pStyle w:val="a0"/>
        <w:spacing w:line="360" w:lineRule="auto"/>
      </w:pPr>
      <w:bookmarkStart w:id="24" w:name="_Hlk228469400"/>
      <w:r>
        <w:t xml:space="preserve">Second, </w:t>
      </w:r>
      <w:r w:rsidR="00394F48" w:rsidRPr="00394F48">
        <w:t xml:space="preserve">our outcome reflects surgery rates rather than true fracture incidence. Although hip fractures are usually treated surgically, prefectural variation in treatment decisions, referral patterns, and access to operative care may influence observed rates independently of fracture occurrence. Third, </w:t>
      </w:r>
      <w:r>
        <w:t xml:space="preserve">the cross-sectional design precludes causal inference. Although reverse causation is unlikely for a fixed environmental exposure such as terrain slope, residual confounding by unmeasured variables cannot be excluded. </w:t>
      </w:r>
      <w:r w:rsidR="00394F48" w:rsidRPr="00394F48">
        <w:t>Fourth</w:t>
      </w:r>
      <w:r>
        <w:t xml:space="preserve">, important unmeasured confounders—including individual-level socioeconomic status, healthcare access (e.g., prefectural orthopedic surgeon density, distance to emergency hospitals), nutritional status (calcium and vitamin D intake), bone mineral density (BMD), </w:t>
      </w:r>
      <w:r w:rsidR="005168E9" w:rsidRPr="005168E9">
        <w:t xml:space="preserve">climate (snowfall and icing), </w:t>
      </w:r>
      <w:r>
        <w:t>and medication use (bisphosphonates, vitamin D supplementation)—may account for part of the observed association. Future studies incorporating NDB prescription data and BMD screening results at finer geographic resolution would strengthen causal inference.</w:t>
      </w:r>
    </w:p>
    <w:p w14:paraId="248867E4" w14:textId="4CB82307" w:rsidR="00073AD9" w:rsidRDefault="008227BE" w:rsidP="00705772">
      <w:pPr>
        <w:pStyle w:val="a0"/>
        <w:spacing w:line="360" w:lineRule="auto"/>
      </w:pPr>
      <w:r w:rsidRPr="008227BE">
        <w:rPr>
          <w:lang w:eastAsia="ja-JP"/>
        </w:rPr>
        <w:t xml:space="preserve">Fifth, age-standardization sensitivity results relied on imputation of masked (`"-"`) cells in publicly released age-stratified surgery tables. Although directionality was robust across `0/5/9` scenarios, effect size depended on masking assumptions, and secondary masking rules imply that some masked cells may not correspond strictly to the nominal `&lt;10` range. </w:t>
      </w:r>
      <w:r w:rsidR="00E378C4" w:rsidRPr="00E378C4">
        <w:rPr>
          <w:lang w:eastAsia="ja-JP"/>
        </w:rPr>
        <w:t>Therefore, these indirect standardization sensitivity analyses should be interpreted as robustness checks rather than definitive age-standardized estimates</w:t>
      </w:r>
      <w:r w:rsidRPr="008227BE">
        <w:rPr>
          <w:lang w:eastAsia="ja-JP"/>
        </w:rPr>
        <w:t xml:space="preserve">. </w:t>
      </w:r>
      <w:r>
        <w:rPr>
          <w:rFonts w:hint="eastAsia"/>
          <w:lang w:eastAsia="ja-JP"/>
        </w:rPr>
        <w:t>Six</w:t>
      </w:r>
      <w:r w:rsidR="00394F48">
        <w:rPr>
          <w:rFonts w:hint="eastAsia"/>
          <w:lang w:eastAsia="ja-JP"/>
        </w:rPr>
        <w:t>th</w:t>
      </w:r>
      <w:r>
        <w:t xml:space="preserve">, the walking speed variable was based on self-reported habitual walking speed in the Specific Health Checkup questionnaire, administered to individuals aged 40–74 years, </w:t>
      </w:r>
      <w:r w:rsidR="00F61CC0">
        <w:rPr>
          <w:rFonts w:hint="eastAsia"/>
          <w:lang w:eastAsia="ja-JP"/>
        </w:rPr>
        <w:t>because</w:t>
      </w:r>
      <w:r w:rsidR="00F61CC0" w:rsidRPr="00F61CC0">
        <w:t xml:space="preserve"> publicly available prefecture-level data were limited to individuals aged 40–74 years in the current NDB Open Data</w:t>
      </w:r>
      <w:r w:rsidR="00F61CC0">
        <w:rPr>
          <w:rFonts w:hint="eastAsia"/>
          <w:lang w:eastAsia="ja-JP"/>
        </w:rPr>
        <w:t>.</w:t>
      </w:r>
      <w:r w:rsidR="00DB17F0" w:rsidRPr="00DB17F0">
        <w:t xml:space="preserve"> This variable </w:t>
      </w:r>
      <w:r>
        <w:t xml:space="preserve"> may not accurately represent the functional capacity of the oldest-old (≥75 </w:t>
      </w:r>
      <w:r>
        <w:lastRenderedPageBreak/>
        <w:t>years) at highest fracture risk</w:t>
      </w:r>
      <w:r w:rsidR="00DB17F0" w:rsidRPr="00DB17F0">
        <w:t>, and its direct relevance to hip fracture occurrence is likely limited at this ecological resolution</w:t>
      </w:r>
      <w:r>
        <w:t xml:space="preserve">. </w:t>
      </w:r>
      <w:r w:rsidR="00AF5DD0" w:rsidRPr="00AF5DD0">
        <w:t xml:space="preserve">Moreover, this self-reported fast-walking indicator primarily reflects perceived walking capacity rather than actual walking volume or direct slope-specific exposure in daily life. </w:t>
      </w:r>
      <w:r>
        <w:t xml:space="preserve">This self-reported measure may be subject to non-differential measurement error, biasing our estimates toward the null. </w:t>
      </w:r>
      <w:r w:rsidR="00394F48">
        <w:rPr>
          <w:rFonts w:hint="eastAsia"/>
          <w:lang w:eastAsia="ja-JP"/>
        </w:rPr>
        <w:t>S</w:t>
      </w:r>
      <w:r>
        <w:rPr>
          <w:rFonts w:hint="eastAsia"/>
          <w:lang w:eastAsia="ja-JP"/>
        </w:rPr>
        <w:t>even</w:t>
      </w:r>
      <w:r w:rsidR="00394F48">
        <w:rPr>
          <w:rFonts w:hint="eastAsia"/>
          <w:lang w:eastAsia="ja-JP"/>
        </w:rPr>
        <w:t>th</w:t>
      </w:r>
      <w:r>
        <w:t>,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2F8F0FD4" w14:textId="4B9C7FED" w:rsidR="007D54A5" w:rsidRDefault="008227BE" w:rsidP="00705772">
      <w:pPr>
        <w:pStyle w:val="a0"/>
        <w:spacing w:line="360" w:lineRule="auto"/>
      </w:pPr>
      <w:r>
        <w:rPr>
          <w:rFonts w:hint="eastAsia"/>
          <w:lang w:eastAsia="ja-JP"/>
        </w:rPr>
        <w:t>Eigh</w:t>
      </w:r>
      <w:r w:rsidR="00394F48">
        <w:rPr>
          <w:rFonts w:hint="eastAsia"/>
          <w:lang w:eastAsia="ja-JP"/>
        </w:rPr>
        <w:t>th</w:t>
      </w:r>
      <w:r w:rsidR="00FB1385" w:rsidRPr="00FB1385">
        <w:t xml:space="preserve">,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 </w:t>
      </w:r>
      <w:r w:rsidR="00FB1385" w:rsidRPr="00FB1385">
        <w:rPr>
          <w:i/>
          <w:iCs/>
        </w:rPr>
        <w:t>p</w:t>
      </w:r>
      <w:r w:rsidR="00FB1385" w:rsidRPr="00FB1385">
        <w:t xml:space="preserve"> = 0.043 result for the primary slope coefficient in Model 2 was borderline and compatible with no association under alternative variance assumptions.</w:t>
      </w:r>
      <w:r w:rsidR="00086EBA">
        <w:rPr>
          <w:rFonts w:hint="eastAsia"/>
          <w:lang w:eastAsia="ja-JP"/>
        </w:rPr>
        <w:t xml:space="preserve"> </w:t>
      </w:r>
      <w:r>
        <w:rPr>
          <w:rFonts w:hint="eastAsia"/>
          <w:lang w:eastAsia="ja-JP"/>
        </w:rPr>
        <w:t>Nin</w:t>
      </w:r>
      <w:r w:rsidR="00394F48">
        <w:rPr>
          <w:rFonts w:hint="eastAsia"/>
          <w:lang w:eastAsia="ja-JP"/>
        </w:rPr>
        <w:t>th</w:t>
      </w:r>
      <w:r w:rsidR="00086EBA">
        <w:rPr>
          <w:rFonts w:hint="eastAsia"/>
          <w:lang w:eastAsia="ja-JP"/>
        </w:rPr>
        <w:t xml:space="preserve">, </w:t>
      </w:r>
      <w:r w:rsidR="007D54A5" w:rsidRPr="007D54A5">
        <w:t xml:space="preserve"> sex- and gender-stratified outcome tables were not available in the prefecture-level NDB Open Data extracts used here; findings therefore describe aggregate populations and should be interpreted with this limitation in mind.</w:t>
      </w:r>
    </w:p>
    <w:bookmarkEnd w:id="24"/>
    <w:p w14:paraId="20066C4C" w14:textId="77777777" w:rsidR="00073AD9" w:rsidRDefault="00000000" w:rsidP="00705772">
      <w:pPr>
        <w:spacing w:line="360" w:lineRule="auto"/>
      </w:pPr>
      <w:r>
        <w:pict w14:anchorId="560E82C4">
          <v:rect id="_x0000_i1032" style="width:0;height:1.5pt" o:hralign="center" o:hrstd="t" o:hr="t"/>
        </w:pict>
      </w:r>
    </w:p>
    <w:p w14:paraId="31756A9D" w14:textId="77777777" w:rsidR="00073AD9" w:rsidRDefault="00000000" w:rsidP="00705772">
      <w:pPr>
        <w:pStyle w:val="1"/>
        <w:spacing w:line="360" w:lineRule="auto"/>
      </w:pPr>
      <w:bookmarkStart w:id="25" w:name="conclusions-1"/>
      <w:bookmarkEnd w:id="15"/>
      <w:bookmarkEnd w:id="23"/>
      <w:r>
        <w:t>Conclusions</w:t>
      </w:r>
    </w:p>
    <w:p w14:paraId="54933310" w14:textId="180E873A" w:rsidR="00073AD9" w:rsidRDefault="00FB1385" w:rsidP="00705772">
      <w:pPr>
        <w:pStyle w:val="a0"/>
        <w:spacing w:line="360" w:lineRule="auto"/>
      </w:pPr>
      <w:r w:rsidRPr="00FB1385">
        <w:t>Under primary ordinary least squares estimation, prefectural terrain</w:t>
      </w:r>
      <w:r>
        <w:t xml:space="preserve"> slope </w:t>
      </w:r>
      <w:r w:rsidR="00896745">
        <w:rPr>
          <w:rFonts w:hint="eastAsia"/>
          <w:lang w:eastAsia="ja-JP"/>
        </w:rPr>
        <w:t>was</w:t>
      </w:r>
      <w:r w:rsidR="00031BB0" w:rsidRPr="00031BB0">
        <w:t xml:space="preserve"> positively</w:t>
      </w:r>
      <w:r>
        <w:t xml:space="preserve"> associated with hip fracture surgery rates after adjustment for aging rate, walking speed, and population density</w:t>
      </w:r>
      <w:r w:rsidR="00031BB0" w:rsidRPr="00031BB0">
        <w:t xml:space="preserve"> (β ≈ 3.5 additional surgeries per 100,000 per</w:t>
      </w:r>
      <w:r>
        <w:t xml:space="preserve"> </w:t>
      </w:r>
      <w:r>
        <w:lastRenderedPageBreak/>
        <w:t>one-degree increase</w:t>
      </w:r>
      <w:r w:rsidR="00031BB0" w:rsidRPr="00031BB0">
        <w:t xml:space="preserve">; conventional </w:t>
      </w:r>
      <w:r w:rsidR="00031BB0" w:rsidRPr="00F25F6D">
        <w:rPr>
          <w:i/>
          <w:iCs/>
        </w:rPr>
        <w:t>p</w:t>
      </w:r>
      <w:r w:rsidR="00031BB0" w:rsidRPr="00031BB0">
        <w:t xml:space="preserve"> = 0.043)</w:t>
      </w:r>
      <w:r w:rsidR="00F25F6D" w:rsidRPr="00F25F6D">
        <w:t>, whereas heteroskedasticity-robust and bootstrap uncertainty quantification yielded borderline support compatible with no association at α = 0.05</w:t>
      </w:r>
      <w:r w:rsidR="00031BB0">
        <w:rPr>
          <w:rFonts w:hint="eastAsia"/>
          <w:lang w:eastAsia="ja-JP"/>
        </w:rPr>
        <w:t>.</w:t>
      </w:r>
      <w:r>
        <w:t xml:space="preserve"> </w:t>
      </w:r>
      <w:r w:rsidR="00F25F6D" w:rsidRPr="00F25F6D">
        <w:t>Given the limited ecological sample size (N = 47), these findings should be interpreted as suggestive rather than confirmatory.</w:t>
      </w:r>
      <w:r w:rsidR="00F25F6D">
        <w:rPr>
          <w:rFonts w:hint="eastAsia"/>
          <w:lang w:eastAsia="ja-JP"/>
        </w:rPr>
        <w:t xml:space="preserve"> </w:t>
      </w:r>
      <w:r>
        <w:t xml:space="preserve">The </w:t>
      </w:r>
      <w:r w:rsidR="00031BB0" w:rsidRPr="00031BB0">
        <w:t>adjusted signal</w:t>
      </w:r>
      <w:r>
        <w:t xml:space="preserve"> was specific to hip fractures, with no significant relationship observed for humerus or forearm fractures</w:t>
      </w:r>
      <w:r w:rsidR="00EF13C4" w:rsidRPr="00EF13C4">
        <w:t>, consistent with biomechanical hypotheses emphasizing lateral falls and trochanteric loading on sloped terrain</w:t>
      </w:r>
      <w:r>
        <w:t>.</w:t>
      </w:r>
      <w:r w:rsidR="00086EBA">
        <w:rPr>
          <w:rFonts w:hint="eastAsia"/>
          <w:lang w:eastAsia="ja-JP"/>
        </w:rPr>
        <w:t xml:space="preserve"> </w:t>
      </w:r>
      <w:r>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14:paraId="2E1AC514" w14:textId="77777777" w:rsidR="00073AD9" w:rsidRDefault="00000000" w:rsidP="00705772">
      <w:pPr>
        <w:spacing w:line="360" w:lineRule="auto"/>
      </w:pPr>
      <w:r>
        <w:pict w14:anchorId="05BB88ED">
          <v:rect id="_x0000_i1033" style="width:0;height:1.5pt" o:hralign="center" o:bullet="t" o:hrstd="t" o:hr="t"/>
        </w:pict>
      </w:r>
    </w:p>
    <w:p w14:paraId="74D9CBC0" w14:textId="5FAEC535" w:rsidR="008D01AA" w:rsidRPr="008D01AA" w:rsidRDefault="008D01AA"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8D01AA">
        <w:rPr>
          <w:rFonts w:asciiTheme="majorHAnsi" w:eastAsiaTheme="majorEastAsia" w:hAnsiTheme="majorHAnsi" w:cstheme="majorBidi"/>
          <w:color w:val="0F4761" w:themeColor="accent1" w:themeShade="BF"/>
          <w:sz w:val="40"/>
          <w:szCs w:val="40"/>
        </w:rPr>
        <w:t>Data availability</w:t>
      </w:r>
    </w:p>
    <w:p w14:paraId="0303A799" w14:textId="15DEB840" w:rsidR="008D01AA" w:rsidRPr="008D01AA" w:rsidRDefault="007D54A5" w:rsidP="00705772">
      <w:pPr>
        <w:spacing w:before="180" w:after="180" w:line="360" w:lineRule="auto"/>
      </w:pPr>
      <w:r w:rsidRPr="007D54A5">
        <w:t>Aggregate data used in this study are publicly available from the Japanese National Database Open Data and official statistics cited in the Methods. Under Ministry of Health, Labour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repository (e.g., Zenodo) with a DOI and citation in this article, in line with the journal's research data guidance (Option B). Author contributions will be reported using the CRediT taxonomy on the separate title page required for double-anonymized submission</w:t>
      </w:r>
      <w:r w:rsidR="008D01AA" w:rsidRPr="008D01AA">
        <w:t>.</w:t>
      </w:r>
    </w:p>
    <w:p w14:paraId="3E414444" w14:textId="77777777" w:rsidR="008D01AA" w:rsidRPr="008D01AA" w:rsidRDefault="00000000" w:rsidP="00705772">
      <w:pPr>
        <w:spacing w:line="360" w:lineRule="auto"/>
      </w:pPr>
      <w:r>
        <w:pict w14:anchorId="0AA4F1B8">
          <v:rect id="_x0000_i1034" style="width:0;height:1.5pt" o:hralign="center" o:hrstd="t" o:hr="t"/>
        </w:pict>
      </w:r>
    </w:p>
    <w:p w14:paraId="3E6E477C" w14:textId="3285AE4E" w:rsidR="00233356" w:rsidRPr="008D01AA" w:rsidRDefault="00233356"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233356">
        <w:rPr>
          <w:rFonts w:asciiTheme="majorHAnsi" w:eastAsiaTheme="majorEastAsia" w:hAnsiTheme="majorHAnsi" w:cstheme="majorBidi"/>
          <w:color w:val="0F4761" w:themeColor="accent1" w:themeShade="BF"/>
          <w:sz w:val="40"/>
          <w:szCs w:val="40"/>
        </w:rPr>
        <w:lastRenderedPageBreak/>
        <w:t>Declaration of generative AI and AI-assisted technologies in the manuscript preparation process</w:t>
      </w:r>
    </w:p>
    <w:p w14:paraId="27B93FCF" w14:textId="7187C2F8" w:rsidR="00233356" w:rsidRPr="008D01AA" w:rsidRDefault="004F6621" w:rsidP="00705772">
      <w:pPr>
        <w:spacing w:before="180" w:after="180" w:line="360" w:lineRule="auto"/>
      </w:pPr>
      <w:r w:rsidRPr="004F6621">
        <w:t>During the preparation and writing of this work, the authors used AI-assisted tools to support manuscript drafting and statistical analysis scripting. Cursor 2.0 (Anysphere)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233356" w:rsidRPr="008D01AA">
        <w:t>.</w:t>
      </w:r>
    </w:p>
    <w:p w14:paraId="08D1A0EC" w14:textId="77777777" w:rsidR="00233356" w:rsidRPr="008D01AA" w:rsidRDefault="00000000" w:rsidP="00705772">
      <w:pPr>
        <w:spacing w:line="360" w:lineRule="auto"/>
      </w:pPr>
      <w:r>
        <w:pict w14:anchorId="27B74F69">
          <v:rect id="_x0000_i1035" style="width:0;height:1.5pt" o:hralign="center" o:hrstd="t" o:hr="t"/>
        </w:pict>
      </w:r>
    </w:p>
    <w:p w14:paraId="36B929CE" w14:textId="07A4640D" w:rsidR="008D01AA" w:rsidRDefault="008D01AA" w:rsidP="00705772">
      <w:pPr>
        <w:spacing w:line="360" w:lineRule="auto"/>
      </w:pPr>
    </w:p>
    <w:p w14:paraId="5407690E" w14:textId="77777777" w:rsidR="00073AD9" w:rsidRDefault="00000000" w:rsidP="00705772">
      <w:pPr>
        <w:pStyle w:val="1"/>
        <w:spacing w:line="360" w:lineRule="auto"/>
      </w:pPr>
      <w:bookmarkStart w:id="26" w:name="references"/>
      <w:bookmarkEnd w:id="25"/>
      <w:r>
        <w:t>References</w:t>
      </w:r>
    </w:p>
    <w:p w14:paraId="3B56214B" w14:textId="77777777" w:rsidR="00073AD9" w:rsidRDefault="00000000" w:rsidP="00705772">
      <w:pPr>
        <w:pStyle w:val="Compact"/>
        <w:numPr>
          <w:ilvl w:val="0"/>
          <w:numId w:val="3"/>
        </w:numPr>
        <w:spacing w:line="360" w:lineRule="auto"/>
      </w:pPr>
      <w:r>
        <w:t>Hagino H, Katagiri H, Okano T, Yamamoto K, Teshima R. Increasing incidence of hip fracture in Tottori Prefecture, Japan: trend from 1986 to 2001. Osteoporos Int. 2005;16(12):1963-1968.</w:t>
      </w:r>
    </w:p>
    <w:p w14:paraId="7248009A" w14:textId="77777777" w:rsidR="00073AD9" w:rsidRDefault="00000000" w:rsidP="00705772">
      <w:pPr>
        <w:pStyle w:val="Compact"/>
        <w:numPr>
          <w:ilvl w:val="0"/>
          <w:numId w:val="3"/>
        </w:numPr>
        <w:spacing w:line="360" w:lineRule="auto"/>
      </w:pPr>
      <w:r>
        <w:t>Orimo H, Yaegashi Y, Hosoi T, Fukushima Y, Onoda T, Hashimoto T, et al. Hip fracture incidence in Japan: estimates of new patients in 2012 and 25-year trends. Osteoporos Int. 2016;27(5):1777-1784.</w:t>
      </w:r>
    </w:p>
    <w:p w14:paraId="4F4C034A" w14:textId="77777777" w:rsidR="00073AD9" w:rsidRDefault="00000000" w:rsidP="00705772">
      <w:pPr>
        <w:pStyle w:val="Compact"/>
        <w:numPr>
          <w:ilvl w:val="0"/>
          <w:numId w:val="3"/>
        </w:numPr>
        <w:spacing w:line="360" w:lineRule="auto"/>
      </w:pPr>
      <w:r>
        <w:lastRenderedPageBreak/>
        <w:t>Cooper C, Campion G, Melton LJ 3rd. Hip fractures in the elderly: a world-wide projection. Osteoporos Int. 1992;2(6):285-289.</w:t>
      </w:r>
    </w:p>
    <w:p w14:paraId="322704BA" w14:textId="77777777" w:rsidR="00073AD9" w:rsidRDefault="00000000" w:rsidP="00705772">
      <w:pPr>
        <w:pStyle w:val="Compact"/>
        <w:numPr>
          <w:ilvl w:val="0"/>
          <w:numId w:val="3"/>
        </w:numPr>
        <w:spacing w:line="360" w:lineRule="auto"/>
      </w:pPr>
      <w:r>
        <w:t>Nakatoh S, Fujimori K, Ishii S, Iki M. Trends in the incidence of hip fractures and osteoporosis treatment in Japan (FY2012–FY2023). Arch Osteoporos. 2025; 21(1):16.</w:t>
      </w:r>
    </w:p>
    <w:p w14:paraId="1DED1B0E" w14:textId="77777777" w:rsidR="00073AD9" w:rsidRDefault="00000000" w:rsidP="00705772">
      <w:pPr>
        <w:pStyle w:val="Compact"/>
        <w:numPr>
          <w:ilvl w:val="0"/>
          <w:numId w:val="3"/>
        </w:numPr>
        <w:spacing w:line="360" w:lineRule="auto"/>
      </w:pPr>
      <w:r>
        <w:t>Hatano M, Yasunaga H, Ishikura H, et al. Temporal trends in acute care costs of hip fracture treatment from 2011 to 2021 in Japan. Arch Osteoporos. 2025;20(1):124.</w:t>
      </w:r>
    </w:p>
    <w:p w14:paraId="2C33A681" w14:textId="77777777" w:rsidR="00073AD9" w:rsidRDefault="00000000" w:rsidP="00705772">
      <w:pPr>
        <w:pStyle w:val="Compact"/>
        <w:numPr>
          <w:ilvl w:val="0"/>
          <w:numId w:val="3"/>
        </w:numPr>
        <w:spacing w:line="360" w:lineRule="auto"/>
      </w:pPr>
      <w:r>
        <w:t>Cummings SR, Nevitt MC. A hypothesis: the causes of hip fractures. J Gerontol. 1989;44(4):M107-M111.</w:t>
      </w:r>
    </w:p>
    <w:p w14:paraId="5487621A" w14:textId="77777777" w:rsidR="00073AD9" w:rsidRDefault="00000000" w:rsidP="00705772">
      <w:pPr>
        <w:pStyle w:val="Compact"/>
        <w:numPr>
          <w:ilvl w:val="0"/>
          <w:numId w:val="3"/>
        </w:numPr>
        <w:spacing w:line="360" w:lineRule="auto"/>
      </w:pPr>
      <w:r>
        <w:t>Tinetti ME. Clinical practice. Preventing falls in elderly persons. N Engl J Med. 2003;348(1):42-49.</w:t>
      </w:r>
    </w:p>
    <w:p w14:paraId="68CB64F9" w14:textId="77777777" w:rsidR="00073AD9" w:rsidRDefault="00000000" w:rsidP="00705772">
      <w:pPr>
        <w:pStyle w:val="Compact"/>
        <w:numPr>
          <w:ilvl w:val="0"/>
          <w:numId w:val="3"/>
        </w:numPr>
        <w:spacing w:line="360" w:lineRule="auto"/>
      </w:pPr>
      <w:r>
        <w:t>Stevens JA, Sogolow ED. Gender differences for non-fatal unintentional fall related injuries among older adults. Inj Prev. 2005;11(2):115-119.</w:t>
      </w:r>
    </w:p>
    <w:p w14:paraId="5DED8304" w14:textId="77777777" w:rsidR="00073AD9" w:rsidRDefault="00000000" w:rsidP="00705772">
      <w:pPr>
        <w:pStyle w:val="Compact"/>
        <w:numPr>
          <w:ilvl w:val="0"/>
          <w:numId w:val="3"/>
        </w:numPr>
        <w:spacing w:line="360" w:lineRule="auto"/>
      </w:pPr>
      <w:r>
        <w:t>Li W, Keegan TH, Sternfeld B, Sidney S, Quesenberry CP Jr, Kelsey JL. Outdoor falls among middle-aged and older adults: a neglected public health problem. Am J Public Health. 2006;96(7):1192-1200.</w:t>
      </w:r>
    </w:p>
    <w:p w14:paraId="7BC81321" w14:textId="77777777" w:rsidR="00073AD9" w:rsidRDefault="00000000" w:rsidP="00705772">
      <w:pPr>
        <w:pStyle w:val="Compact"/>
        <w:numPr>
          <w:ilvl w:val="0"/>
          <w:numId w:val="3"/>
        </w:numPr>
        <w:spacing w:line="360" w:lineRule="auto"/>
      </w:pPr>
      <w:r>
        <w:t>Redfern MS, Cham R, Gielo-Perczak K, et al. Biomechanics of slips. Ergonomics. 2001;44(13):1138-1166.</w:t>
      </w:r>
    </w:p>
    <w:p w14:paraId="4592E1A8" w14:textId="77777777" w:rsidR="00073AD9" w:rsidRDefault="00000000" w:rsidP="00705772">
      <w:pPr>
        <w:pStyle w:val="Compact"/>
        <w:numPr>
          <w:ilvl w:val="0"/>
          <w:numId w:val="3"/>
        </w:numPr>
        <w:spacing w:line="360" w:lineRule="auto"/>
      </w:pPr>
      <w:r>
        <w:t>Franz JR, Kram R. Advanced age affects the individual leg mechanics of level, uphill, and downhill walking. J Biomech. 2013;46(3):535-540.</w:t>
      </w:r>
    </w:p>
    <w:p w14:paraId="2EE7CFDC" w14:textId="77777777" w:rsidR="00073AD9" w:rsidRDefault="00000000" w:rsidP="00705772">
      <w:pPr>
        <w:pStyle w:val="Compact"/>
        <w:numPr>
          <w:ilvl w:val="0"/>
          <w:numId w:val="3"/>
        </w:numPr>
        <w:spacing w:line="360" w:lineRule="auto"/>
      </w:pPr>
      <w:r>
        <w:t>Reimann H, Ramadan R, Fettrow T, Hafer JF, Geyer H, Jeka JJ. Interactions between different age-related factors affecting balance control in walking. Front Sports Act Living. 2020;2:94.</w:t>
      </w:r>
    </w:p>
    <w:p w14:paraId="0E1DFEFF" w14:textId="77777777" w:rsidR="00073AD9" w:rsidRDefault="00000000" w:rsidP="00705772">
      <w:pPr>
        <w:pStyle w:val="Compact"/>
        <w:numPr>
          <w:ilvl w:val="0"/>
          <w:numId w:val="3"/>
        </w:numPr>
        <w:spacing w:line="360" w:lineRule="auto"/>
      </w:pPr>
      <w:r>
        <w:t>Marigold DS, Patla AE. Strategies for dynamic stability during locomotion on a slippery surface: effects of prior experience and knowledge. J Neurophysiol. 2002;88(1):339-353.</w:t>
      </w:r>
    </w:p>
    <w:p w14:paraId="46396766" w14:textId="77777777" w:rsidR="00073AD9" w:rsidRDefault="00000000" w:rsidP="00705772">
      <w:pPr>
        <w:pStyle w:val="Compact"/>
        <w:numPr>
          <w:ilvl w:val="0"/>
          <w:numId w:val="3"/>
        </w:numPr>
        <w:spacing w:line="360" w:lineRule="auto"/>
      </w:pPr>
      <w:r>
        <w:lastRenderedPageBreak/>
        <w:t>Fujita K, Fujiwara Y, Chaves PH, Motohashi Y, Shinkai S. Frequency of going outdoors as a good predictors for incident disability of physical function as well as disability recovery in community-dwelling older adults in rural Japan. J Epidemiol. 2006;16(6):261-270.</w:t>
      </w:r>
    </w:p>
    <w:p w14:paraId="23408BCC" w14:textId="77777777" w:rsidR="00073AD9" w:rsidRDefault="00000000" w:rsidP="00705772">
      <w:pPr>
        <w:pStyle w:val="Compact"/>
        <w:numPr>
          <w:ilvl w:val="0"/>
          <w:numId w:val="3"/>
        </w:numPr>
        <w:spacing w:line="360" w:lineRule="auto"/>
      </w:pPr>
      <w:r>
        <w:t>Quach L, Galica AM, Jones RN, et al. The nonlinear relationship between gait speed and falls: the MOBILIZE Boston Study. J Am Geriatr Soc. 2011;59(6):1069-1073.</w:t>
      </w:r>
    </w:p>
    <w:p w14:paraId="7E3FDF7B" w14:textId="77777777" w:rsidR="00073AD9" w:rsidRDefault="00000000" w:rsidP="00705772">
      <w:pPr>
        <w:pStyle w:val="Compact"/>
        <w:numPr>
          <w:ilvl w:val="0"/>
          <w:numId w:val="3"/>
        </w:numPr>
        <w:spacing w:line="360" w:lineRule="auto"/>
      </w:pPr>
      <w:r>
        <w:t>Dargent-Molina P, Favier F, Grandjean H, et al. Fall-related factors and risk of hip fracture: the EPIDOS prospective study. Lancet. 1996;348(9021):145-149.</w:t>
      </w:r>
    </w:p>
    <w:p w14:paraId="736D71BC" w14:textId="77777777" w:rsidR="00073AD9" w:rsidRDefault="00000000" w:rsidP="00705772">
      <w:pPr>
        <w:pStyle w:val="Compact"/>
        <w:numPr>
          <w:ilvl w:val="0"/>
          <w:numId w:val="3"/>
        </w:numPr>
        <w:spacing w:line="360" w:lineRule="auto"/>
      </w:pPr>
      <w:r>
        <w:t>Studenski S, Perera S, Patel K, et al. Gait speed and survival in older adults. JAMA. 2011;305(1):50-58.</w:t>
      </w:r>
    </w:p>
    <w:p w14:paraId="48B12378" w14:textId="77777777" w:rsidR="00073AD9" w:rsidRDefault="00000000" w:rsidP="00705772">
      <w:pPr>
        <w:pStyle w:val="Compact"/>
        <w:numPr>
          <w:ilvl w:val="0"/>
          <w:numId w:val="3"/>
        </w:numPr>
        <w:spacing w:line="360" w:lineRule="auto"/>
      </w:pPr>
      <w:r>
        <w:t>Thies SB, Richardson JK, Ashton-Miller JA. Effects of surface irregularity and lighting on step variability during gait: a study in healthy young and older women. Gait Posture. 2005;22(1):26-31.</w:t>
      </w:r>
    </w:p>
    <w:p w14:paraId="4EAA9B45" w14:textId="77777777" w:rsidR="00073AD9" w:rsidRDefault="00000000" w:rsidP="00705772">
      <w:pPr>
        <w:pStyle w:val="Compact"/>
        <w:numPr>
          <w:ilvl w:val="0"/>
          <w:numId w:val="3"/>
        </w:numPr>
        <w:spacing w:line="360" w:lineRule="auto"/>
      </w:pPr>
      <w:r>
        <w:t>Maki BE. Gait changes in older adults: predictors of falls or indicators of fear. J Am Geriatr Soc. 1997;45(3):313-320.</w:t>
      </w:r>
    </w:p>
    <w:p w14:paraId="02137665" w14:textId="77777777" w:rsidR="00073AD9" w:rsidRDefault="00000000" w:rsidP="00705772">
      <w:pPr>
        <w:pStyle w:val="Compact"/>
        <w:numPr>
          <w:ilvl w:val="0"/>
          <w:numId w:val="3"/>
        </w:numPr>
        <w:spacing w:line="360" w:lineRule="auto"/>
      </w:pPr>
      <w:r>
        <w:t>Dahl C, Madsen C, Omsland TK, Søgaard AJ, Tell GS, Holvik K, Meyer HE. Contribution of elevation and residential proximity to the coast in explaining geographic variations in hip fracture incidence. A Norwegian Epidemiologic Osteoporosis Studies (NOREPOS) study. Osteoporos Int. 2021;32(5):1001-1006.</w:t>
      </w:r>
    </w:p>
    <w:p w14:paraId="3FB1A961" w14:textId="77777777" w:rsidR="00073AD9" w:rsidRDefault="00000000" w:rsidP="00705772">
      <w:pPr>
        <w:pStyle w:val="Compact"/>
        <w:numPr>
          <w:ilvl w:val="0"/>
          <w:numId w:val="3"/>
        </w:numPr>
        <w:spacing w:line="360" w:lineRule="auto"/>
      </w:pPr>
      <w:r>
        <w:t>Wang S, Zhang F, Guo Y, Chen C, Zhong Y, Hao D, Zhu S, Wu Y. Exposure to high altitude is associated with an elevated risk of hip fracture: a retrospective cohort study using data from the CHARLS. BMC Geriatr. 2025;25(1):884.</w:t>
      </w:r>
    </w:p>
    <w:p w14:paraId="45D84862" w14:textId="77777777" w:rsidR="00073AD9" w:rsidRDefault="00000000" w:rsidP="00705772">
      <w:pPr>
        <w:pStyle w:val="Compact"/>
        <w:numPr>
          <w:ilvl w:val="0"/>
          <w:numId w:val="3"/>
        </w:numPr>
        <w:spacing w:line="360" w:lineRule="auto"/>
      </w:pPr>
      <w:r>
        <w:t>Nevitt MC, Cummings SR. Type of fall and risk of hip and wrist fractures: the study of osteoporotic fractures. J Am Geriatr Soc. 1993;41(11):1226-1234.</w:t>
      </w:r>
    </w:p>
    <w:p w14:paraId="155DB38B" w14:textId="77777777" w:rsidR="00073AD9" w:rsidRDefault="00000000" w:rsidP="00705772">
      <w:pPr>
        <w:pStyle w:val="Compact"/>
        <w:numPr>
          <w:ilvl w:val="0"/>
          <w:numId w:val="3"/>
        </w:numPr>
        <w:spacing w:line="360" w:lineRule="auto"/>
      </w:pPr>
      <w:r>
        <w:lastRenderedPageBreak/>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rsidP="00705772">
      <w:pPr>
        <w:pStyle w:val="Compact"/>
        <w:numPr>
          <w:ilvl w:val="0"/>
          <w:numId w:val="3"/>
        </w:numPr>
        <w:spacing w:line="360" w:lineRule="auto"/>
      </w:pPr>
      <w:r>
        <w:t>Hayes WC, Myers ER, Morris JN, Gerhart TN, Yett HS, Lipsitz LA. Impact near the hip dominates fracture risk in elderly nursing home residents who fall. Calcif Tissue Int. 1993;52(3):192-198.</w:t>
      </w:r>
    </w:p>
    <w:p w14:paraId="7067E088" w14:textId="77777777" w:rsidR="00073AD9" w:rsidRDefault="00000000" w:rsidP="00705772">
      <w:pPr>
        <w:pStyle w:val="Compact"/>
        <w:numPr>
          <w:ilvl w:val="0"/>
          <w:numId w:val="3"/>
        </w:numPr>
        <w:spacing w:line="360" w:lineRule="auto"/>
      </w:pPr>
      <w:r>
        <w:t>Sarvi MN, Luo Y. A two-level subject-specific biomechanical model for improving prediction of hip fracture risk. Clin Biomech (Bristol, Avon). 2015;30(8):881-887.</w:t>
      </w:r>
    </w:p>
    <w:p w14:paraId="5C1DC07C" w14:textId="77777777" w:rsidR="00073AD9" w:rsidRDefault="00000000" w:rsidP="00705772">
      <w:pPr>
        <w:pStyle w:val="Compact"/>
        <w:numPr>
          <w:ilvl w:val="0"/>
          <w:numId w:val="3"/>
        </w:numPr>
        <w:spacing w:line="360" w:lineRule="auto"/>
      </w:pPr>
      <w:r>
        <w:t>Faisal TR, Luo Y. Study of stress variations in single-stance and sideways fall using image-based finite element analysis. Biomed Mater Eng. 2016;27(1):1-14.</w:t>
      </w:r>
    </w:p>
    <w:p w14:paraId="2A658800" w14:textId="77777777" w:rsidR="00073AD9" w:rsidRDefault="00000000" w:rsidP="00705772">
      <w:pPr>
        <w:pStyle w:val="Compact"/>
        <w:numPr>
          <w:ilvl w:val="0"/>
          <w:numId w:val="3"/>
        </w:numPr>
        <w:spacing w:line="360" w:lineRule="auto"/>
      </w:pPr>
      <w:r>
        <w:t>Ortega JD, Farley CT. Minimizing center of mass vertical movement increases metabolic cost in walking. J Appl Physiol (1985). 2005;99(6):2099-2107.</w:t>
      </w:r>
    </w:p>
    <w:p w14:paraId="141F30C2" w14:textId="77777777" w:rsidR="00073AD9" w:rsidRDefault="00000000" w:rsidP="00705772">
      <w:pPr>
        <w:pStyle w:val="Compact"/>
        <w:numPr>
          <w:ilvl w:val="0"/>
          <w:numId w:val="3"/>
        </w:numPr>
        <w:spacing w:line="360" w:lineRule="auto"/>
      </w:pPr>
      <w:r>
        <w:t>Tesio L, Rota V. The motion of body center of mass during walking: a review oriented to clinical applications. Front Neurol. 2019;10:999.</w:t>
      </w:r>
    </w:p>
    <w:p w14:paraId="0B9E4444" w14:textId="77777777" w:rsidR="00073AD9" w:rsidRDefault="00000000" w:rsidP="00705772">
      <w:pPr>
        <w:pStyle w:val="Compact"/>
        <w:numPr>
          <w:ilvl w:val="0"/>
          <w:numId w:val="3"/>
        </w:numPr>
        <w:spacing w:line="360" w:lineRule="auto"/>
      </w:pPr>
      <w:r>
        <w:t>Hak L, Houdijk H, Steenbrink F, Mert A, van der Wurff P, Beek PJ, van Dieën JH. Stepping strategies for regulating gait adaptability and stability. J Biomech. 2013;46(5):905-911.</w:t>
      </w:r>
    </w:p>
    <w:p w14:paraId="51ADAA9C" w14:textId="77777777" w:rsidR="00073AD9" w:rsidRDefault="00000000" w:rsidP="00705772">
      <w:pPr>
        <w:pStyle w:val="Compact"/>
        <w:numPr>
          <w:ilvl w:val="0"/>
          <w:numId w:val="3"/>
        </w:numPr>
        <w:spacing w:line="360" w:lineRule="auto"/>
      </w:pPr>
      <w:r>
        <w:t>Kim KJ, Ashton-Miller JA. Biomechanics of fall arrest using the upper extremity: age differences. Clin Biomech (Bristol, Avon). 2003;18(4):311-318.</w:t>
      </w:r>
    </w:p>
    <w:p w14:paraId="0876C019" w14:textId="77777777" w:rsidR="00073AD9" w:rsidRDefault="00000000" w:rsidP="00705772">
      <w:pPr>
        <w:pStyle w:val="Compact"/>
        <w:numPr>
          <w:ilvl w:val="0"/>
          <w:numId w:val="3"/>
        </w:numPr>
        <w:spacing w:line="360" w:lineRule="auto"/>
      </w:pPr>
      <w:r>
        <w:t>O’Neill TW, Varlow J, Silman AJ, et al. Age and sex influences on fall characteristics. Ann Rheum Dis. 1994;53(11):773-775.</w:t>
      </w:r>
    </w:p>
    <w:p w14:paraId="4EB43661" w14:textId="77777777" w:rsidR="00073AD9" w:rsidRDefault="00000000" w:rsidP="00705772">
      <w:pPr>
        <w:pStyle w:val="Compact"/>
        <w:numPr>
          <w:ilvl w:val="0"/>
          <w:numId w:val="3"/>
        </w:numPr>
        <w:spacing w:line="360" w:lineRule="auto"/>
      </w:pPr>
      <w:r>
        <w:t>Court-Brown CM, Caesar B. Epidemiology of adult fractures: a review. Injury. 2006;37(8):691-697.</w:t>
      </w:r>
    </w:p>
    <w:p w14:paraId="35340644" w14:textId="77777777" w:rsidR="00073AD9" w:rsidRDefault="00000000" w:rsidP="00705772">
      <w:pPr>
        <w:pStyle w:val="Compact"/>
        <w:numPr>
          <w:ilvl w:val="0"/>
          <w:numId w:val="3"/>
        </w:numPr>
        <w:spacing w:line="360" w:lineRule="auto"/>
      </w:pPr>
      <w:r>
        <w:t xml:space="preserve">Dahl C, Madsen C, Omsland TK, et al. The association of cold ambient temperature with fracture risk and mortality: national data from Norway—a </w:t>
      </w:r>
      <w:r>
        <w:lastRenderedPageBreak/>
        <w:t>Norwegian Epidemiologic Osteoporosis Studies (NOREPOS) study. J Bone Miner Res. 2022;37(8):1527-1536.</w:t>
      </w:r>
    </w:p>
    <w:p w14:paraId="01ED7018" w14:textId="77777777" w:rsidR="00073AD9" w:rsidRDefault="00000000" w:rsidP="00705772">
      <w:pPr>
        <w:pStyle w:val="Compact"/>
        <w:numPr>
          <w:ilvl w:val="0"/>
          <w:numId w:val="3"/>
        </w:numPr>
        <w:spacing w:line="360" w:lineRule="auto"/>
      </w:pPr>
      <w:r>
        <w:t>Blackwood J, Suzuki R, Karczewski H. Perceived neighborhood walkability is associated with recent falls in urban dwelling older adults. J Geriatr Phys Ther. 2022;45(1):E8-E15.</w:t>
      </w:r>
    </w:p>
    <w:p w14:paraId="3740000D" w14:textId="77777777" w:rsidR="00073AD9" w:rsidRDefault="00000000" w:rsidP="00705772">
      <w:pPr>
        <w:pStyle w:val="Compact"/>
        <w:numPr>
          <w:ilvl w:val="0"/>
          <w:numId w:val="3"/>
        </w:numPr>
        <w:spacing w:line="360" w:lineRule="auto"/>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rsidP="00705772">
      <w:pPr>
        <w:pStyle w:val="Compact"/>
        <w:numPr>
          <w:ilvl w:val="0"/>
          <w:numId w:val="3"/>
        </w:numPr>
        <w:spacing w:line="360" w:lineRule="auto"/>
      </w:pPr>
      <w:r>
        <w:t>Consalvo S. Impact of population ageing on Japan’s inter-prefectural migration. Data Science and Service Research Discussion Paper No. 129. Tohoku University, 2022.</w:t>
      </w:r>
    </w:p>
    <w:p w14:paraId="411E9C16" w14:textId="77777777" w:rsidR="00073AD9" w:rsidRDefault="00000000" w:rsidP="00705772">
      <w:pPr>
        <w:pStyle w:val="Compact"/>
        <w:numPr>
          <w:ilvl w:val="0"/>
          <w:numId w:val="3"/>
        </w:numPr>
        <w:spacing w:line="360" w:lineRule="auto"/>
      </w:pPr>
      <w:r>
        <w:t>Smith SG, O’Conor R, Curtis LM, Waite K, Deary IJ, Paasche-Orlow M, Wolf MS. Low health literacy predicts decline in physical function among older adults: findings from the LitCog cohort study. J Epidemiol Community Health. 2015;69(5):474-480.</w:t>
      </w:r>
    </w:p>
    <w:p w14:paraId="2424B6DD" w14:textId="77777777" w:rsidR="00073AD9" w:rsidRDefault="00000000" w:rsidP="00705772">
      <w:pPr>
        <w:pStyle w:val="Compact"/>
        <w:numPr>
          <w:ilvl w:val="0"/>
          <w:numId w:val="3"/>
        </w:numPr>
        <w:spacing w:line="360" w:lineRule="auto"/>
      </w:pPr>
      <w:r>
        <w:t>Kobayashi K, Nishida T, Sakakibara H. Factors associated with low albumin in community-dwelling older adults aged 75 years and above. Int J Environ Res Public Health. 2023;20(21):6994.</w:t>
      </w:r>
    </w:p>
    <w:p w14:paraId="2F880591" w14:textId="77777777" w:rsidR="00073AD9" w:rsidRDefault="00000000" w:rsidP="00705772">
      <w:pPr>
        <w:pStyle w:val="Compact"/>
        <w:numPr>
          <w:ilvl w:val="0"/>
          <w:numId w:val="3"/>
        </w:numPr>
        <w:spacing w:line="360" w:lineRule="auto"/>
      </w:pPr>
      <w:r>
        <w:t>Murayama H, Nishi M, Matsuo E, et al. Do bonding and bridging social capital affect self-rated health, depressive mood and cognitive decline in older Japanese? A prospective cohort study. Soc Sci Med. 2013;98:247-252.</w:t>
      </w:r>
    </w:p>
    <w:p w14:paraId="4A7B5246" w14:textId="77777777" w:rsidR="00073AD9" w:rsidRDefault="00000000" w:rsidP="00705772">
      <w:pPr>
        <w:pStyle w:val="Compact"/>
        <w:numPr>
          <w:ilvl w:val="0"/>
          <w:numId w:val="3"/>
        </w:numPr>
        <w:spacing w:line="360" w:lineRule="auto"/>
      </w:pPr>
      <w:r>
        <w:t>Delbaere K, Close JC, Brodaty H, Sachdev P, Lord SR. Determinants of disparities between perceived and physiological risk of falling among elderly people: cohort study. BMJ. 2010;341:c4165.</w:t>
      </w:r>
    </w:p>
    <w:p w14:paraId="78102E74" w14:textId="77777777" w:rsidR="00073AD9" w:rsidRDefault="00000000" w:rsidP="00705772">
      <w:pPr>
        <w:pStyle w:val="Compact"/>
        <w:numPr>
          <w:ilvl w:val="0"/>
          <w:numId w:val="3"/>
        </w:numPr>
        <w:spacing w:line="360" w:lineRule="auto"/>
      </w:pPr>
      <w:r>
        <w:lastRenderedPageBreak/>
        <w:t>Kempen GI, van Haastregt JC, McKee KJ, Delbaere K, Zijlstra GA. Socio-demographic, health-related and psychosocial correlates of fear of falling and avoidance of activity in community-living older persons who avoid activity due to fear of falling. BMC Public Health. 2009;9:170.</w:t>
      </w:r>
    </w:p>
    <w:p w14:paraId="1FD30EFB" w14:textId="77777777" w:rsidR="00073AD9" w:rsidRDefault="00000000" w:rsidP="00705772">
      <w:pPr>
        <w:pStyle w:val="Compact"/>
        <w:numPr>
          <w:ilvl w:val="0"/>
          <w:numId w:val="3"/>
        </w:numPr>
        <w:spacing w:line="360" w:lineRule="auto"/>
      </w:pPr>
      <w:r>
        <w:t>Inage K, Kondo N, Komatsubara S, et al. Current status of patients with hip fracture in Japan: a nationwide survey. J Orthop Sci. 2025. doi:10.1016/j.jos.2025.05.014.</w:t>
      </w:r>
    </w:p>
    <w:p w14:paraId="7EF269F4" w14:textId="77777777" w:rsidR="00073AD9" w:rsidRDefault="00000000" w:rsidP="00705772">
      <w:pPr>
        <w:pStyle w:val="Compact"/>
        <w:numPr>
          <w:ilvl w:val="0"/>
          <w:numId w:val="3"/>
        </w:numPr>
        <w:spacing w:line="360" w:lineRule="auto"/>
      </w:pPr>
      <w:r>
        <w:t>Nakatoh S, Fujimori K, Ishii S, Tamaki J, Okimoto N, Ogawa S, Iki M. Trends in the incidence of secondary hip fractures and osteoporosis treatment in Japan (FY2012-FY2023). Arch Osteoporos. 2026;21(1):15.</w:t>
      </w:r>
    </w:p>
    <w:p w14:paraId="34D7AD61" w14:textId="77777777" w:rsidR="00073AD9" w:rsidRDefault="00000000" w:rsidP="00705772">
      <w:pPr>
        <w:pStyle w:val="Compact"/>
        <w:numPr>
          <w:ilvl w:val="0"/>
          <w:numId w:val="3"/>
        </w:numPr>
        <w:spacing w:line="360" w:lineRule="auto"/>
      </w:pPr>
      <w:r>
        <w:t>Yamamoto N, Sawaguchi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rsidP="00705772">
      <w:pPr>
        <w:pStyle w:val="Compact"/>
        <w:numPr>
          <w:ilvl w:val="0"/>
          <w:numId w:val="3"/>
        </w:numPr>
        <w:spacing w:line="360" w:lineRule="auto"/>
      </w:pPr>
      <w:r>
        <w:t>Miyachi M, Tripette J, Kawakami R, Murakami H. “+10 min of physical activity per day”: Japan is looking for efficient but feasible recommendations for its population. J Nutr Sci Vitaminol (Tokyo). 2015;61 Suppl:S7-9.</w:t>
      </w:r>
    </w:p>
    <w:p w14:paraId="4B8BCD90" w14:textId="77777777" w:rsidR="00073AD9" w:rsidRDefault="00000000" w:rsidP="00705772">
      <w:pPr>
        <w:pStyle w:val="Compact"/>
        <w:numPr>
          <w:ilvl w:val="0"/>
          <w:numId w:val="3"/>
        </w:numPr>
        <w:spacing w:line="360" w:lineRule="auto"/>
      </w:pPr>
      <w:r>
        <w:t>Murakami H, Tripette J, Kawakami R, Miyachi M. “Add 10 min for your health”: the new Japanese recommendation for physical activity based on dose-response analysis. J Am Coll Cardiol. 2015;65(11):1153-1154.</w:t>
      </w:r>
    </w:p>
    <w:p w14:paraId="3B881449" w14:textId="77777777" w:rsidR="00073AD9" w:rsidRDefault="00000000" w:rsidP="00705772">
      <w:pPr>
        <w:pStyle w:val="Compact"/>
        <w:numPr>
          <w:ilvl w:val="0"/>
          <w:numId w:val="3"/>
        </w:numPr>
        <w:spacing w:line="360" w:lineRule="auto"/>
      </w:pPr>
      <w:r>
        <w:t>Sherrington C, Fairhall NJ, Wallbank GK, et al. Exercise for preventing falls in older people living in the community. Cochrane Database Syst Rev. 2019;1(1):CD012424.</w:t>
      </w:r>
    </w:p>
    <w:p w14:paraId="6E7EFEB2" w14:textId="77777777" w:rsidR="00073AD9" w:rsidRDefault="00000000" w:rsidP="00705772">
      <w:pPr>
        <w:pStyle w:val="Compact"/>
        <w:numPr>
          <w:ilvl w:val="0"/>
          <w:numId w:val="3"/>
        </w:numPr>
        <w:spacing w:line="360" w:lineRule="auto"/>
      </w:pPr>
      <w:r>
        <w:t>Rothman KJ, Greenland S, Lash TL. Modern Epidemiology. 3rd ed. Philadelphia: Lippincott Williams &amp; Wilkins; 2008.</w:t>
      </w:r>
    </w:p>
    <w:p w14:paraId="18FDEC20" w14:textId="77777777" w:rsidR="00073AD9" w:rsidRDefault="00000000" w:rsidP="00705772">
      <w:pPr>
        <w:spacing w:line="360" w:lineRule="auto"/>
      </w:pPr>
      <w:r>
        <w:pict w14:anchorId="068098E9">
          <v:rect id="_x0000_i1036" style="width:0;height:1.5pt" o:hralign="center" o:hrstd="t" o:hr="t"/>
        </w:pict>
      </w:r>
    </w:p>
    <w:p w14:paraId="4D21A1CC" w14:textId="77777777" w:rsidR="000B6CF6" w:rsidRDefault="000B6CF6" w:rsidP="00705772">
      <w:pPr>
        <w:spacing w:line="360" w:lineRule="auto"/>
        <w:rPr>
          <w:rFonts w:asciiTheme="majorHAnsi" w:eastAsiaTheme="majorEastAsia" w:hAnsiTheme="majorHAnsi" w:cstheme="majorBidi"/>
          <w:color w:val="0F4761" w:themeColor="accent1" w:themeShade="BF"/>
          <w:sz w:val="40"/>
          <w:szCs w:val="40"/>
        </w:rPr>
      </w:pPr>
      <w:bookmarkStart w:id="27" w:name="tables-and-figures"/>
      <w:bookmarkEnd w:id="26"/>
      <w:r>
        <w:lastRenderedPageBreak/>
        <w:br w:type="page"/>
      </w:r>
    </w:p>
    <w:p w14:paraId="60584C08" w14:textId="3CD4DCA6" w:rsidR="00073AD9" w:rsidRDefault="00000000">
      <w:pPr>
        <w:pStyle w:val="1"/>
      </w:pPr>
      <w:r>
        <w:lastRenderedPageBreak/>
        <w:t>Tables and Figures</w:t>
      </w:r>
    </w:p>
    <w:p w14:paraId="3669C8E4" w14:textId="77777777" w:rsidR="00073AD9" w:rsidRDefault="00000000">
      <w:pPr>
        <w:pStyle w:val="2"/>
      </w:pPr>
      <w:bookmarkStart w:id="28"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802"/>
        <w:gridCol w:w="802"/>
        <w:gridCol w:w="803"/>
        <w:gridCol w:w="803"/>
        <w:gridCol w:w="804"/>
        <w:gridCol w:w="804"/>
        <w:gridCol w:w="804"/>
        <w:gridCol w:w="804"/>
        <w:gridCol w:w="804"/>
        <w:gridCol w:w="804"/>
        <w:gridCol w:w="804"/>
      </w:tblGrid>
      <w:tr w:rsidR="00C6603A" w14:paraId="2CD84950" w14:textId="77777777" w:rsidTr="00C6603A">
        <w:trPr>
          <w:cnfStyle w:val="100000000000" w:firstRow="1" w:lastRow="0" w:firstColumn="0" w:lastColumn="0" w:oddVBand="0" w:evenVBand="0" w:oddHBand="0" w:evenHBand="0" w:firstRowFirstColumn="0" w:firstRowLastColumn="0" w:lastRowFirstColumn="0" w:lastRowLastColumn="0"/>
          <w:tblHeader/>
        </w:trPr>
        <w:tc>
          <w:tcPr>
            <w:tcW w:w="802" w:type="dxa"/>
          </w:tcPr>
          <w:p w14:paraId="134CA195" w14:textId="77777777" w:rsidR="00C6603A" w:rsidRPr="00C6603A" w:rsidRDefault="00C6603A">
            <w:pPr>
              <w:pStyle w:val="Compact"/>
              <w:rPr>
                <w:sz w:val="18"/>
                <w:szCs w:val="18"/>
              </w:rPr>
            </w:pPr>
            <w:r w:rsidRPr="00C6603A">
              <w:rPr>
                <w:sz w:val="18"/>
                <w:szCs w:val="18"/>
              </w:rPr>
              <w:t>Variable</w:t>
            </w:r>
          </w:p>
        </w:tc>
        <w:tc>
          <w:tcPr>
            <w:tcW w:w="802" w:type="dxa"/>
          </w:tcPr>
          <w:p w14:paraId="7DDF80EE" w14:textId="77777777" w:rsidR="00C6603A" w:rsidRPr="00C6603A" w:rsidRDefault="00C6603A">
            <w:pPr>
              <w:pStyle w:val="Compact"/>
              <w:rPr>
                <w:sz w:val="18"/>
                <w:szCs w:val="18"/>
              </w:rPr>
            </w:pPr>
            <w:r w:rsidRPr="00C6603A">
              <w:rPr>
                <w:sz w:val="18"/>
                <w:szCs w:val="18"/>
              </w:rPr>
              <w:t>Unit</w:t>
            </w:r>
          </w:p>
        </w:tc>
        <w:tc>
          <w:tcPr>
            <w:tcW w:w="803" w:type="dxa"/>
          </w:tcPr>
          <w:p w14:paraId="02622652" w14:textId="77777777" w:rsidR="00C6603A" w:rsidRPr="00C6603A" w:rsidRDefault="00C6603A">
            <w:pPr>
              <w:pStyle w:val="Compact"/>
              <w:jc w:val="right"/>
              <w:rPr>
                <w:sz w:val="18"/>
                <w:szCs w:val="18"/>
              </w:rPr>
            </w:pPr>
            <w:r w:rsidRPr="00C6603A">
              <w:rPr>
                <w:sz w:val="18"/>
                <w:szCs w:val="18"/>
              </w:rPr>
              <w:t>N</w:t>
            </w:r>
          </w:p>
        </w:tc>
        <w:tc>
          <w:tcPr>
            <w:tcW w:w="803" w:type="dxa"/>
          </w:tcPr>
          <w:p w14:paraId="0A64D502" w14:textId="77777777" w:rsidR="00C6603A" w:rsidRPr="00C6603A" w:rsidRDefault="00C6603A">
            <w:pPr>
              <w:pStyle w:val="Compact"/>
              <w:jc w:val="right"/>
              <w:rPr>
                <w:sz w:val="18"/>
                <w:szCs w:val="18"/>
              </w:rPr>
            </w:pPr>
            <w:r w:rsidRPr="00C6603A">
              <w:rPr>
                <w:sz w:val="18"/>
                <w:szCs w:val="18"/>
              </w:rPr>
              <w:t>Mean</w:t>
            </w:r>
          </w:p>
        </w:tc>
        <w:tc>
          <w:tcPr>
            <w:tcW w:w="804" w:type="dxa"/>
          </w:tcPr>
          <w:p w14:paraId="594C7090" w14:textId="77777777" w:rsidR="00C6603A" w:rsidRPr="00C6603A" w:rsidRDefault="00C6603A">
            <w:pPr>
              <w:pStyle w:val="Compact"/>
              <w:jc w:val="right"/>
              <w:rPr>
                <w:sz w:val="18"/>
                <w:szCs w:val="18"/>
              </w:rPr>
            </w:pPr>
            <w:r w:rsidRPr="00C6603A">
              <w:rPr>
                <w:sz w:val="18"/>
                <w:szCs w:val="18"/>
              </w:rPr>
              <w:t>SD</w:t>
            </w:r>
          </w:p>
        </w:tc>
        <w:tc>
          <w:tcPr>
            <w:tcW w:w="804" w:type="dxa"/>
          </w:tcPr>
          <w:p w14:paraId="3833ADD8" w14:textId="55E88538" w:rsidR="00C6603A" w:rsidRPr="00C6603A" w:rsidRDefault="00C6603A">
            <w:pPr>
              <w:pStyle w:val="Compact"/>
              <w:jc w:val="right"/>
              <w:rPr>
                <w:sz w:val="18"/>
                <w:szCs w:val="18"/>
                <w:lang w:eastAsia="ja-JP"/>
              </w:rPr>
            </w:pPr>
            <w:r w:rsidRPr="00C6603A">
              <w:rPr>
                <w:rFonts w:hint="eastAsia"/>
                <w:sz w:val="18"/>
                <w:szCs w:val="18"/>
                <w:lang w:eastAsia="ja-JP"/>
              </w:rPr>
              <w:t>Median</w:t>
            </w:r>
          </w:p>
        </w:tc>
        <w:tc>
          <w:tcPr>
            <w:tcW w:w="804" w:type="dxa"/>
          </w:tcPr>
          <w:p w14:paraId="607B23E0" w14:textId="62A315EC" w:rsidR="00C6603A" w:rsidRPr="00C6603A" w:rsidRDefault="00C6603A">
            <w:pPr>
              <w:pStyle w:val="Compact"/>
              <w:jc w:val="right"/>
              <w:rPr>
                <w:sz w:val="18"/>
                <w:szCs w:val="18"/>
                <w:lang w:eastAsia="ja-JP"/>
              </w:rPr>
            </w:pPr>
            <w:r>
              <w:rPr>
                <w:rFonts w:hint="eastAsia"/>
                <w:sz w:val="18"/>
                <w:szCs w:val="18"/>
                <w:lang w:eastAsia="ja-JP"/>
              </w:rPr>
              <w:t>Q1</w:t>
            </w:r>
          </w:p>
        </w:tc>
        <w:tc>
          <w:tcPr>
            <w:tcW w:w="804" w:type="dxa"/>
          </w:tcPr>
          <w:p w14:paraId="01FF78F0" w14:textId="20CDF83E" w:rsidR="00C6603A" w:rsidRPr="00C6603A" w:rsidRDefault="00C6603A">
            <w:pPr>
              <w:pStyle w:val="Compact"/>
              <w:jc w:val="right"/>
              <w:rPr>
                <w:sz w:val="18"/>
                <w:szCs w:val="18"/>
                <w:lang w:eastAsia="ja-JP"/>
              </w:rPr>
            </w:pPr>
            <w:r>
              <w:rPr>
                <w:rFonts w:hint="eastAsia"/>
                <w:sz w:val="18"/>
                <w:szCs w:val="18"/>
                <w:lang w:eastAsia="ja-JP"/>
              </w:rPr>
              <w:t>Q3</w:t>
            </w:r>
          </w:p>
        </w:tc>
        <w:tc>
          <w:tcPr>
            <w:tcW w:w="804" w:type="dxa"/>
          </w:tcPr>
          <w:p w14:paraId="6487360B" w14:textId="5D68367E" w:rsidR="00C6603A" w:rsidRPr="00C6603A" w:rsidRDefault="00C6603A">
            <w:pPr>
              <w:pStyle w:val="Compact"/>
              <w:jc w:val="right"/>
              <w:rPr>
                <w:sz w:val="18"/>
                <w:szCs w:val="18"/>
              </w:rPr>
            </w:pPr>
            <w:r w:rsidRPr="00C6603A">
              <w:rPr>
                <w:sz w:val="18"/>
                <w:szCs w:val="18"/>
              </w:rPr>
              <w:t>Min</w:t>
            </w:r>
          </w:p>
        </w:tc>
        <w:tc>
          <w:tcPr>
            <w:tcW w:w="804" w:type="dxa"/>
          </w:tcPr>
          <w:p w14:paraId="32312A93" w14:textId="18821A5F" w:rsidR="00C6603A" w:rsidRPr="00C6603A" w:rsidRDefault="00C6603A">
            <w:pPr>
              <w:pStyle w:val="Compact"/>
              <w:jc w:val="right"/>
              <w:rPr>
                <w:sz w:val="18"/>
                <w:szCs w:val="18"/>
              </w:rPr>
            </w:pPr>
          </w:p>
        </w:tc>
        <w:tc>
          <w:tcPr>
            <w:tcW w:w="804" w:type="dxa"/>
          </w:tcPr>
          <w:p w14:paraId="233B166E" w14:textId="77777777" w:rsidR="00C6603A" w:rsidRPr="00C6603A" w:rsidRDefault="00C6603A">
            <w:pPr>
              <w:pStyle w:val="Compact"/>
              <w:jc w:val="right"/>
              <w:rPr>
                <w:sz w:val="18"/>
                <w:szCs w:val="18"/>
              </w:rPr>
            </w:pPr>
            <w:r w:rsidRPr="00C6603A">
              <w:rPr>
                <w:sz w:val="18"/>
                <w:szCs w:val="18"/>
              </w:rPr>
              <w:t>Max</w:t>
            </w:r>
          </w:p>
        </w:tc>
      </w:tr>
      <w:tr w:rsidR="00C6603A" w14:paraId="0F6064E3" w14:textId="77777777" w:rsidTr="00C6603A">
        <w:tc>
          <w:tcPr>
            <w:tcW w:w="802"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02" w:type="dxa"/>
          </w:tcPr>
          <w:p w14:paraId="79FDC923" w14:textId="77777777" w:rsidR="00C6603A" w:rsidRPr="00C6603A" w:rsidRDefault="00C6603A">
            <w:pPr>
              <w:pStyle w:val="Compact"/>
              <w:rPr>
                <w:sz w:val="18"/>
                <w:szCs w:val="18"/>
              </w:rPr>
            </w:pPr>
          </w:p>
        </w:tc>
        <w:tc>
          <w:tcPr>
            <w:tcW w:w="803" w:type="dxa"/>
          </w:tcPr>
          <w:p w14:paraId="181A2A38" w14:textId="77777777" w:rsidR="00C6603A" w:rsidRPr="00C6603A" w:rsidRDefault="00C6603A">
            <w:pPr>
              <w:pStyle w:val="Compact"/>
              <w:rPr>
                <w:sz w:val="18"/>
                <w:szCs w:val="18"/>
              </w:rPr>
            </w:pPr>
          </w:p>
        </w:tc>
        <w:tc>
          <w:tcPr>
            <w:tcW w:w="803" w:type="dxa"/>
          </w:tcPr>
          <w:p w14:paraId="3ED277F1" w14:textId="77777777" w:rsidR="00C6603A" w:rsidRPr="00C6603A" w:rsidRDefault="00C6603A">
            <w:pPr>
              <w:pStyle w:val="Compact"/>
              <w:rPr>
                <w:sz w:val="18"/>
                <w:szCs w:val="18"/>
              </w:rPr>
            </w:pPr>
          </w:p>
        </w:tc>
        <w:tc>
          <w:tcPr>
            <w:tcW w:w="804" w:type="dxa"/>
          </w:tcPr>
          <w:p w14:paraId="2B502AF9" w14:textId="77777777" w:rsidR="00C6603A" w:rsidRPr="00C6603A" w:rsidRDefault="00C6603A">
            <w:pPr>
              <w:pStyle w:val="Compact"/>
              <w:rPr>
                <w:sz w:val="18"/>
                <w:szCs w:val="18"/>
              </w:rPr>
            </w:pPr>
          </w:p>
        </w:tc>
        <w:tc>
          <w:tcPr>
            <w:tcW w:w="804" w:type="dxa"/>
          </w:tcPr>
          <w:p w14:paraId="0A69DDA7" w14:textId="77777777" w:rsidR="00C6603A" w:rsidRPr="00C6603A" w:rsidRDefault="00C6603A">
            <w:pPr>
              <w:pStyle w:val="Compact"/>
              <w:rPr>
                <w:sz w:val="18"/>
                <w:szCs w:val="18"/>
              </w:rPr>
            </w:pPr>
          </w:p>
        </w:tc>
        <w:tc>
          <w:tcPr>
            <w:tcW w:w="804" w:type="dxa"/>
          </w:tcPr>
          <w:p w14:paraId="2A0AF399" w14:textId="77777777" w:rsidR="00C6603A" w:rsidRPr="00C6603A" w:rsidRDefault="00C6603A">
            <w:pPr>
              <w:pStyle w:val="Compact"/>
              <w:rPr>
                <w:sz w:val="18"/>
                <w:szCs w:val="18"/>
              </w:rPr>
            </w:pPr>
          </w:p>
        </w:tc>
        <w:tc>
          <w:tcPr>
            <w:tcW w:w="804" w:type="dxa"/>
          </w:tcPr>
          <w:p w14:paraId="6896B871" w14:textId="77777777" w:rsidR="00C6603A" w:rsidRPr="00C6603A" w:rsidRDefault="00C6603A">
            <w:pPr>
              <w:pStyle w:val="Compact"/>
              <w:rPr>
                <w:sz w:val="18"/>
                <w:szCs w:val="18"/>
              </w:rPr>
            </w:pPr>
          </w:p>
        </w:tc>
        <w:tc>
          <w:tcPr>
            <w:tcW w:w="804" w:type="dxa"/>
          </w:tcPr>
          <w:p w14:paraId="3D8D64CE" w14:textId="40CF37A6" w:rsidR="00C6603A" w:rsidRPr="00C6603A" w:rsidRDefault="00C6603A">
            <w:pPr>
              <w:pStyle w:val="Compact"/>
              <w:rPr>
                <w:sz w:val="18"/>
                <w:szCs w:val="18"/>
              </w:rPr>
            </w:pPr>
          </w:p>
        </w:tc>
        <w:tc>
          <w:tcPr>
            <w:tcW w:w="804" w:type="dxa"/>
          </w:tcPr>
          <w:p w14:paraId="7460FE36" w14:textId="77777777" w:rsidR="00C6603A" w:rsidRPr="00C6603A" w:rsidRDefault="00C6603A">
            <w:pPr>
              <w:pStyle w:val="Compact"/>
              <w:rPr>
                <w:sz w:val="18"/>
                <w:szCs w:val="18"/>
              </w:rPr>
            </w:pPr>
          </w:p>
        </w:tc>
        <w:tc>
          <w:tcPr>
            <w:tcW w:w="804" w:type="dxa"/>
          </w:tcPr>
          <w:p w14:paraId="4805537B" w14:textId="77777777" w:rsidR="00C6603A" w:rsidRPr="00C6603A" w:rsidRDefault="00C6603A">
            <w:pPr>
              <w:pStyle w:val="Compact"/>
              <w:rPr>
                <w:sz w:val="18"/>
                <w:szCs w:val="18"/>
              </w:rPr>
            </w:pPr>
          </w:p>
        </w:tc>
      </w:tr>
      <w:tr w:rsidR="00C6603A" w14:paraId="4C767E92" w14:textId="77777777" w:rsidTr="00C6603A">
        <w:tc>
          <w:tcPr>
            <w:tcW w:w="802"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02" w:type="dxa"/>
          </w:tcPr>
          <w:p w14:paraId="42CD4E9C" w14:textId="77777777" w:rsidR="00C6603A" w:rsidRPr="00C6603A" w:rsidRDefault="00C6603A">
            <w:pPr>
              <w:pStyle w:val="Compact"/>
              <w:rPr>
                <w:sz w:val="18"/>
                <w:szCs w:val="18"/>
              </w:rPr>
            </w:pPr>
            <w:r w:rsidRPr="00C6603A">
              <w:rPr>
                <w:sz w:val="18"/>
                <w:szCs w:val="18"/>
              </w:rPr>
              <w:t>per 100,000</w:t>
            </w:r>
          </w:p>
        </w:tc>
        <w:tc>
          <w:tcPr>
            <w:tcW w:w="803" w:type="dxa"/>
          </w:tcPr>
          <w:p w14:paraId="594D9C6D" w14:textId="77777777" w:rsidR="00C6603A" w:rsidRPr="00C6603A" w:rsidRDefault="00C6603A">
            <w:pPr>
              <w:pStyle w:val="Compact"/>
              <w:jc w:val="right"/>
              <w:rPr>
                <w:sz w:val="18"/>
                <w:szCs w:val="18"/>
              </w:rPr>
            </w:pPr>
            <w:r w:rsidRPr="00C6603A">
              <w:rPr>
                <w:sz w:val="18"/>
                <w:szCs w:val="18"/>
              </w:rPr>
              <w:t>47</w:t>
            </w:r>
          </w:p>
        </w:tc>
        <w:tc>
          <w:tcPr>
            <w:tcW w:w="803" w:type="dxa"/>
          </w:tcPr>
          <w:p w14:paraId="1176DC57" w14:textId="77777777" w:rsidR="00C6603A" w:rsidRPr="00C6603A" w:rsidRDefault="00C6603A">
            <w:pPr>
              <w:pStyle w:val="Compact"/>
              <w:jc w:val="right"/>
              <w:rPr>
                <w:sz w:val="18"/>
                <w:szCs w:val="18"/>
              </w:rPr>
            </w:pPr>
            <w:r w:rsidRPr="00C6603A">
              <w:rPr>
                <w:sz w:val="18"/>
                <w:szCs w:val="18"/>
              </w:rPr>
              <w:t>352.75</w:t>
            </w:r>
          </w:p>
        </w:tc>
        <w:tc>
          <w:tcPr>
            <w:tcW w:w="804" w:type="dxa"/>
          </w:tcPr>
          <w:p w14:paraId="17EFA7CF" w14:textId="77777777" w:rsidR="00C6603A" w:rsidRPr="00C6603A" w:rsidRDefault="00C6603A">
            <w:pPr>
              <w:pStyle w:val="Compact"/>
              <w:jc w:val="right"/>
              <w:rPr>
                <w:sz w:val="18"/>
                <w:szCs w:val="18"/>
              </w:rPr>
            </w:pPr>
            <w:r w:rsidRPr="00C6603A">
              <w:rPr>
                <w:sz w:val="18"/>
                <w:szCs w:val="18"/>
              </w:rPr>
              <w:t>54.85</w:t>
            </w:r>
          </w:p>
        </w:tc>
        <w:tc>
          <w:tcPr>
            <w:tcW w:w="804" w:type="dxa"/>
          </w:tcPr>
          <w:p w14:paraId="48E13D2A" w14:textId="133D52AD" w:rsidR="00C6603A" w:rsidRPr="00C6603A" w:rsidRDefault="00C6603A">
            <w:pPr>
              <w:pStyle w:val="Compact"/>
              <w:jc w:val="right"/>
              <w:rPr>
                <w:sz w:val="18"/>
                <w:szCs w:val="18"/>
                <w:lang w:eastAsia="ja-JP"/>
              </w:rPr>
            </w:pPr>
            <w:r w:rsidRPr="00C6603A">
              <w:rPr>
                <w:rFonts w:hint="eastAsia"/>
                <w:sz w:val="18"/>
                <w:szCs w:val="18"/>
                <w:lang w:eastAsia="ja-JP"/>
              </w:rPr>
              <w:t>356.11</w:t>
            </w:r>
          </w:p>
        </w:tc>
        <w:tc>
          <w:tcPr>
            <w:tcW w:w="804" w:type="dxa"/>
          </w:tcPr>
          <w:p w14:paraId="2664D36F" w14:textId="3CB7E123" w:rsidR="00C6603A" w:rsidRPr="00C6603A" w:rsidRDefault="00C6603A">
            <w:pPr>
              <w:pStyle w:val="Compact"/>
              <w:jc w:val="right"/>
              <w:rPr>
                <w:sz w:val="18"/>
                <w:szCs w:val="18"/>
                <w:lang w:eastAsia="ja-JP"/>
              </w:rPr>
            </w:pPr>
            <w:r>
              <w:rPr>
                <w:rFonts w:hint="eastAsia"/>
                <w:sz w:val="18"/>
                <w:szCs w:val="18"/>
                <w:lang w:eastAsia="ja-JP"/>
              </w:rPr>
              <w:t>306.44</w:t>
            </w:r>
          </w:p>
        </w:tc>
        <w:tc>
          <w:tcPr>
            <w:tcW w:w="804" w:type="dxa"/>
          </w:tcPr>
          <w:p w14:paraId="0F0CC36A" w14:textId="5978E734" w:rsidR="00C6603A" w:rsidRPr="00C6603A" w:rsidRDefault="00C6603A">
            <w:pPr>
              <w:pStyle w:val="Compact"/>
              <w:jc w:val="right"/>
              <w:rPr>
                <w:sz w:val="18"/>
                <w:szCs w:val="18"/>
                <w:lang w:eastAsia="ja-JP"/>
              </w:rPr>
            </w:pPr>
            <w:r>
              <w:rPr>
                <w:rFonts w:hint="eastAsia"/>
                <w:sz w:val="18"/>
                <w:szCs w:val="18"/>
                <w:lang w:eastAsia="ja-JP"/>
              </w:rPr>
              <w:t>397.13</w:t>
            </w:r>
          </w:p>
        </w:tc>
        <w:tc>
          <w:tcPr>
            <w:tcW w:w="804" w:type="dxa"/>
          </w:tcPr>
          <w:p w14:paraId="60057E7F" w14:textId="792EAF6C" w:rsidR="00C6603A" w:rsidRPr="00C6603A" w:rsidRDefault="00C6603A">
            <w:pPr>
              <w:pStyle w:val="Compact"/>
              <w:jc w:val="right"/>
              <w:rPr>
                <w:sz w:val="18"/>
                <w:szCs w:val="18"/>
              </w:rPr>
            </w:pPr>
            <w:r w:rsidRPr="00C6603A">
              <w:rPr>
                <w:sz w:val="18"/>
                <w:szCs w:val="18"/>
              </w:rPr>
              <w:t>249.22</w:t>
            </w:r>
          </w:p>
        </w:tc>
        <w:tc>
          <w:tcPr>
            <w:tcW w:w="804" w:type="dxa"/>
          </w:tcPr>
          <w:p w14:paraId="4DD2C738" w14:textId="523A5A92" w:rsidR="00C6603A" w:rsidRPr="00C6603A" w:rsidRDefault="00C6603A">
            <w:pPr>
              <w:pStyle w:val="Compact"/>
              <w:jc w:val="right"/>
              <w:rPr>
                <w:sz w:val="18"/>
                <w:szCs w:val="18"/>
              </w:rPr>
            </w:pPr>
          </w:p>
        </w:tc>
        <w:tc>
          <w:tcPr>
            <w:tcW w:w="804" w:type="dxa"/>
          </w:tcPr>
          <w:p w14:paraId="2A319D91" w14:textId="77777777" w:rsidR="00C6603A" w:rsidRPr="00C6603A" w:rsidRDefault="00C6603A">
            <w:pPr>
              <w:pStyle w:val="Compact"/>
              <w:jc w:val="right"/>
              <w:rPr>
                <w:sz w:val="18"/>
                <w:szCs w:val="18"/>
              </w:rPr>
            </w:pPr>
            <w:r w:rsidRPr="00C6603A">
              <w:rPr>
                <w:sz w:val="18"/>
                <w:szCs w:val="18"/>
              </w:rPr>
              <w:t>446.68</w:t>
            </w:r>
          </w:p>
        </w:tc>
      </w:tr>
      <w:tr w:rsidR="00C6603A" w14:paraId="63A59DA7" w14:textId="77777777" w:rsidTr="00C6603A">
        <w:tc>
          <w:tcPr>
            <w:tcW w:w="802"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02" w:type="dxa"/>
          </w:tcPr>
          <w:p w14:paraId="2323D8AC" w14:textId="77777777" w:rsidR="00C6603A" w:rsidRPr="00C6603A" w:rsidRDefault="00C6603A">
            <w:pPr>
              <w:pStyle w:val="Compact"/>
              <w:rPr>
                <w:sz w:val="18"/>
                <w:szCs w:val="18"/>
              </w:rPr>
            </w:pPr>
            <w:r w:rsidRPr="00C6603A">
              <w:rPr>
                <w:sz w:val="18"/>
                <w:szCs w:val="18"/>
              </w:rPr>
              <w:t>per 100,000</w:t>
            </w:r>
          </w:p>
        </w:tc>
        <w:tc>
          <w:tcPr>
            <w:tcW w:w="803" w:type="dxa"/>
          </w:tcPr>
          <w:p w14:paraId="313C0B70" w14:textId="77777777" w:rsidR="00C6603A" w:rsidRPr="00C6603A" w:rsidRDefault="00C6603A">
            <w:pPr>
              <w:pStyle w:val="Compact"/>
              <w:jc w:val="right"/>
              <w:rPr>
                <w:sz w:val="18"/>
                <w:szCs w:val="18"/>
              </w:rPr>
            </w:pPr>
            <w:r w:rsidRPr="00C6603A">
              <w:rPr>
                <w:sz w:val="18"/>
                <w:szCs w:val="18"/>
              </w:rPr>
              <w:t>47</w:t>
            </w:r>
          </w:p>
        </w:tc>
        <w:tc>
          <w:tcPr>
            <w:tcW w:w="803" w:type="dxa"/>
          </w:tcPr>
          <w:p w14:paraId="678F9011" w14:textId="77777777" w:rsidR="00C6603A" w:rsidRPr="00C6603A" w:rsidRDefault="00C6603A">
            <w:pPr>
              <w:pStyle w:val="Compact"/>
              <w:jc w:val="right"/>
              <w:rPr>
                <w:sz w:val="18"/>
                <w:szCs w:val="18"/>
              </w:rPr>
            </w:pPr>
            <w:r w:rsidRPr="00C6603A">
              <w:rPr>
                <w:sz w:val="18"/>
                <w:szCs w:val="18"/>
              </w:rPr>
              <w:t>253.99</w:t>
            </w:r>
          </w:p>
        </w:tc>
        <w:tc>
          <w:tcPr>
            <w:tcW w:w="804" w:type="dxa"/>
          </w:tcPr>
          <w:p w14:paraId="0996C7DA" w14:textId="77777777" w:rsidR="00C6603A" w:rsidRPr="00C6603A" w:rsidRDefault="00C6603A">
            <w:pPr>
              <w:pStyle w:val="Compact"/>
              <w:jc w:val="right"/>
              <w:rPr>
                <w:sz w:val="18"/>
                <w:szCs w:val="18"/>
              </w:rPr>
            </w:pPr>
            <w:r w:rsidRPr="00C6603A">
              <w:rPr>
                <w:sz w:val="18"/>
                <w:szCs w:val="18"/>
              </w:rPr>
              <w:t>37.57</w:t>
            </w:r>
          </w:p>
        </w:tc>
        <w:tc>
          <w:tcPr>
            <w:tcW w:w="804" w:type="dxa"/>
          </w:tcPr>
          <w:p w14:paraId="51504521" w14:textId="1787EC24" w:rsidR="00C6603A" w:rsidRPr="00C6603A" w:rsidRDefault="00C6603A">
            <w:pPr>
              <w:pStyle w:val="Compact"/>
              <w:jc w:val="right"/>
              <w:rPr>
                <w:sz w:val="18"/>
                <w:szCs w:val="18"/>
                <w:lang w:eastAsia="ja-JP"/>
              </w:rPr>
            </w:pPr>
            <w:r w:rsidRPr="00C6603A">
              <w:rPr>
                <w:rFonts w:hint="eastAsia"/>
                <w:sz w:val="18"/>
                <w:szCs w:val="18"/>
                <w:lang w:eastAsia="ja-JP"/>
              </w:rPr>
              <w:t>253.87</w:t>
            </w:r>
          </w:p>
        </w:tc>
        <w:tc>
          <w:tcPr>
            <w:tcW w:w="804" w:type="dxa"/>
          </w:tcPr>
          <w:p w14:paraId="52E35051" w14:textId="50FA2DAE" w:rsidR="00C6603A" w:rsidRPr="00C6603A" w:rsidRDefault="00C6603A">
            <w:pPr>
              <w:pStyle w:val="Compact"/>
              <w:jc w:val="right"/>
              <w:rPr>
                <w:sz w:val="18"/>
                <w:szCs w:val="18"/>
                <w:lang w:eastAsia="ja-JP"/>
              </w:rPr>
            </w:pPr>
            <w:r>
              <w:rPr>
                <w:rFonts w:hint="eastAsia"/>
                <w:sz w:val="18"/>
                <w:szCs w:val="18"/>
                <w:lang w:eastAsia="ja-JP"/>
              </w:rPr>
              <w:t>228.57</w:t>
            </w:r>
          </w:p>
        </w:tc>
        <w:tc>
          <w:tcPr>
            <w:tcW w:w="804" w:type="dxa"/>
          </w:tcPr>
          <w:p w14:paraId="6D894763" w14:textId="437C8876" w:rsidR="00C6603A" w:rsidRPr="00C6603A" w:rsidRDefault="00C6603A">
            <w:pPr>
              <w:pStyle w:val="Compact"/>
              <w:jc w:val="right"/>
              <w:rPr>
                <w:sz w:val="18"/>
                <w:szCs w:val="18"/>
                <w:lang w:eastAsia="ja-JP"/>
              </w:rPr>
            </w:pPr>
            <w:r>
              <w:rPr>
                <w:rFonts w:hint="eastAsia"/>
                <w:sz w:val="18"/>
                <w:szCs w:val="18"/>
                <w:lang w:eastAsia="ja-JP"/>
              </w:rPr>
              <w:t>286.32</w:t>
            </w:r>
          </w:p>
        </w:tc>
        <w:tc>
          <w:tcPr>
            <w:tcW w:w="804" w:type="dxa"/>
          </w:tcPr>
          <w:p w14:paraId="787DAA58" w14:textId="77B172AD" w:rsidR="00C6603A" w:rsidRPr="00C6603A" w:rsidRDefault="00C6603A">
            <w:pPr>
              <w:pStyle w:val="Compact"/>
              <w:jc w:val="right"/>
              <w:rPr>
                <w:sz w:val="18"/>
                <w:szCs w:val="18"/>
              </w:rPr>
            </w:pPr>
            <w:r w:rsidRPr="00C6603A">
              <w:rPr>
                <w:sz w:val="18"/>
                <w:szCs w:val="18"/>
              </w:rPr>
              <w:t>167.61</w:t>
            </w:r>
          </w:p>
        </w:tc>
        <w:tc>
          <w:tcPr>
            <w:tcW w:w="804" w:type="dxa"/>
          </w:tcPr>
          <w:p w14:paraId="07FCDBFF" w14:textId="23B16563" w:rsidR="00C6603A" w:rsidRPr="00C6603A" w:rsidRDefault="00C6603A">
            <w:pPr>
              <w:pStyle w:val="Compact"/>
              <w:jc w:val="right"/>
              <w:rPr>
                <w:sz w:val="18"/>
                <w:szCs w:val="18"/>
              </w:rPr>
            </w:pPr>
          </w:p>
        </w:tc>
        <w:tc>
          <w:tcPr>
            <w:tcW w:w="804" w:type="dxa"/>
          </w:tcPr>
          <w:p w14:paraId="0A907A04" w14:textId="77777777" w:rsidR="00C6603A" w:rsidRPr="00C6603A" w:rsidRDefault="00C6603A">
            <w:pPr>
              <w:pStyle w:val="Compact"/>
              <w:jc w:val="right"/>
              <w:rPr>
                <w:sz w:val="18"/>
                <w:szCs w:val="18"/>
              </w:rPr>
            </w:pPr>
            <w:r w:rsidRPr="00C6603A">
              <w:rPr>
                <w:sz w:val="18"/>
                <w:szCs w:val="18"/>
              </w:rPr>
              <w:t>329.62</w:t>
            </w:r>
          </w:p>
        </w:tc>
      </w:tr>
      <w:tr w:rsidR="00C6603A" w14:paraId="4F7BAACE" w14:textId="77777777" w:rsidTr="00C6603A">
        <w:tc>
          <w:tcPr>
            <w:tcW w:w="802"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02" w:type="dxa"/>
          </w:tcPr>
          <w:p w14:paraId="4019039A" w14:textId="77777777" w:rsidR="00C6603A" w:rsidRPr="00C6603A" w:rsidRDefault="00C6603A">
            <w:pPr>
              <w:pStyle w:val="Compact"/>
              <w:rPr>
                <w:sz w:val="18"/>
                <w:szCs w:val="18"/>
              </w:rPr>
            </w:pPr>
            <w:r w:rsidRPr="00C6603A">
              <w:rPr>
                <w:sz w:val="18"/>
                <w:szCs w:val="18"/>
              </w:rPr>
              <w:t>per 100,000</w:t>
            </w:r>
          </w:p>
        </w:tc>
        <w:tc>
          <w:tcPr>
            <w:tcW w:w="803" w:type="dxa"/>
          </w:tcPr>
          <w:p w14:paraId="1AABF2CE" w14:textId="77777777" w:rsidR="00C6603A" w:rsidRPr="00C6603A" w:rsidRDefault="00C6603A">
            <w:pPr>
              <w:pStyle w:val="Compact"/>
              <w:jc w:val="right"/>
              <w:rPr>
                <w:sz w:val="18"/>
                <w:szCs w:val="18"/>
              </w:rPr>
            </w:pPr>
            <w:r w:rsidRPr="00C6603A">
              <w:rPr>
                <w:sz w:val="18"/>
                <w:szCs w:val="18"/>
              </w:rPr>
              <w:t>47</w:t>
            </w:r>
          </w:p>
        </w:tc>
        <w:tc>
          <w:tcPr>
            <w:tcW w:w="803" w:type="dxa"/>
          </w:tcPr>
          <w:p w14:paraId="518E83BB" w14:textId="77777777" w:rsidR="00C6603A" w:rsidRPr="00C6603A" w:rsidRDefault="00C6603A">
            <w:pPr>
              <w:pStyle w:val="Compact"/>
              <w:jc w:val="right"/>
              <w:rPr>
                <w:sz w:val="18"/>
                <w:szCs w:val="18"/>
              </w:rPr>
            </w:pPr>
            <w:r w:rsidRPr="00C6603A">
              <w:rPr>
                <w:sz w:val="18"/>
                <w:szCs w:val="18"/>
              </w:rPr>
              <w:t>35.59</w:t>
            </w:r>
          </w:p>
        </w:tc>
        <w:tc>
          <w:tcPr>
            <w:tcW w:w="804" w:type="dxa"/>
          </w:tcPr>
          <w:p w14:paraId="63606DEE" w14:textId="77777777" w:rsidR="00C6603A" w:rsidRPr="00C6603A" w:rsidRDefault="00C6603A">
            <w:pPr>
              <w:pStyle w:val="Compact"/>
              <w:jc w:val="right"/>
              <w:rPr>
                <w:sz w:val="18"/>
                <w:szCs w:val="18"/>
              </w:rPr>
            </w:pPr>
            <w:r w:rsidRPr="00C6603A">
              <w:rPr>
                <w:sz w:val="18"/>
                <w:szCs w:val="18"/>
              </w:rPr>
              <w:t>7.52</w:t>
            </w:r>
          </w:p>
        </w:tc>
        <w:tc>
          <w:tcPr>
            <w:tcW w:w="804" w:type="dxa"/>
          </w:tcPr>
          <w:p w14:paraId="2B12BECF" w14:textId="25F56F78" w:rsidR="00C6603A" w:rsidRPr="00C6603A" w:rsidRDefault="00C6603A">
            <w:pPr>
              <w:pStyle w:val="Compact"/>
              <w:jc w:val="right"/>
              <w:rPr>
                <w:sz w:val="18"/>
                <w:szCs w:val="18"/>
                <w:lang w:eastAsia="ja-JP"/>
              </w:rPr>
            </w:pPr>
            <w:r w:rsidRPr="00C6603A">
              <w:rPr>
                <w:rFonts w:hint="eastAsia"/>
                <w:sz w:val="18"/>
                <w:szCs w:val="18"/>
                <w:lang w:eastAsia="ja-JP"/>
              </w:rPr>
              <w:t>35.56</w:t>
            </w:r>
          </w:p>
        </w:tc>
        <w:tc>
          <w:tcPr>
            <w:tcW w:w="804" w:type="dxa"/>
          </w:tcPr>
          <w:p w14:paraId="3F1ECD08" w14:textId="670463A8" w:rsidR="00C6603A" w:rsidRPr="00C6603A" w:rsidRDefault="00C6603A">
            <w:pPr>
              <w:pStyle w:val="Compact"/>
              <w:jc w:val="right"/>
              <w:rPr>
                <w:sz w:val="18"/>
                <w:szCs w:val="18"/>
                <w:lang w:eastAsia="ja-JP"/>
              </w:rPr>
            </w:pPr>
            <w:r>
              <w:rPr>
                <w:rFonts w:hint="eastAsia"/>
                <w:sz w:val="18"/>
                <w:szCs w:val="18"/>
                <w:lang w:eastAsia="ja-JP"/>
              </w:rPr>
              <w:t>30.04</w:t>
            </w:r>
          </w:p>
        </w:tc>
        <w:tc>
          <w:tcPr>
            <w:tcW w:w="804" w:type="dxa"/>
          </w:tcPr>
          <w:p w14:paraId="682ACBBF" w14:textId="76C3302B" w:rsidR="00C6603A" w:rsidRPr="00C6603A" w:rsidRDefault="00C6603A">
            <w:pPr>
              <w:pStyle w:val="Compact"/>
              <w:jc w:val="right"/>
              <w:rPr>
                <w:sz w:val="18"/>
                <w:szCs w:val="18"/>
                <w:lang w:eastAsia="ja-JP"/>
              </w:rPr>
            </w:pPr>
            <w:r>
              <w:rPr>
                <w:rFonts w:hint="eastAsia"/>
                <w:sz w:val="18"/>
                <w:szCs w:val="18"/>
                <w:lang w:eastAsia="ja-JP"/>
              </w:rPr>
              <w:t>41.72</w:t>
            </w:r>
          </w:p>
        </w:tc>
        <w:tc>
          <w:tcPr>
            <w:tcW w:w="804" w:type="dxa"/>
          </w:tcPr>
          <w:p w14:paraId="05662ADE" w14:textId="46849A93" w:rsidR="00C6603A" w:rsidRPr="00C6603A" w:rsidRDefault="00C6603A">
            <w:pPr>
              <w:pStyle w:val="Compact"/>
              <w:jc w:val="right"/>
              <w:rPr>
                <w:sz w:val="18"/>
                <w:szCs w:val="18"/>
              </w:rPr>
            </w:pPr>
            <w:r w:rsidRPr="00C6603A">
              <w:rPr>
                <w:sz w:val="18"/>
                <w:szCs w:val="18"/>
              </w:rPr>
              <w:t>22.39</w:t>
            </w:r>
          </w:p>
        </w:tc>
        <w:tc>
          <w:tcPr>
            <w:tcW w:w="804" w:type="dxa"/>
          </w:tcPr>
          <w:p w14:paraId="3B872D3D" w14:textId="678B5257" w:rsidR="00C6603A" w:rsidRPr="00C6603A" w:rsidRDefault="00C6603A">
            <w:pPr>
              <w:pStyle w:val="Compact"/>
              <w:jc w:val="right"/>
              <w:rPr>
                <w:sz w:val="18"/>
                <w:szCs w:val="18"/>
              </w:rPr>
            </w:pPr>
          </w:p>
        </w:tc>
        <w:tc>
          <w:tcPr>
            <w:tcW w:w="804" w:type="dxa"/>
          </w:tcPr>
          <w:p w14:paraId="4BDF458A" w14:textId="77777777" w:rsidR="00C6603A" w:rsidRPr="00C6603A" w:rsidRDefault="00C6603A">
            <w:pPr>
              <w:pStyle w:val="Compact"/>
              <w:jc w:val="right"/>
              <w:rPr>
                <w:sz w:val="18"/>
                <w:szCs w:val="18"/>
              </w:rPr>
            </w:pPr>
            <w:r w:rsidRPr="00C6603A">
              <w:rPr>
                <w:sz w:val="18"/>
                <w:szCs w:val="18"/>
              </w:rPr>
              <w:t>50.45</w:t>
            </w:r>
          </w:p>
        </w:tc>
      </w:tr>
      <w:tr w:rsidR="00C6603A" w14:paraId="67F93DAF" w14:textId="77777777" w:rsidTr="00C6603A">
        <w:tc>
          <w:tcPr>
            <w:tcW w:w="802"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02" w:type="dxa"/>
          </w:tcPr>
          <w:p w14:paraId="020CEF5C" w14:textId="77777777" w:rsidR="00C6603A" w:rsidRPr="00C6603A" w:rsidRDefault="00C6603A">
            <w:pPr>
              <w:pStyle w:val="Compact"/>
              <w:rPr>
                <w:sz w:val="18"/>
                <w:szCs w:val="18"/>
              </w:rPr>
            </w:pPr>
            <w:r w:rsidRPr="00C6603A">
              <w:rPr>
                <w:sz w:val="18"/>
                <w:szCs w:val="18"/>
              </w:rPr>
              <w:t>per 100,000</w:t>
            </w:r>
          </w:p>
        </w:tc>
        <w:tc>
          <w:tcPr>
            <w:tcW w:w="803" w:type="dxa"/>
          </w:tcPr>
          <w:p w14:paraId="454750B9" w14:textId="77777777" w:rsidR="00C6603A" w:rsidRPr="00C6603A" w:rsidRDefault="00C6603A">
            <w:pPr>
              <w:pStyle w:val="Compact"/>
              <w:jc w:val="right"/>
              <w:rPr>
                <w:sz w:val="18"/>
                <w:szCs w:val="18"/>
              </w:rPr>
            </w:pPr>
            <w:r w:rsidRPr="00C6603A">
              <w:rPr>
                <w:sz w:val="18"/>
                <w:szCs w:val="18"/>
              </w:rPr>
              <w:t>47</w:t>
            </w:r>
          </w:p>
        </w:tc>
        <w:tc>
          <w:tcPr>
            <w:tcW w:w="803" w:type="dxa"/>
          </w:tcPr>
          <w:p w14:paraId="5BF09ACE" w14:textId="77777777" w:rsidR="00C6603A" w:rsidRPr="00C6603A" w:rsidRDefault="00C6603A">
            <w:pPr>
              <w:pStyle w:val="Compact"/>
              <w:jc w:val="right"/>
              <w:rPr>
                <w:sz w:val="18"/>
                <w:szCs w:val="18"/>
              </w:rPr>
            </w:pPr>
            <w:r w:rsidRPr="00C6603A">
              <w:rPr>
                <w:sz w:val="18"/>
                <w:szCs w:val="18"/>
              </w:rPr>
              <w:t>63.18</w:t>
            </w:r>
          </w:p>
        </w:tc>
        <w:tc>
          <w:tcPr>
            <w:tcW w:w="804" w:type="dxa"/>
          </w:tcPr>
          <w:p w14:paraId="386FBA43" w14:textId="77777777" w:rsidR="00C6603A" w:rsidRPr="00C6603A" w:rsidRDefault="00C6603A">
            <w:pPr>
              <w:pStyle w:val="Compact"/>
              <w:jc w:val="right"/>
              <w:rPr>
                <w:sz w:val="18"/>
                <w:szCs w:val="18"/>
              </w:rPr>
            </w:pPr>
            <w:r w:rsidRPr="00C6603A">
              <w:rPr>
                <w:sz w:val="18"/>
                <w:szCs w:val="18"/>
              </w:rPr>
              <w:t>15.59</w:t>
            </w:r>
          </w:p>
        </w:tc>
        <w:tc>
          <w:tcPr>
            <w:tcW w:w="804" w:type="dxa"/>
          </w:tcPr>
          <w:p w14:paraId="65BC91D2" w14:textId="11D54468" w:rsidR="00C6603A" w:rsidRPr="00C6603A" w:rsidRDefault="00C6603A">
            <w:pPr>
              <w:pStyle w:val="Compact"/>
              <w:jc w:val="right"/>
              <w:rPr>
                <w:sz w:val="18"/>
                <w:szCs w:val="18"/>
                <w:lang w:eastAsia="ja-JP"/>
              </w:rPr>
            </w:pPr>
            <w:r w:rsidRPr="00C6603A">
              <w:rPr>
                <w:rFonts w:hint="eastAsia"/>
                <w:sz w:val="18"/>
                <w:szCs w:val="18"/>
                <w:lang w:eastAsia="ja-JP"/>
              </w:rPr>
              <w:t>60.84</w:t>
            </w:r>
          </w:p>
        </w:tc>
        <w:tc>
          <w:tcPr>
            <w:tcW w:w="804" w:type="dxa"/>
          </w:tcPr>
          <w:p w14:paraId="4140E857" w14:textId="7DB2DF30" w:rsidR="00C6603A" w:rsidRPr="00C6603A" w:rsidRDefault="00C6603A">
            <w:pPr>
              <w:pStyle w:val="Compact"/>
              <w:jc w:val="right"/>
              <w:rPr>
                <w:sz w:val="18"/>
                <w:szCs w:val="18"/>
                <w:lang w:eastAsia="ja-JP"/>
              </w:rPr>
            </w:pPr>
            <w:r>
              <w:rPr>
                <w:rFonts w:hint="eastAsia"/>
                <w:sz w:val="18"/>
                <w:szCs w:val="18"/>
                <w:lang w:eastAsia="ja-JP"/>
              </w:rPr>
              <w:t>51.68</w:t>
            </w:r>
          </w:p>
        </w:tc>
        <w:tc>
          <w:tcPr>
            <w:tcW w:w="804" w:type="dxa"/>
          </w:tcPr>
          <w:p w14:paraId="7B29D17C" w14:textId="414EC3B7" w:rsidR="00C6603A" w:rsidRPr="00C6603A" w:rsidRDefault="00C6603A">
            <w:pPr>
              <w:pStyle w:val="Compact"/>
              <w:jc w:val="right"/>
              <w:rPr>
                <w:sz w:val="18"/>
                <w:szCs w:val="18"/>
                <w:lang w:eastAsia="ja-JP"/>
              </w:rPr>
            </w:pPr>
            <w:r>
              <w:rPr>
                <w:rFonts w:hint="eastAsia"/>
                <w:sz w:val="18"/>
                <w:szCs w:val="18"/>
                <w:lang w:eastAsia="ja-JP"/>
              </w:rPr>
              <w:t>76.04</w:t>
            </w:r>
          </w:p>
        </w:tc>
        <w:tc>
          <w:tcPr>
            <w:tcW w:w="804" w:type="dxa"/>
          </w:tcPr>
          <w:p w14:paraId="3149659F" w14:textId="4CD75021" w:rsidR="00C6603A" w:rsidRPr="00C6603A" w:rsidRDefault="00C6603A">
            <w:pPr>
              <w:pStyle w:val="Compact"/>
              <w:jc w:val="right"/>
              <w:rPr>
                <w:sz w:val="18"/>
                <w:szCs w:val="18"/>
              </w:rPr>
            </w:pPr>
            <w:r w:rsidRPr="00C6603A">
              <w:rPr>
                <w:sz w:val="18"/>
                <w:szCs w:val="18"/>
              </w:rPr>
              <w:t>33.49</w:t>
            </w:r>
          </w:p>
        </w:tc>
        <w:tc>
          <w:tcPr>
            <w:tcW w:w="804" w:type="dxa"/>
          </w:tcPr>
          <w:p w14:paraId="67CC50F6" w14:textId="66E2C977" w:rsidR="00C6603A" w:rsidRPr="00C6603A" w:rsidRDefault="00C6603A">
            <w:pPr>
              <w:pStyle w:val="Compact"/>
              <w:jc w:val="right"/>
              <w:rPr>
                <w:sz w:val="18"/>
                <w:szCs w:val="18"/>
              </w:rPr>
            </w:pPr>
          </w:p>
        </w:tc>
        <w:tc>
          <w:tcPr>
            <w:tcW w:w="804" w:type="dxa"/>
          </w:tcPr>
          <w:p w14:paraId="244AE328" w14:textId="77777777" w:rsidR="00C6603A" w:rsidRPr="00C6603A" w:rsidRDefault="00C6603A">
            <w:pPr>
              <w:pStyle w:val="Compact"/>
              <w:jc w:val="right"/>
              <w:rPr>
                <w:sz w:val="18"/>
                <w:szCs w:val="18"/>
              </w:rPr>
            </w:pPr>
            <w:r w:rsidRPr="00C6603A">
              <w:rPr>
                <w:sz w:val="18"/>
                <w:szCs w:val="18"/>
              </w:rPr>
              <w:t>106.33</w:t>
            </w:r>
          </w:p>
        </w:tc>
      </w:tr>
      <w:tr w:rsidR="00C6603A" w14:paraId="094FD53D" w14:textId="77777777" w:rsidTr="00C6603A">
        <w:tc>
          <w:tcPr>
            <w:tcW w:w="802"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02" w:type="dxa"/>
          </w:tcPr>
          <w:p w14:paraId="72246344" w14:textId="77777777" w:rsidR="00C6603A" w:rsidRPr="00C6603A" w:rsidRDefault="00C6603A">
            <w:pPr>
              <w:pStyle w:val="Compact"/>
              <w:rPr>
                <w:sz w:val="18"/>
                <w:szCs w:val="18"/>
              </w:rPr>
            </w:pPr>
          </w:p>
        </w:tc>
        <w:tc>
          <w:tcPr>
            <w:tcW w:w="803" w:type="dxa"/>
          </w:tcPr>
          <w:p w14:paraId="79011099" w14:textId="77777777" w:rsidR="00C6603A" w:rsidRPr="00C6603A" w:rsidRDefault="00C6603A">
            <w:pPr>
              <w:pStyle w:val="Compact"/>
              <w:rPr>
                <w:sz w:val="18"/>
                <w:szCs w:val="18"/>
              </w:rPr>
            </w:pPr>
          </w:p>
        </w:tc>
        <w:tc>
          <w:tcPr>
            <w:tcW w:w="803" w:type="dxa"/>
          </w:tcPr>
          <w:p w14:paraId="38E6C92D" w14:textId="77777777" w:rsidR="00C6603A" w:rsidRPr="00C6603A" w:rsidRDefault="00C6603A">
            <w:pPr>
              <w:pStyle w:val="Compact"/>
              <w:rPr>
                <w:sz w:val="18"/>
                <w:szCs w:val="18"/>
              </w:rPr>
            </w:pPr>
          </w:p>
        </w:tc>
        <w:tc>
          <w:tcPr>
            <w:tcW w:w="804" w:type="dxa"/>
          </w:tcPr>
          <w:p w14:paraId="08C0861D" w14:textId="77777777" w:rsidR="00C6603A" w:rsidRPr="00C6603A" w:rsidRDefault="00C6603A">
            <w:pPr>
              <w:pStyle w:val="Compact"/>
              <w:rPr>
                <w:sz w:val="18"/>
                <w:szCs w:val="18"/>
              </w:rPr>
            </w:pPr>
          </w:p>
        </w:tc>
        <w:tc>
          <w:tcPr>
            <w:tcW w:w="804" w:type="dxa"/>
          </w:tcPr>
          <w:p w14:paraId="5A7FEC76" w14:textId="77777777" w:rsidR="00C6603A" w:rsidRPr="00C6603A" w:rsidRDefault="00C6603A">
            <w:pPr>
              <w:pStyle w:val="Compact"/>
              <w:rPr>
                <w:sz w:val="18"/>
                <w:szCs w:val="18"/>
              </w:rPr>
            </w:pPr>
          </w:p>
        </w:tc>
        <w:tc>
          <w:tcPr>
            <w:tcW w:w="804" w:type="dxa"/>
          </w:tcPr>
          <w:p w14:paraId="09395451" w14:textId="77777777" w:rsidR="00C6603A" w:rsidRPr="00C6603A" w:rsidRDefault="00C6603A">
            <w:pPr>
              <w:pStyle w:val="Compact"/>
              <w:rPr>
                <w:sz w:val="18"/>
                <w:szCs w:val="18"/>
              </w:rPr>
            </w:pPr>
          </w:p>
        </w:tc>
        <w:tc>
          <w:tcPr>
            <w:tcW w:w="804" w:type="dxa"/>
          </w:tcPr>
          <w:p w14:paraId="2634956B" w14:textId="77777777" w:rsidR="00C6603A" w:rsidRPr="00C6603A" w:rsidRDefault="00C6603A">
            <w:pPr>
              <w:pStyle w:val="Compact"/>
              <w:rPr>
                <w:sz w:val="18"/>
                <w:szCs w:val="18"/>
              </w:rPr>
            </w:pPr>
          </w:p>
        </w:tc>
        <w:tc>
          <w:tcPr>
            <w:tcW w:w="804" w:type="dxa"/>
          </w:tcPr>
          <w:p w14:paraId="5CE5B3F1" w14:textId="0E56778A" w:rsidR="00C6603A" w:rsidRPr="00C6603A" w:rsidRDefault="00C6603A">
            <w:pPr>
              <w:pStyle w:val="Compact"/>
              <w:rPr>
                <w:sz w:val="18"/>
                <w:szCs w:val="18"/>
              </w:rPr>
            </w:pPr>
          </w:p>
        </w:tc>
        <w:tc>
          <w:tcPr>
            <w:tcW w:w="804" w:type="dxa"/>
          </w:tcPr>
          <w:p w14:paraId="7335013C" w14:textId="77777777" w:rsidR="00C6603A" w:rsidRPr="00C6603A" w:rsidRDefault="00C6603A">
            <w:pPr>
              <w:pStyle w:val="Compact"/>
              <w:rPr>
                <w:sz w:val="18"/>
                <w:szCs w:val="18"/>
              </w:rPr>
            </w:pPr>
          </w:p>
        </w:tc>
        <w:tc>
          <w:tcPr>
            <w:tcW w:w="804" w:type="dxa"/>
          </w:tcPr>
          <w:p w14:paraId="537D4F16" w14:textId="77777777" w:rsidR="00C6603A" w:rsidRPr="00C6603A" w:rsidRDefault="00C6603A">
            <w:pPr>
              <w:pStyle w:val="Compact"/>
              <w:rPr>
                <w:sz w:val="18"/>
                <w:szCs w:val="18"/>
              </w:rPr>
            </w:pPr>
          </w:p>
        </w:tc>
      </w:tr>
      <w:tr w:rsidR="00C6603A" w14:paraId="519DA586" w14:textId="77777777" w:rsidTr="00C6603A">
        <w:tc>
          <w:tcPr>
            <w:tcW w:w="802"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02" w:type="dxa"/>
          </w:tcPr>
          <w:p w14:paraId="5B52325C" w14:textId="77777777" w:rsidR="00C6603A" w:rsidRPr="00C6603A" w:rsidRDefault="00C6603A">
            <w:pPr>
              <w:pStyle w:val="Compact"/>
              <w:rPr>
                <w:sz w:val="18"/>
                <w:szCs w:val="18"/>
              </w:rPr>
            </w:pPr>
            <w:r w:rsidRPr="00C6603A">
              <w:rPr>
                <w:sz w:val="18"/>
                <w:szCs w:val="18"/>
              </w:rPr>
              <w:t>degrees</w:t>
            </w:r>
          </w:p>
        </w:tc>
        <w:tc>
          <w:tcPr>
            <w:tcW w:w="803" w:type="dxa"/>
          </w:tcPr>
          <w:p w14:paraId="7B62D606" w14:textId="77777777" w:rsidR="00C6603A" w:rsidRPr="00C6603A" w:rsidRDefault="00C6603A">
            <w:pPr>
              <w:pStyle w:val="Compact"/>
              <w:jc w:val="right"/>
              <w:rPr>
                <w:sz w:val="18"/>
                <w:szCs w:val="18"/>
              </w:rPr>
            </w:pPr>
            <w:r w:rsidRPr="00C6603A">
              <w:rPr>
                <w:sz w:val="18"/>
                <w:szCs w:val="18"/>
              </w:rPr>
              <w:t>47</w:t>
            </w:r>
          </w:p>
        </w:tc>
        <w:tc>
          <w:tcPr>
            <w:tcW w:w="803" w:type="dxa"/>
          </w:tcPr>
          <w:p w14:paraId="19B9A5E2" w14:textId="77777777" w:rsidR="00C6603A" w:rsidRPr="00C6603A" w:rsidRDefault="00C6603A">
            <w:pPr>
              <w:pStyle w:val="Compact"/>
              <w:jc w:val="right"/>
              <w:rPr>
                <w:sz w:val="18"/>
                <w:szCs w:val="18"/>
              </w:rPr>
            </w:pPr>
            <w:r w:rsidRPr="00C6603A">
              <w:rPr>
                <w:sz w:val="18"/>
                <w:szCs w:val="18"/>
              </w:rPr>
              <w:t>8.57</w:t>
            </w:r>
          </w:p>
        </w:tc>
        <w:tc>
          <w:tcPr>
            <w:tcW w:w="804" w:type="dxa"/>
          </w:tcPr>
          <w:p w14:paraId="021D92C4" w14:textId="77777777" w:rsidR="00C6603A" w:rsidRPr="00C6603A" w:rsidRDefault="00C6603A">
            <w:pPr>
              <w:pStyle w:val="Compact"/>
              <w:jc w:val="right"/>
              <w:rPr>
                <w:sz w:val="18"/>
                <w:szCs w:val="18"/>
              </w:rPr>
            </w:pPr>
            <w:r w:rsidRPr="00C6603A">
              <w:rPr>
                <w:sz w:val="18"/>
                <w:szCs w:val="18"/>
              </w:rPr>
              <w:t>3.16</w:t>
            </w:r>
          </w:p>
        </w:tc>
        <w:tc>
          <w:tcPr>
            <w:tcW w:w="804" w:type="dxa"/>
          </w:tcPr>
          <w:p w14:paraId="14D5FA7E" w14:textId="0E1F694D" w:rsidR="00C6603A" w:rsidRPr="00C6603A" w:rsidRDefault="00C6603A">
            <w:pPr>
              <w:pStyle w:val="Compact"/>
              <w:jc w:val="right"/>
              <w:rPr>
                <w:sz w:val="18"/>
                <w:szCs w:val="18"/>
                <w:lang w:eastAsia="ja-JP"/>
              </w:rPr>
            </w:pPr>
            <w:r w:rsidRPr="00C6603A">
              <w:rPr>
                <w:rFonts w:hint="eastAsia"/>
                <w:sz w:val="18"/>
                <w:szCs w:val="18"/>
                <w:lang w:eastAsia="ja-JP"/>
              </w:rPr>
              <w:t>8.36</w:t>
            </w:r>
          </w:p>
        </w:tc>
        <w:tc>
          <w:tcPr>
            <w:tcW w:w="804" w:type="dxa"/>
          </w:tcPr>
          <w:p w14:paraId="5EE0AE85" w14:textId="02FA884C" w:rsidR="00C6603A" w:rsidRPr="00C6603A" w:rsidRDefault="00C6603A">
            <w:pPr>
              <w:pStyle w:val="Compact"/>
              <w:jc w:val="right"/>
              <w:rPr>
                <w:sz w:val="18"/>
                <w:szCs w:val="18"/>
                <w:lang w:eastAsia="ja-JP"/>
              </w:rPr>
            </w:pPr>
            <w:r>
              <w:rPr>
                <w:rFonts w:hint="eastAsia"/>
                <w:sz w:val="18"/>
                <w:szCs w:val="18"/>
                <w:lang w:eastAsia="ja-JP"/>
              </w:rPr>
              <w:t>6.56</w:t>
            </w:r>
          </w:p>
        </w:tc>
        <w:tc>
          <w:tcPr>
            <w:tcW w:w="804" w:type="dxa"/>
          </w:tcPr>
          <w:p w14:paraId="36BEF9DB" w14:textId="000D7293" w:rsidR="00C6603A" w:rsidRPr="00C6603A" w:rsidRDefault="00C6603A">
            <w:pPr>
              <w:pStyle w:val="Compact"/>
              <w:jc w:val="right"/>
              <w:rPr>
                <w:sz w:val="18"/>
                <w:szCs w:val="18"/>
                <w:lang w:eastAsia="ja-JP"/>
              </w:rPr>
            </w:pPr>
            <w:r>
              <w:rPr>
                <w:rFonts w:hint="eastAsia"/>
                <w:sz w:val="18"/>
                <w:szCs w:val="18"/>
                <w:lang w:eastAsia="ja-JP"/>
              </w:rPr>
              <w:t>10.95</w:t>
            </w:r>
          </w:p>
        </w:tc>
        <w:tc>
          <w:tcPr>
            <w:tcW w:w="804" w:type="dxa"/>
          </w:tcPr>
          <w:p w14:paraId="43941D81" w14:textId="4A54EAC2" w:rsidR="00C6603A" w:rsidRPr="00C6603A" w:rsidRDefault="00C6603A">
            <w:pPr>
              <w:pStyle w:val="Compact"/>
              <w:jc w:val="right"/>
              <w:rPr>
                <w:sz w:val="18"/>
                <w:szCs w:val="18"/>
              </w:rPr>
            </w:pPr>
            <w:r w:rsidRPr="00C6603A">
              <w:rPr>
                <w:sz w:val="18"/>
                <w:szCs w:val="18"/>
              </w:rPr>
              <w:t>1.81</w:t>
            </w:r>
          </w:p>
        </w:tc>
        <w:tc>
          <w:tcPr>
            <w:tcW w:w="804" w:type="dxa"/>
          </w:tcPr>
          <w:p w14:paraId="243CAF77" w14:textId="2557CFB8" w:rsidR="00C6603A" w:rsidRPr="00C6603A" w:rsidRDefault="00C6603A">
            <w:pPr>
              <w:pStyle w:val="Compact"/>
              <w:jc w:val="right"/>
              <w:rPr>
                <w:sz w:val="18"/>
                <w:szCs w:val="18"/>
              </w:rPr>
            </w:pPr>
          </w:p>
        </w:tc>
        <w:tc>
          <w:tcPr>
            <w:tcW w:w="804" w:type="dxa"/>
          </w:tcPr>
          <w:p w14:paraId="47242B4B" w14:textId="77777777" w:rsidR="00C6603A" w:rsidRPr="00C6603A" w:rsidRDefault="00C6603A">
            <w:pPr>
              <w:pStyle w:val="Compact"/>
              <w:jc w:val="right"/>
              <w:rPr>
                <w:sz w:val="18"/>
                <w:szCs w:val="18"/>
              </w:rPr>
            </w:pPr>
            <w:r w:rsidRPr="00C6603A">
              <w:rPr>
                <w:sz w:val="18"/>
                <w:szCs w:val="18"/>
              </w:rPr>
              <w:t>15.43</w:t>
            </w:r>
          </w:p>
        </w:tc>
      </w:tr>
      <w:tr w:rsidR="00C6603A" w14:paraId="49560B55" w14:textId="77777777" w:rsidTr="00C6603A">
        <w:tc>
          <w:tcPr>
            <w:tcW w:w="802" w:type="dxa"/>
          </w:tcPr>
          <w:p w14:paraId="27E3F83F" w14:textId="77777777" w:rsidR="00C6603A" w:rsidRPr="00C6603A" w:rsidRDefault="00C6603A">
            <w:pPr>
              <w:pStyle w:val="Compact"/>
              <w:rPr>
                <w:sz w:val="18"/>
                <w:szCs w:val="18"/>
              </w:rPr>
            </w:pPr>
            <w:r w:rsidRPr="00C6603A">
              <w:rPr>
                <w:sz w:val="18"/>
                <w:szCs w:val="18"/>
              </w:rPr>
              <w:t>Simple mean slope</w:t>
            </w:r>
          </w:p>
        </w:tc>
        <w:tc>
          <w:tcPr>
            <w:tcW w:w="802" w:type="dxa"/>
          </w:tcPr>
          <w:p w14:paraId="6FB7584F" w14:textId="77777777" w:rsidR="00C6603A" w:rsidRPr="00C6603A" w:rsidRDefault="00C6603A">
            <w:pPr>
              <w:pStyle w:val="Compact"/>
              <w:rPr>
                <w:sz w:val="18"/>
                <w:szCs w:val="18"/>
              </w:rPr>
            </w:pPr>
            <w:r w:rsidRPr="00C6603A">
              <w:rPr>
                <w:sz w:val="18"/>
                <w:szCs w:val="18"/>
              </w:rPr>
              <w:t>degrees</w:t>
            </w:r>
          </w:p>
        </w:tc>
        <w:tc>
          <w:tcPr>
            <w:tcW w:w="803" w:type="dxa"/>
          </w:tcPr>
          <w:p w14:paraId="67C3BD37" w14:textId="77777777" w:rsidR="00C6603A" w:rsidRPr="00C6603A" w:rsidRDefault="00C6603A">
            <w:pPr>
              <w:pStyle w:val="Compact"/>
              <w:jc w:val="right"/>
              <w:rPr>
                <w:sz w:val="18"/>
                <w:szCs w:val="18"/>
              </w:rPr>
            </w:pPr>
            <w:r w:rsidRPr="00C6603A">
              <w:rPr>
                <w:sz w:val="18"/>
                <w:szCs w:val="18"/>
              </w:rPr>
              <w:t>47</w:t>
            </w:r>
          </w:p>
        </w:tc>
        <w:tc>
          <w:tcPr>
            <w:tcW w:w="803" w:type="dxa"/>
          </w:tcPr>
          <w:p w14:paraId="5B3EE42F" w14:textId="77777777" w:rsidR="00C6603A" w:rsidRPr="00C6603A" w:rsidRDefault="00C6603A">
            <w:pPr>
              <w:pStyle w:val="Compact"/>
              <w:jc w:val="right"/>
              <w:rPr>
                <w:sz w:val="18"/>
                <w:szCs w:val="18"/>
              </w:rPr>
            </w:pPr>
            <w:r w:rsidRPr="00C6603A">
              <w:rPr>
                <w:sz w:val="18"/>
                <w:szCs w:val="18"/>
              </w:rPr>
              <w:t>8.28</w:t>
            </w:r>
          </w:p>
        </w:tc>
        <w:tc>
          <w:tcPr>
            <w:tcW w:w="804" w:type="dxa"/>
          </w:tcPr>
          <w:p w14:paraId="16C4CCEC" w14:textId="77777777" w:rsidR="00C6603A" w:rsidRPr="00C6603A" w:rsidRDefault="00C6603A">
            <w:pPr>
              <w:pStyle w:val="Compact"/>
              <w:jc w:val="right"/>
              <w:rPr>
                <w:sz w:val="18"/>
                <w:szCs w:val="18"/>
              </w:rPr>
            </w:pPr>
            <w:r w:rsidRPr="00C6603A">
              <w:rPr>
                <w:sz w:val="18"/>
                <w:szCs w:val="18"/>
              </w:rPr>
              <w:t>2.90</w:t>
            </w:r>
          </w:p>
        </w:tc>
        <w:tc>
          <w:tcPr>
            <w:tcW w:w="804" w:type="dxa"/>
          </w:tcPr>
          <w:p w14:paraId="0323BE33" w14:textId="29812711" w:rsidR="00C6603A" w:rsidRPr="00C6603A" w:rsidRDefault="00C6603A">
            <w:pPr>
              <w:pStyle w:val="Compact"/>
              <w:jc w:val="right"/>
              <w:rPr>
                <w:sz w:val="18"/>
                <w:szCs w:val="18"/>
                <w:lang w:eastAsia="ja-JP"/>
              </w:rPr>
            </w:pPr>
            <w:r w:rsidRPr="00C6603A">
              <w:rPr>
                <w:rFonts w:hint="eastAsia"/>
                <w:sz w:val="18"/>
                <w:szCs w:val="18"/>
                <w:lang w:eastAsia="ja-JP"/>
              </w:rPr>
              <w:t>8.18</w:t>
            </w:r>
          </w:p>
        </w:tc>
        <w:tc>
          <w:tcPr>
            <w:tcW w:w="804" w:type="dxa"/>
          </w:tcPr>
          <w:p w14:paraId="08C2E595" w14:textId="32BAFC86" w:rsidR="00C6603A" w:rsidRPr="00C6603A" w:rsidRDefault="00C6603A">
            <w:pPr>
              <w:pStyle w:val="Compact"/>
              <w:jc w:val="right"/>
              <w:rPr>
                <w:sz w:val="18"/>
                <w:szCs w:val="18"/>
                <w:lang w:eastAsia="ja-JP"/>
              </w:rPr>
            </w:pPr>
            <w:r>
              <w:rPr>
                <w:rFonts w:hint="eastAsia"/>
                <w:sz w:val="18"/>
                <w:szCs w:val="18"/>
                <w:lang w:eastAsia="ja-JP"/>
              </w:rPr>
              <w:t>6.37</w:t>
            </w:r>
          </w:p>
        </w:tc>
        <w:tc>
          <w:tcPr>
            <w:tcW w:w="804" w:type="dxa"/>
          </w:tcPr>
          <w:p w14:paraId="017A2AA3" w14:textId="27762442" w:rsidR="00C6603A" w:rsidRPr="00C6603A" w:rsidRDefault="00C6603A">
            <w:pPr>
              <w:pStyle w:val="Compact"/>
              <w:jc w:val="right"/>
              <w:rPr>
                <w:sz w:val="18"/>
                <w:szCs w:val="18"/>
                <w:lang w:eastAsia="ja-JP"/>
              </w:rPr>
            </w:pPr>
            <w:r>
              <w:rPr>
                <w:rFonts w:hint="eastAsia"/>
                <w:sz w:val="18"/>
                <w:szCs w:val="18"/>
                <w:lang w:eastAsia="ja-JP"/>
              </w:rPr>
              <w:t>10.24</w:t>
            </w:r>
          </w:p>
        </w:tc>
        <w:tc>
          <w:tcPr>
            <w:tcW w:w="804" w:type="dxa"/>
          </w:tcPr>
          <w:p w14:paraId="16F63827" w14:textId="5784172E" w:rsidR="00C6603A" w:rsidRPr="00C6603A" w:rsidRDefault="00C6603A">
            <w:pPr>
              <w:pStyle w:val="Compact"/>
              <w:jc w:val="right"/>
              <w:rPr>
                <w:sz w:val="18"/>
                <w:szCs w:val="18"/>
              </w:rPr>
            </w:pPr>
            <w:r w:rsidRPr="00C6603A">
              <w:rPr>
                <w:sz w:val="18"/>
                <w:szCs w:val="18"/>
              </w:rPr>
              <w:t>1.88</w:t>
            </w:r>
          </w:p>
        </w:tc>
        <w:tc>
          <w:tcPr>
            <w:tcW w:w="804" w:type="dxa"/>
          </w:tcPr>
          <w:p w14:paraId="7ED4EF67" w14:textId="34C8987E" w:rsidR="00C6603A" w:rsidRPr="00C6603A" w:rsidRDefault="00C6603A">
            <w:pPr>
              <w:pStyle w:val="Compact"/>
              <w:jc w:val="right"/>
              <w:rPr>
                <w:sz w:val="18"/>
                <w:szCs w:val="18"/>
              </w:rPr>
            </w:pPr>
          </w:p>
        </w:tc>
        <w:tc>
          <w:tcPr>
            <w:tcW w:w="804" w:type="dxa"/>
          </w:tcPr>
          <w:p w14:paraId="49F14E4F" w14:textId="77777777" w:rsidR="00C6603A" w:rsidRPr="00C6603A" w:rsidRDefault="00C6603A">
            <w:pPr>
              <w:pStyle w:val="Compact"/>
              <w:jc w:val="right"/>
              <w:rPr>
                <w:sz w:val="18"/>
                <w:szCs w:val="18"/>
              </w:rPr>
            </w:pPr>
            <w:r w:rsidRPr="00C6603A">
              <w:rPr>
                <w:sz w:val="18"/>
                <w:szCs w:val="18"/>
              </w:rPr>
              <w:t>14.22</w:t>
            </w:r>
          </w:p>
        </w:tc>
      </w:tr>
      <w:tr w:rsidR="00C6603A" w14:paraId="7162947B" w14:textId="77777777" w:rsidTr="00C6603A">
        <w:tc>
          <w:tcPr>
            <w:tcW w:w="802"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02" w:type="dxa"/>
          </w:tcPr>
          <w:p w14:paraId="11C40A3B" w14:textId="77777777" w:rsidR="00C6603A" w:rsidRPr="00C6603A" w:rsidRDefault="00C6603A">
            <w:pPr>
              <w:pStyle w:val="Compact"/>
              <w:rPr>
                <w:sz w:val="18"/>
                <w:szCs w:val="18"/>
              </w:rPr>
            </w:pPr>
          </w:p>
        </w:tc>
        <w:tc>
          <w:tcPr>
            <w:tcW w:w="803" w:type="dxa"/>
          </w:tcPr>
          <w:p w14:paraId="28C93946" w14:textId="77777777" w:rsidR="00C6603A" w:rsidRPr="00C6603A" w:rsidRDefault="00C6603A">
            <w:pPr>
              <w:pStyle w:val="Compact"/>
              <w:rPr>
                <w:sz w:val="18"/>
                <w:szCs w:val="18"/>
              </w:rPr>
            </w:pPr>
          </w:p>
        </w:tc>
        <w:tc>
          <w:tcPr>
            <w:tcW w:w="803" w:type="dxa"/>
          </w:tcPr>
          <w:p w14:paraId="4AA702FA" w14:textId="77777777" w:rsidR="00C6603A" w:rsidRPr="00C6603A" w:rsidRDefault="00C6603A">
            <w:pPr>
              <w:pStyle w:val="Compact"/>
              <w:rPr>
                <w:sz w:val="18"/>
                <w:szCs w:val="18"/>
              </w:rPr>
            </w:pPr>
          </w:p>
        </w:tc>
        <w:tc>
          <w:tcPr>
            <w:tcW w:w="804" w:type="dxa"/>
          </w:tcPr>
          <w:p w14:paraId="042A14C7" w14:textId="77777777" w:rsidR="00C6603A" w:rsidRPr="00C6603A" w:rsidRDefault="00C6603A">
            <w:pPr>
              <w:pStyle w:val="Compact"/>
              <w:rPr>
                <w:sz w:val="18"/>
                <w:szCs w:val="18"/>
              </w:rPr>
            </w:pPr>
          </w:p>
        </w:tc>
        <w:tc>
          <w:tcPr>
            <w:tcW w:w="804" w:type="dxa"/>
          </w:tcPr>
          <w:p w14:paraId="1286A1A9" w14:textId="77777777" w:rsidR="00C6603A" w:rsidRPr="00C6603A" w:rsidRDefault="00C6603A">
            <w:pPr>
              <w:pStyle w:val="Compact"/>
              <w:rPr>
                <w:sz w:val="18"/>
                <w:szCs w:val="18"/>
              </w:rPr>
            </w:pPr>
          </w:p>
        </w:tc>
        <w:tc>
          <w:tcPr>
            <w:tcW w:w="804" w:type="dxa"/>
          </w:tcPr>
          <w:p w14:paraId="46B3FE5D" w14:textId="77777777" w:rsidR="00C6603A" w:rsidRPr="00C6603A" w:rsidRDefault="00C6603A">
            <w:pPr>
              <w:pStyle w:val="Compact"/>
              <w:rPr>
                <w:sz w:val="18"/>
                <w:szCs w:val="18"/>
              </w:rPr>
            </w:pPr>
          </w:p>
        </w:tc>
        <w:tc>
          <w:tcPr>
            <w:tcW w:w="804" w:type="dxa"/>
          </w:tcPr>
          <w:p w14:paraId="2B7904A8" w14:textId="77777777" w:rsidR="00C6603A" w:rsidRPr="00C6603A" w:rsidRDefault="00C6603A">
            <w:pPr>
              <w:pStyle w:val="Compact"/>
              <w:rPr>
                <w:sz w:val="18"/>
                <w:szCs w:val="18"/>
              </w:rPr>
            </w:pPr>
          </w:p>
        </w:tc>
        <w:tc>
          <w:tcPr>
            <w:tcW w:w="804" w:type="dxa"/>
          </w:tcPr>
          <w:p w14:paraId="5D6BD59B" w14:textId="46C26A68" w:rsidR="00C6603A" w:rsidRPr="00C6603A" w:rsidRDefault="00C6603A">
            <w:pPr>
              <w:pStyle w:val="Compact"/>
              <w:rPr>
                <w:sz w:val="18"/>
                <w:szCs w:val="18"/>
              </w:rPr>
            </w:pPr>
          </w:p>
        </w:tc>
        <w:tc>
          <w:tcPr>
            <w:tcW w:w="804" w:type="dxa"/>
          </w:tcPr>
          <w:p w14:paraId="0CEE87CF" w14:textId="77777777" w:rsidR="00C6603A" w:rsidRPr="00C6603A" w:rsidRDefault="00C6603A">
            <w:pPr>
              <w:pStyle w:val="Compact"/>
              <w:rPr>
                <w:sz w:val="18"/>
                <w:szCs w:val="18"/>
              </w:rPr>
            </w:pPr>
          </w:p>
        </w:tc>
        <w:tc>
          <w:tcPr>
            <w:tcW w:w="804" w:type="dxa"/>
          </w:tcPr>
          <w:p w14:paraId="35DCC446" w14:textId="77777777" w:rsidR="00C6603A" w:rsidRPr="00C6603A" w:rsidRDefault="00C6603A">
            <w:pPr>
              <w:pStyle w:val="Compact"/>
              <w:rPr>
                <w:sz w:val="18"/>
                <w:szCs w:val="18"/>
              </w:rPr>
            </w:pPr>
          </w:p>
        </w:tc>
      </w:tr>
      <w:tr w:rsidR="00C6603A" w14:paraId="5EB0491F" w14:textId="77777777" w:rsidTr="00C6603A">
        <w:tc>
          <w:tcPr>
            <w:tcW w:w="802" w:type="dxa"/>
          </w:tcPr>
          <w:p w14:paraId="6DE737D4" w14:textId="77777777" w:rsidR="00C6603A" w:rsidRPr="00C6603A" w:rsidRDefault="00C6603A">
            <w:pPr>
              <w:pStyle w:val="Compact"/>
              <w:rPr>
                <w:sz w:val="18"/>
                <w:szCs w:val="18"/>
              </w:rPr>
            </w:pPr>
            <w:r w:rsidRPr="00C6603A">
              <w:rPr>
                <w:sz w:val="18"/>
                <w:szCs w:val="18"/>
              </w:rPr>
              <w:lastRenderedPageBreak/>
              <w:t>Aging rate (≥65 years)</w:t>
            </w:r>
          </w:p>
        </w:tc>
        <w:tc>
          <w:tcPr>
            <w:tcW w:w="802" w:type="dxa"/>
          </w:tcPr>
          <w:p w14:paraId="5A55B7AD" w14:textId="77777777" w:rsidR="00C6603A" w:rsidRPr="00C6603A" w:rsidRDefault="00C6603A">
            <w:pPr>
              <w:pStyle w:val="Compact"/>
              <w:rPr>
                <w:sz w:val="18"/>
                <w:szCs w:val="18"/>
              </w:rPr>
            </w:pPr>
            <w:r w:rsidRPr="00C6603A">
              <w:rPr>
                <w:sz w:val="18"/>
                <w:szCs w:val="18"/>
              </w:rPr>
              <w:t>%</w:t>
            </w:r>
          </w:p>
        </w:tc>
        <w:tc>
          <w:tcPr>
            <w:tcW w:w="803" w:type="dxa"/>
          </w:tcPr>
          <w:p w14:paraId="257444D6" w14:textId="77777777" w:rsidR="00C6603A" w:rsidRPr="00C6603A" w:rsidRDefault="00C6603A">
            <w:pPr>
              <w:pStyle w:val="Compact"/>
              <w:jc w:val="right"/>
              <w:rPr>
                <w:sz w:val="18"/>
                <w:szCs w:val="18"/>
              </w:rPr>
            </w:pPr>
            <w:r w:rsidRPr="00C6603A">
              <w:rPr>
                <w:sz w:val="18"/>
                <w:szCs w:val="18"/>
              </w:rPr>
              <w:t>47</w:t>
            </w:r>
          </w:p>
        </w:tc>
        <w:tc>
          <w:tcPr>
            <w:tcW w:w="803" w:type="dxa"/>
          </w:tcPr>
          <w:p w14:paraId="7881892D" w14:textId="77777777" w:rsidR="00C6603A" w:rsidRPr="00C6603A" w:rsidRDefault="00C6603A">
            <w:pPr>
              <w:pStyle w:val="Compact"/>
              <w:jc w:val="right"/>
              <w:rPr>
                <w:sz w:val="18"/>
                <w:szCs w:val="18"/>
              </w:rPr>
            </w:pPr>
            <w:r w:rsidRPr="00C6603A">
              <w:rPr>
                <w:sz w:val="18"/>
                <w:szCs w:val="18"/>
              </w:rPr>
              <w:t>30.74</w:t>
            </w:r>
          </w:p>
        </w:tc>
        <w:tc>
          <w:tcPr>
            <w:tcW w:w="804" w:type="dxa"/>
          </w:tcPr>
          <w:p w14:paraId="1C786F79" w14:textId="77777777" w:rsidR="00C6603A" w:rsidRPr="00C6603A" w:rsidRDefault="00C6603A">
            <w:pPr>
              <w:pStyle w:val="Compact"/>
              <w:jc w:val="right"/>
              <w:rPr>
                <w:sz w:val="18"/>
                <w:szCs w:val="18"/>
              </w:rPr>
            </w:pPr>
            <w:r w:rsidRPr="00C6603A">
              <w:rPr>
                <w:sz w:val="18"/>
                <w:szCs w:val="18"/>
              </w:rPr>
              <w:t>3.10</w:t>
            </w:r>
          </w:p>
        </w:tc>
        <w:tc>
          <w:tcPr>
            <w:tcW w:w="804" w:type="dxa"/>
          </w:tcPr>
          <w:p w14:paraId="2FE03044" w14:textId="4D33706A" w:rsidR="00C6603A" w:rsidRPr="00C6603A" w:rsidRDefault="00C6603A">
            <w:pPr>
              <w:pStyle w:val="Compact"/>
              <w:jc w:val="right"/>
              <w:rPr>
                <w:sz w:val="18"/>
                <w:szCs w:val="18"/>
                <w:lang w:eastAsia="ja-JP"/>
              </w:rPr>
            </w:pPr>
            <w:r w:rsidRPr="00C6603A">
              <w:rPr>
                <w:rFonts w:hint="eastAsia"/>
                <w:sz w:val="18"/>
                <w:szCs w:val="18"/>
                <w:lang w:eastAsia="ja-JP"/>
              </w:rPr>
              <w:t>31.26</w:t>
            </w:r>
          </w:p>
        </w:tc>
        <w:tc>
          <w:tcPr>
            <w:tcW w:w="804" w:type="dxa"/>
          </w:tcPr>
          <w:p w14:paraId="54FE8543" w14:textId="1C3A28A6" w:rsidR="00C6603A" w:rsidRPr="00C6603A" w:rsidRDefault="00C6603A">
            <w:pPr>
              <w:pStyle w:val="Compact"/>
              <w:jc w:val="right"/>
              <w:rPr>
                <w:sz w:val="18"/>
                <w:szCs w:val="18"/>
                <w:lang w:eastAsia="ja-JP"/>
              </w:rPr>
            </w:pPr>
            <w:r>
              <w:rPr>
                <w:rFonts w:hint="eastAsia"/>
                <w:sz w:val="18"/>
                <w:szCs w:val="18"/>
                <w:lang w:eastAsia="ja-JP"/>
              </w:rPr>
              <w:t>29.28</w:t>
            </w:r>
          </w:p>
        </w:tc>
        <w:tc>
          <w:tcPr>
            <w:tcW w:w="804" w:type="dxa"/>
          </w:tcPr>
          <w:p w14:paraId="0E628229" w14:textId="172CA565" w:rsidR="00C6603A" w:rsidRPr="00C6603A" w:rsidRDefault="00C6603A">
            <w:pPr>
              <w:pStyle w:val="Compact"/>
              <w:jc w:val="right"/>
              <w:rPr>
                <w:sz w:val="18"/>
                <w:szCs w:val="18"/>
                <w:lang w:eastAsia="ja-JP"/>
              </w:rPr>
            </w:pPr>
            <w:r>
              <w:rPr>
                <w:rFonts w:hint="eastAsia"/>
                <w:sz w:val="18"/>
                <w:szCs w:val="18"/>
                <w:lang w:eastAsia="ja-JP"/>
              </w:rPr>
              <w:t>32.88</w:t>
            </w:r>
          </w:p>
        </w:tc>
        <w:tc>
          <w:tcPr>
            <w:tcW w:w="804" w:type="dxa"/>
          </w:tcPr>
          <w:p w14:paraId="53592CA1" w14:textId="5CB45D0C" w:rsidR="00C6603A" w:rsidRPr="00C6603A" w:rsidRDefault="00C6603A">
            <w:pPr>
              <w:pStyle w:val="Compact"/>
              <w:jc w:val="right"/>
              <w:rPr>
                <w:sz w:val="18"/>
                <w:szCs w:val="18"/>
              </w:rPr>
            </w:pPr>
            <w:r w:rsidRPr="00C6603A">
              <w:rPr>
                <w:sz w:val="18"/>
                <w:szCs w:val="18"/>
              </w:rPr>
              <w:t>22.61</w:t>
            </w:r>
          </w:p>
        </w:tc>
        <w:tc>
          <w:tcPr>
            <w:tcW w:w="804" w:type="dxa"/>
          </w:tcPr>
          <w:p w14:paraId="1F11F4C2" w14:textId="0E8EDAAA" w:rsidR="00C6603A" w:rsidRPr="00C6603A" w:rsidRDefault="00C6603A">
            <w:pPr>
              <w:pStyle w:val="Compact"/>
              <w:jc w:val="right"/>
              <w:rPr>
                <w:sz w:val="18"/>
                <w:szCs w:val="18"/>
              </w:rPr>
            </w:pPr>
          </w:p>
        </w:tc>
        <w:tc>
          <w:tcPr>
            <w:tcW w:w="804" w:type="dxa"/>
          </w:tcPr>
          <w:p w14:paraId="0EE768E8" w14:textId="77777777" w:rsidR="00C6603A" w:rsidRPr="00C6603A" w:rsidRDefault="00C6603A">
            <w:pPr>
              <w:pStyle w:val="Compact"/>
              <w:jc w:val="right"/>
              <w:rPr>
                <w:sz w:val="18"/>
                <w:szCs w:val="18"/>
              </w:rPr>
            </w:pPr>
            <w:r w:rsidRPr="00C6603A">
              <w:rPr>
                <w:sz w:val="18"/>
                <w:szCs w:val="18"/>
              </w:rPr>
              <w:t>36.45</w:t>
            </w:r>
          </w:p>
        </w:tc>
      </w:tr>
      <w:tr w:rsidR="00C6603A" w14:paraId="15852BC5" w14:textId="77777777" w:rsidTr="00C6603A">
        <w:tc>
          <w:tcPr>
            <w:tcW w:w="802" w:type="dxa"/>
          </w:tcPr>
          <w:p w14:paraId="2BF216FC" w14:textId="77777777" w:rsidR="00C6603A" w:rsidRPr="00C6603A" w:rsidRDefault="00C6603A">
            <w:pPr>
              <w:pStyle w:val="Compact"/>
              <w:rPr>
                <w:sz w:val="18"/>
                <w:szCs w:val="18"/>
              </w:rPr>
            </w:pPr>
            <w:r w:rsidRPr="00C6603A">
              <w:rPr>
                <w:sz w:val="18"/>
                <w:szCs w:val="18"/>
              </w:rPr>
              <w:t>Fast walking rate</w:t>
            </w:r>
          </w:p>
        </w:tc>
        <w:tc>
          <w:tcPr>
            <w:tcW w:w="802" w:type="dxa"/>
          </w:tcPr>
          <w:p w14:paraId="01688A88" w14:textId="77777777" w:rsidR="00C6603A" w:rsidRPr="00C6603A" w:rsidRDefault="00C6603A">
            <w:pPr>
              <w:pStyle w:val="Compact"/>
              <w:rPr>
                <w:sz w:val="18"/>
                <w:szCs w:val="18"/>
              </w:rPr>
            </w:pPr>
            <w:r w:rsidRPr="00C6603A">
              <w:rPr>
                <w:sz w:val="18"/>
                <w:szCs w:val="18"/>
              </w:rPr>
              <w:t>%</w:t>
            </w:r>
          </w:p>
        </w:tc>
        <w:tc>
          <w:tcPr>
            <w:tcW w:w="803" w:type="dxa"/>
          </w:tcPr>
          <w:p w14:paraId="229733BD" w14:textId="77777777" w:rsidR="00C6603A" w:rsidRPr="00C6603A" w:rsidRDefault="00C6603A">
            <w:pPr>
              <w:pStyle w:val="Compact"/>
              <w:jc w:val="right"/>
              <w:rPr>
                <w:sz w:val="18"/>
                <w:szCs w:val="18"/>
              </w:rPr>
            </w:pPr>
            <w:r w:rsidRPr="00C6603A">
              <w:rPr>
                <w:sz w:val="18"/>
                <w:szCs w:val="18"/>
              </w:rPr>
              <w:t>47</w:t>
            </w:r>
          </w:p>
        </w:tc>
        <w:tc>
          <w:tcPr>
            <w:tcW w:w="803" w:type="dxa"/>
          </w:tcPr>
          <w:p w14:paraId="1DA89335" w14:textId="77777777" w:rsidR="00C6603A" w:rsidRPr="00C6603A" w:rsidRDefault="00C6603A">
            <w:pPr>
              <w:pStyle w:val="Compact"/>
              <w:jc w:val="right"/>
              <w:rPr>
                <w:sz w:val="18"/>
                <w:szCs w:val="18"/>
              </w:rPr>
            </w:pPr>
            <w:r w:rsidRPr="00C6603A">
              <w:rPr>
                <w:sz w:val="18"/>
                <w:szCs w:val="18"/>
              </w:rPr>
              <w:t>48.62</w:t>
            </w:r>
          </w:p>
        </w:tc>
        <w:tc>
          <w:tcPr>
            <w:tcW w:w="804" w:type="dxa"/>
          </w:tcPr>
          <w:p w14:paraId="67242A69" w14:textId="77777777" w:rsidR="00C6603A" w:rsidRPr="00C6603A" w:rsidRDefault="00C6603A">
            <w:pPr>
              <w:pStyle w:val="Compact"/>
              <w:jc w:val="right"/>
              <w:rPr>
                <w:sz w:val="18"/>
                <w:szCs w:val="18"/>
              </w:rPr>
            </w:pPr>
            <w:r w:rsidRPr="00C6603A">
              <w:rPr>
                <w:sz w:val="18"/>
                <w:szCs w:val="18"/>
              </w:rPr>
              <w:t>4.34</w:t>
            </w:r>
          </w:p>
        </w:tc>
        <w:tc>
          <w:tcPr>
            <w:tcW w:w="804" w:type="dxa"/>
          </w:tcPr>
          <w:p w14:paraId="47106813" w14:textId="617D6530" w:rsidR="00C6603A" w:rsidRPr="00C6603A" w:rsidRDefault="00C6603A">
            <w:pPr>
              <w:pStyle w:val="Compact"/>
              <w:jc w:val="right"/>
              <w:rPr>
                <w:sz w:val="18"/>
                <w:szCs w:val="18"/>
                <w:lang w:eastAsia="ja-JP"/>
              </w:rPr>
            </w:pPr>
            <w:r w:rsidRPr="00C6603A">
              <w:rPr>
                <w:rFonts w:hint="eastAsia"/>
                <w:sz w:val="18"/>
                <w:szCs w:val="18"/>
                <w:lang w:eastAsia="ja-JP"/>
              </w:rPr>
              <w:t>49.23</w:t>
            </w:r>
          </w:p>
        </w:tc>
        <w:tc>
          <w:tcPr>
            <w:tcW w:w="804" w:type="dxa"/>
          </w:tcPr>
          <w:p w14:paraId="3954F697" w14:textId="1BFE327F" w:rsidR="00C6603A" w:rsidRPr="00C6603A" w:rsidRDefault="00C6603A">
            <w:pPr>
              <w:pStyle w:val="Compact"/>
              <w:jc w:val="right"/>
              <w:rPr>
                <w:sz w:val="18"/>
                <w:szCs w:val="18"/>
                <w:lang w:eastAsia="ja-JP"/>
              </w:rPr>
            </w:pPr>
            <w:r>
              <w:rPr>
                <w:rFonts w:hint="eastAsia"/>
                <w:sz w:val="18"/>
                <w:szCs w:val="18"/>
                <w:lang w:eastAsia="ja-JP"/>
              </w:rPr>
              <w:t>46.23</w:t>
            </w:r>
          </w:p>
        </w:tc>
        <w:tc>
          <w:tcPr>
            <w:tcW w:w="804" w:type="dxa"/>
          </w:tcPr>
          <w:p w14:paraId="3EDA2941" w14:textId="0C13EC8F" w:rsidR="00C6603A" w:rsidRPr="00C6603A" w:rsidRDefault="00C6603A">
            <w:pPr>
              <w:pStyle w:val="Compact"/>
              <w:jc w:val="right"/>
              <w:rPr>
                <w:sz w:val="18"/>
                <w:szCs w:val="18"/>
                <w:lang w:eastAsia="ja-JP"/>
              </w:rPr>
            </w:pPr>
            <w:r>
              <w:rPr>
                <w:rFonts w:hint="eastAsia"/>
                <w:sz w:val="18"/>
                <w:szCs w:val="18"/>
                <w:lang w:eastAsia="ja-JP"/>
              </w:rPr>
              <w:t>51.22</w:t>
            </w:r>
          </w:p>
        </w:tc>
        <w:tc>
          <w:tcPr>
            <w:tcW w:w="804" w:type="dxa"/>
          </w:tcPr>
          <w:p w14:paraId="717BF1A5" w14:textId="7428087A" w:rsidR="00C6603A" w:rsidRPr="00C6603A" w:rsidRDefault="00C6603A">
            <w:pPr>
              <w:pStyle w:val="Compact"/>
              <w:jc w:val="right"/>
              <w:rPr>
                <w:sz w:val="18"/>
                <w:szCs w:val="18"/>
              </w:rPr>
            </w:pPr>
            <w:r w:rsidRPr="00C6603A">
              <w:rPr>
                <w:sz w:val="18"/>
                <w:szCs w:val="18"/>
              </w:rPr>
              <w:t>29.79</w:t>
            </w:r>
          </w:p>
        </w:tc>
        <w:tc>
          <w:tcPr>
            <w:tcW w:w="804" w:type="dxa"/>
          </w:tcPr>
          <w:p w14:paraId="3AF233E3" w14:textId="19676AC6" w:rsidR="00C6603A" w:rsidRPr="00C6603A" w:rsidRDefault="00C6603A">
            <w:pPr>
              <w:pStyle w:val="Compact"/>
              <w:jc w:val="right"/>
              <w:rPr>
                <w:sz w:val="18"/>
                <w:szCs w:val="18"/>
              </w:rPr>
            </w:pPr>
          </w:p>
        </w:tc>
        <w:tc>
          <w:tcPr>
            <w:tcW w:w="804" w:type="dxa"/>
          </w:tcPr>
          <w:p w14:paraId="78BD697F" w14:textId="77777777" w:rsidR="00C6603A" w:rsidRPr="00C6603A" w:rsidRDefault="00C6603A">
            <w:pPr>
              <w:pStyle w:val="Compact"/>
              <w:jc w:val="right"/>
              <w:rPr>
                <w:sz w:val="18"/>
                <w:szCs w:val="18"/>
              </w:rPr>
            </w:pPr>
            <w:r w:rsidRPr="00C6603A">
              <w:rPr>
                <w:sz w:val="18"/>
                <w:szCs w:val="18"/>
              </w:rPr>
              <w:t>57.30</w:t>
            </w:r>
          </w:p>
        </w:tc>
      </w:tr>
      <w:tr w:rsidR="00C6603A" w14:paraId="55C025C4" w14:textId="77777777" w:rsidTr="00C6603A">
        <w:tc>
          <w:tcPr>
            <w:tcW w:w="802" w:type="dxa"/>
          </w:tcPr>
          <w:p w14:paraId="30ECD725" w14:textId="77777777" w:rsidR="00C6603A" w:rsidRPr="00C6603A" w:rsidRDefault="00C6603A">
            <w:pPr>
              <w:pStyle w:val="Compact"/>
              <w:rPr>
                <w:sz w:val="18"/>
                <w:szCs w:val="18"/>
              </w:rPr>
            </w:pPr>
            <w:r w:rsidRPr="00C6603A">
              <w:rPr>
                <w:sz w:val="18"/>
                <w:szCs w:val="18"/>
              </w:rPr>
              <w:t>Population density</w:t>
            </w:r>
          </w:p>
        </w:tc>
        <w:tc>
          <w:tcPr>
            <w:tcW w:w="802" w:type="dxa"/>
          </w:tcPr>
          <w:p w14:paraId="09067139" w14:textId="77777777" w:rsidR="00C6603A" w:rsidRPr="00C6603A" w:rsidRDefault="00C6603A">
            <w:pPr>
              <w:pStyle w:val="Compact"/>
              <w:rPr>
                <w:sz w:val="18"/>
                <w:szCs w:val="18"/>
              </w:rPr>
            </w:pPr>
            <w:r w:rsidRPr="00C6603A">
              <w:rPr>
                <w:sz w:val="18"/>
                <w:szCs w:val="18"/>
              </w:rPr>
              <w:t>persons/km²</w:t>
            </w:r>
          </w:p>
        </w:tc>
        <w:tc>
          <w:tcPr>
            <w:tcW w:w="803" w:type="dxa"/>
          </w:tcPr>
          <w:p w14:paraId="573255D2" w14:textId="77777777" w:rsidR="00C6603A" w:rsidRPr="00C6603A" w:rsidRDefault="00C6603A">
            <w:pPr>
              <w:pStyle w:val="Compact"/>
              <w:jc w:val="right"/>
              <w:rPr>
                <w:sz w:val="18"/>
                <w:szCs w:val="18"/>
              </w:rPr>
            </w:pPr>
            <w:r w:rsidRPr="00C6603A">
              <w:rPr>
                <w:sz w:val="18"/>
                <w:szCs w:val="18"/>
              </w:rPr>
              <w:t>47</w:t>
            </w:r>
          </w:p>
        </w:tc>
        <w:tc>
          <w:tcPr>
            <w:tcW w:w="803" w:type="dxa"/>
          </w:tcPr>
          <w:p w14:paraId="41134962" w14:textId="77777777" w:rsidR="00C6603A" w:rsidRPr="00C6603A" w:rsidRDefault="00C6603A">
            <w:pPr>
              <w:pStyle w:val="Compact"/>
              <w:jc w:val="right"/>
              <w:rPr>
                <w:sz w:val="18"/>
                <w:szCs w:val="18"/>
              </w:rPr>
            </w:pPr>
            <w:r w:rsidRPr="00C6603A">
              <w:rPr>
                <w:sz w:val="18"/>
                <w:szCs w:val="18"/>
              </w:rPr>
              <w:t>657</w:t>
            </w:r>
          </w:p>
        </w:tc>
        <w:tc>
          <w:tcPr>
            <w:tcW w:w="804" w:type="dxa"/>
          </w:tcPr>
          <w:p w14:paraId="1BF30441" w14:textId="77777777" w:rsidR="00C6603A" w:rsidRPr="00C6603A" w:rsidRDefault="00C6603A">
            <w:pPr>
              <w:pStyle w:val="Compact"/>
              <w:jc w:val="right"/>
              <w:rPr>
                <w:sz w:val="18"/>
                <w:szCs w:val="18"/>
              </w:rPr>
            </w:pPr>
            <w:r w:rsidRPr="00C6603A">
              <w:rPr>
                <w:sz w:val="18"/>
                <w:szCs w:val="18"/>
              </w:rPr>
              <w:t>1,223</w:t>
            </w:r>
          </w:p>
        </w:tc>
        <w:tc>
          <w:tcPr>
            <w:tcW w:w="804" w:type="dxa"/>
          </w:tcPr>
          <w:p w14:paraId="461AAF60" w14:textId="05DBC965" w:rsidR="00C6603A" w:rsidRPr="00C6603A" w:rsidRDefault="00C6603A">
            <w:pPr>
              <w:pStyle w:val="Compact"/>
              <w:jc w:val="right"/>
              <w:rPr>
                <w:sz w:val="18"/>
                <w:szCs w:val="18"/>
                <w:lang w:eastAsia="ja-JP"/>
              </w:rPr>
            </w:pPr>
            <w:r w:rsidRPr="00C6603A">
              <w:rPr>
                <w:rFonts w:hint="eastAsia"/>
                <w:sz w:val="18"/>
                <w:szCs w:val="18"/>
                <w:lang w:eastAsia="ja-JP"/>
              </w:rPr>
              <w:t>265.44</w:t>
            </w:r>
          </w:p>
        </w:tc>
        <w:tc>
          <w:tcPr>
            <w:tcW w:w="804" w:type="dxa"/>
          </w:tcPr>
          <w:p w14:paraId="0265D73F" w14:textId="137F89B6" w:rsidR="00C6603A" w:rsidRPr="00C6603A" w:rsidRDefault="00C6603A">
            <w:pPr>
              <w:pStyle w:val="Compact"/>
              <w:jc w:val="right"/>
              <w:rPr>
                <w:sz w:val="18"/>
                <w:szCs w:val="18"/>
                <w:lang w:eastAsia="ja-JP"/>
              </w:rPr>
            </w:pPr>
            <w:r>
              <w:rPr>
                <w:rFonts w:hint="eastAsia"/>
                <w:sz w:val="18"/>
                <w:szCs w:val="18"/>
                <w:lang w:eastAsia="ja-JP"/>
              </w:rPr>
              <w:t>173.20</w:t>
            </w:r>
          </w:p>
        </w:tc>
        <w:tc>
          <w:tcPr>
            <w:tcW w:w="804" w:type="dxa"/>
          </w:tcPr>
          <w:p w14:paraId="4E49346E" w14:textId="1AF7E3FE" w:rsidR="00C6603A" w:rsidRPr="00C6603A" w:rsidRDefault="00C6603A">
            <w:pPr>
              <w:pStyle w:val="Compact"/>
              <w:jc w:val="right"/>
              <w:rPr>
                <w:sz w:val="18"/>
                <w:szCs w:val="18"/>
                <w:lang w:eastAsia="ja-JP"/>
              </w:rPr>
            </w:pPr>
            <w:r>
              <w:rPr>
                <w:rFonts w:hint="eastAsia"/>
                <w:sz w:val="18"/>
                <w:szCs w:val="18"/>
                <w:lang w:eastAsia="ja-JP"/>
              </w:rPr>
              <w:t>468.68</w:t>
            </w:r>
          </w:p>
        </w:tc>
        <w:tc>
          <w:tcPr>
            <w:tcW w:w="804" w:type="dxa"/>
          </w:tcPr>
          <w:p w14:paraId="54F6E84F" w14:textId="526D830C" w:rsidR="00C6603A" w:rsidRPr="00C6603A" w:rsidRDefault="00C6603A">
            <w:pPr>
              <w:pStyle w:val="Compact"/>
              <w:jc w:val="right"/>
              <w:rPr>
                <w:sz w:val="18"/>
                <w:szCs w:val="18"/>
              </w:rPr>
            </w:pPr>
            <w:r w:rsidRPr="00C6603A">
              <w:rPr>
                <w:sz w:val="18"/>
                <w:szCs w:val="18"/>
              </w:rPr>
              <w:t>62.63</w:t>
            </w:r>
          </w:p>
        </w:tc>
        <w:tc>
          <w:tcPr>
            <w:tcW w:w="804" w:type="dxa"/>
          </w:tcPr>
          <w:p w14:paraId="1F3B0F78" w14:textId="2F77FE8E" w:rsidR="00C6603A" w:rsidRPr="00C6603A" w:rsidRDefault="00C6603A">
            <w:pPr>
              <w:pStyle w:val="Compact"/>
              <w:jc w:val="right"/>
              <w:rPr>
                <w:sz w:val="18"/>
                <w:szCs w:val="18"/>
              </w:rPr>
            </w:pPr>
          </w:p>
        </w:tc>
        <w:tc>
          <w:tcPr>
            <w:tcW w:w="804"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r>
        <w:pict w14:anchorId="0E76C796">
          <v:rect id="_x0000_i1037" style="width:0;height:1.5pt" o:hralign="center" o:bullet="t" o:hrstd="t" o:hr="t"/>
        </w:pict>
      </w:r>
    </w:p>
    <w:p w14:paraId="437C12CF" w14:textId="1CCC11D9" w:rsidR="00C6603A" w:rsidRDefault="00C6603A">
      <w:r w:rsidRPr="00C6603A">
        <w:rPr>
          <w:b/>
          <w:bCs/>
        </w:rPr>
        <w:t>Note.</w:t>
      </w:r>
      <w:r w:rsidRPr="00C6603A">
        <w:t xml:space="preserve"> </w:t>
      </w:r>
      <w:r w:rsidR="00031BB0" w:rsidRPr="00031BB0">
        <w:t xml:space="preserve">Q1 and Q3 denote 25th and 75th percentiles (prefecture-level observations). Exploratory Shapiro–Wilk tests rejected normality for fast walking rate and population density (both </w:t>
      </w:r>
      <w:r w:rsidR="00031BB0" w:rsidRPr="00031BB0">
        <w:rPr>
          <w:i/>
          <w:iCs/>
        </w:rPr>
        <w:t>p</w:t>
      </w:r>
      <w:r w:rsidR="00031BB0" w:rsidRPr="00031BB0">
        <w:t xml:space="preserve"> &lt; 0.001); other listed variables were not rejected at α = 0.05 (aging rate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r w:rsidRPr="00C6603A">
        <w:t>.</w:t>
      </w:r>
    </w:p>
    <w:p w14:paraId="14896C0D" w14:textId="77777777" w:rsidR="000B6CF6" w:rsidRDefault="000B6CF6">
      <w:pPr>
        <w:rPr>
          <w:rFonts w:asciiTheme="majorHAnsi" w:eastAsiaTheme="majorEastAsia" w:hAnsiTheme="majorHAnsi" w:cstheme="majorBidi"/>
          <w:color w:val="0F4761" w:themeColor="accent1" w:themeShade="BF"/>
          <w:sz w:val="32"/>
          <w:szCs w:val="32"/>
        </w:rPr>
      </w:pPr>
      <w:bookmarkStart w:id="29" w:name="Xc4d8efe96bb5dc084b3a6055df59151a4b74ad0"/>
      <w:bookmarkEnd w:id="28"/>
      <w:r>
        <w:br w:type="page"/>
      </w:r>
    </w:p>
    <w:p w14:paraId="0BFA2C47" w14:textId="522C9CD5" w:rsidR="00073AD9" w:rsidRDefault="00000000">
      <w:pPr>
        <w:pStyle w:val="2"/>
      </w:pPr>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77777777" w:rsidR="00073AD9" w:rsidRDefault="00000000">
            <w:pPr>
              <w:pStyle w:val="Compact"/>
              <w:jc w:val="right"/>
            </w:pPr>
            <w:r>
              <w:t>Aging Rate</w:t>
            </w:r>
          </w:p>
        </w:tc>
        <w:tc>
          <w:tcPr>
            <w:tcW w:w="856" w:type="dxa"/>
          </w:tcPr>
          <w:p w14:paraId="639F3EEA" w14:textId="77777777" w:rsidR="00073AD9" w:rsidRDefault="00000000">
            <w:pPr>
              <w:pStyle w:val="Compact"/>
              <w:jc w:val="right"/>
            </w:pPr>
            <w:r>
              <w:t>Fast Walking Rate</w:t>
            </w:r>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77777777" w:rsidR="00073AD9" w:rsidRDefault="00000000">
            <w:pPr>
              <w:pStyle w:val="Compact"/>
            </w:pPr>
            <w:r>
              <w:t>Aging Rate</w:t>
            </w:r>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77777777" w:rsidR="00073AD9" w:rsidRDefault="00000000">
            <w:pPr>
              <w:pStyle w:val="Compact"/>
            </w:pPr>
            <w:r>
              <w:t>Fast Walking Rate</w:t>
            </w:r>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276EFBAB" w:rsidR="00073AD9" w:rsidRDefault="00000000">
            <w:pPr>
              <w:pStyle w:val="Compact"/>
            </w:pPr>
            <w:r>
              <w:t>Pop</w:t>
            </w:r>
            <w:r w:rsidR="00086EBA">
              <w:rPr>
                <w:rFonts w:hint="eastAsia"/>
                <w:lang w:eastAsia="ja-JP"/>
              </w:rPr>
              <w:t>ulation</w:t>
            </w:r>
            <w:r>
              <w:t xml:space="preserve">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038" style="width:0;height:1.5pt" o:hralign="center" o:hrstd="t" o:hr="t"/>
        </w:pict>
      </w:r>
    </w:p>
    <w:p w14:paraId="5D91F39A" w14:textId="77777777" w:rsidR="00C37C37" w:rsidRDefault="00C37C37">
      <w:pPr>
        <w:rPr>
          <w:rFonts w:asciiTheme="majorHAnsi" w:eastAsiaTheme="majorEastAsia" w:hAnsiTheme="majorHAnsi" w:cstheme="majorBidi"/>
          <w:color w:val="0F4761" w:themeColor="accent1" w:themeShade="BF"/>
          <w:sz w:val="32"/>
          <w:szCs w:val="32"/>
        </w:rPr>
      </w:pPr>
      <w:bookmarkStart w:id="30" w:name="X6fac7f2e493ef5b618f5ac39729b4328cfa1bc7"/>
      <w:bookmarkEnd w:id="29"/>
      <w:r>
        <w:br w:type="page"/>
      </w:r>
    </w:p>
    <w:p w14:paraId="43073005" w14:textId="139BDDA0" w:rsidR="00073AD9" w:rsidRDefault="00000000">
      <w:pPr>
        <w:pStyle w:val="2"/>
      </w:pPr>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77777777" w:rsidR="00073AD9" w:rsidRDefault="00000000">
            <w:pPr>
              <w:pStyle w:val="Compact"/>
            </w:pPr>
            <w:r>
              <w:t>Aging rate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77777777" w:rsidR="00073AD9" w:rsidRDefault="00000000">
            <w:pPr>
              <w:pStyle w:val="Compact"/>
            </w:pPr>
            <w:r>
              <w:t>Fast walking rate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7A03D69D" w:rsidR="00073AD9" w:rsidRDefault="00000000">
      <w:pPr>
        <w:pStyle w:val="a0"/>
      </w:pPr>
      <w:r>
        <w:t xml:space="preserve">Model 1: simple linear regression of hip fracture rate on terrain slope alone. Model 2: multivariable linear regression adjusting for aging rate, fast walking rate, and population density. β, unstandardized regression coefficient; CI, confidence interval. </w:t>
      </w:r>
      <w:r>
        <w:rPr>
          <w:b/>
          <w:bCs/>
        </w:rPr>
        <w:t>Bold</w:t>
      </w:r>
      <w:r>
        <w:t xml:space="preserve"> indicates </w:t>
      </w:r>
      <w:r>
        <w:rPr>
          <w:i/>
          <w:iCs/>
        </w:rPr>
        <w:t>p</w:t>
      </w:r>
      <w:r>
        <w:t xml:space="preserve"> &lt; 0.05</w:t>
      </w:r>
      <w:r w:rsidR="004213BC" w:rsidRPr="004213BC">
        <w:t xml:space="preserve"> (conventional model-based standard errors)</w:t>
      </w:r>
      <w:r>
        <w:t>.</w:t>
      </w:r>
    </w:p>
    <w:p w14:paraId="48DF307F" w14:textId="424BC8DB" w:rsidR="004213BC" w:rsidRDefault="004213BC">
      <w:pPr>
        <w:pStyle w:val="a0"/>
      </w:pPr>
      <w:r w:rsidRPr="004213BC">
        <w:rPr>
          <w:b/>
          <w:bCs/>
        </w:rPr>
        <w:t>Sensitivity (Model 2, terrain slope coefficient):</w:t>
      </w:r>
      <w:r w:rsidRPr="004213BC">
        <w:t xml:space="preserve"> </w:t>
      </w:r>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r w:rsidRPr="004213BC">
        <w:t>.</w:t>
      </w:r>
    </w:p>
    <w:p w14:paraId="3256D555" w14:textId="77777777" w:rsidR="00073AD9" w:rsidRDefault="00000000">
      <w:r>
        <w:pict w14:anchorId="37FC4F6D">
          <v:rect id="_x0000_i1039" style="width:0;height:1.5pt" o:hralign="center" o:hrstd="t" o:hr="t"/>
        </w:pict>
      </w:r>
    </w:p>
    <w:p w14:paraId="56723B25" w14:textId="77777777" w:rsidR="00C37C37" w:rsidRDefault="00C37C37">
      <w:pPr>
        <w:rPr>
          <w:rFonts w:asciiTheme="majorHAnsi" w:eastAsiaTheme="majorEastAsia" w:hAnsiTheme="majorHAnsi" w:cstheme="majorBidi"/>
          <w:color w:val="0F4761" w:themeColor="accent1" w:themeShade="BF"/>
          <w:sz w:val="32"/>
          <w:szCs w:val="32"/>
        </w:rPr>
      </w:pPr>
      <w:bookmarkStart w:id="31" w:name="Xdeb87af7aa3e82ca70e47e493f4f841d319d1c1"/>
      <w:bookmarkEnd w:id="30"/>
      <w:r>
        <w:br w:type="page"/>
      </w:r>
    </w:p>
    <w:p w14:paraId="4842FE63" w14:textId="676CDD4A" w:rsidR="00073AD9" w:rsidRDefault="00000000">
      <w:pPr>
        <w:pStyle w:val="2"/>
      </w:pPr>
      <w: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77777777" w:rsidR="00073AD9" w:rsidRDefault="00000000">
            <w:pPr>
              <w:pStyle w:val="Compact"/>
              <w:jc w:val="right"/>
            </w:pPr>
            <w:r>
              <w:rPr>
                <w:b/>
                <w:bCs/>
              </w:rPr>
              <w:t>Aging rate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77777777" w:rsidR="00073AD9" w:rsidRDefault="00000000">
      <w:pPr>
        <w:pStyle w:val="a0"/>
      </w:pPr>
      <w:r>
        <w:t xml:space="preserve">All models adjusted for aging rate, fast walking rate, and population density. β, unstandardized regression coefficient; CI, confidence interval. </w:t>
      </w:r>
      <w:r>
        <w:rPr>
          <w:b/>
          <w:bCs/>
        </w:rPr>
        <w:t>Bold</w:t>
      </w:r>
      <w:r>
        <w:t xml:space="preserve"> indicates </w:t>
      </w:r>
      <w:r>
        <w:rPr>
          <w:i/>
          <w:iCs/>
        </w:rPr>
        <w:t>p</w:t>
      </w:r>
      <w:r>
        <w:t xml:space="preserve"> &lt; 0.05.</w:t>
      </w:r>
    </w:p>
    <w:p w14:paraId="6E63E8CD" w14:textId="2FE77EF4" w:rsidR="004213BC" w:rsidRDefault="004213BC">
      <w:pPr>
        <w:pStyle w:val="a0"/>
      </w:pPr>
      <w:r w:rsidRPr="004213BC">
        <w:t xml:space="preserve">For </w:t>
      </w:r>
      <w:r w:rsidR="00031BB0" w:rsidRPr="00031BB0">
        <w:t>the hip (femur) outcome, heteroskedasticity-robust (HC3) inference and bootstrap CIs for the slope coefficient were borderline (Table 3 footnote)</w:t>
      </w:r>
      <w:r w:rsidRPr="004213BC">
        <w:t>.</w:t>
      </w:r>
    </w:p>
    <w:p w14:paraId="176A235D" w14:textId="77777777" w:rsidR="00073AD9" w:rsidRDefault="00000000">
      <w:r>
        <w:pict w14:anchorId="657FDAF1">
          <v:rect id="_x0000_i1040" style="width:0;height:1.5pt" o:hralign="center" o:hrstd="t" o:hr="t"/>
        </w:pict>
      </w:r>
    </w:p>
    <w:p w14:paraId="2836A636" w14:textId="386DD5E3" w:rsidR="00F04F3D" w:rsidRPr="00F04F3D" w:rsidRDefault="00C37C37" w:rsidP="00F04F3D">
      <w:pPr>
        <w:pStyle w:val="2"/>
      </w:pPr>
      <w:bookmarkStart w:id="32" w:name="figure-legends"/>
      <w:bookmarkEnd w:id="31"/>
      <w:r>
        <w:br w:type="page"/>
      </w:r>
      <w:r w:rsidR="00F04F3D" w:rsidRPr="00F04F3D">
        <w:lastRenderedPageBreak/>
        <w:t>Table 5. Indirect Standardization Sensitivity Analysis: Multivariable Linear Regression of Indirectly Standardized Hip (Femur) Surgery Rate on Terrain Slope (N = 47)</w:t>
      </w:r>
    </w:p>
    <w:tbl>
      <w:tblPr>
        <w:tblStyle w:val="Table"/>
        <w:tblW w:w="5000" w:type="pct"/>
        <w:tblLayout w:type="fixed"/>
        <w:tblLook w:val="0020" w:firstRow="1" w:lastRow="0" w:firstColumn="0" w:lastColumn="0" w:noHBand="0" w:noVBand="0"/>
      </w:tblPr>
      <w:tblGrid>
        <w:gridCol w:w="2946"/>
        <w:gridCol w:w="2946"/>
        <w:gridCol w:w="2946"/>
      </w:tblGrid>
      <w:tr w:rsidR="00F04F3D" w:rsidRPr="00F04F3D" w14:paraId="1E7A5F31" w14:textId="77777777" w:rsidTr="001D18D1">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93272E" w14:textId="77777777" w:rsidR="00F04F3D" w:rsidRPr="00F04F3D" w:rsidRDefault="00F04F3D" w:rsidP="00F04F3D">
            <w:pPr>
              <w:spacing w:before="36" w:after="36"/>
            </w:pPr>
            <w:r w:rsidRPr="00F04F3D">
              <w:rPr>
                <w:b/>
                <w:bCs/>
              </w:rPr>
              <w:t>Imputation scenario for masked (</w:t>
            </w:r>
            <w:r w:rsidRPr="00F04F3D">
              <w:rPr>
                <w:rFonts w:ascii="Consolas" w:hAnsi="Consolas"/>
                <w:b/>
                <w:bCs/>
                <w:sz w:val="22"/>
                <w:shd w:val="clear" w:color="auto" w:fill="F1F3F5"/>
              </w:rPr>
              <w:t>"-"</w:t>
            </w:r>
            <w:r w:rsidRPr="00F04F3D">
              <w:rPr>
                <w:b/>
                <w:bCs/>
              </w:rPr>
              <w:t>) age-stratified surgery cells</w:t>
            </w:r>
          </w:p>
        </w:tc>
        <w:tc>
          <w:tcPr>
            <w:tcW w:w="2640" w:type="dxa"/>
          </w:tcPr>
          <w:p w14:paraId="4F52E714" w14:textId="77777777" w:rsidR="00F04F3D" w:rsidRPr="00F04F3D" w:rsidRDefault="00F04F3D" w:rsidP="00F04F3D">
            <w:pPr>
              <w:spacing w:before="36" w:after="36"/>
            </w:pPr>
            <w:r w:rsidRPr="00F04F3D">
              <w:rPr>
                <w:b/>
                <w:bCs/>
              </w:rPr>
              <w:t>Terrain slope β (95% CI)</w:t>
            </w:r>
            <w:r w:rsidRPr="00F04F3D">
              <w:t xml:space="preserve"> per 1°</w:t>
            </w:r>
          </w:p>
        </w:tc>
        <w:tc>
          <w:tcPr>
            <w:tcW w:w="2640" w:type="dxa"/>
          </w:tcPr>
          <w:p w14:paraId="3A77BC2A" w14:textId="77777777" w:rsidR="00F04F3D" w:rsidRPr="00F04F3D" w:rsidRDefault="00F04F3D" w:rsidP="00F04F3D">
            <w:pPr>
              <w:spacing w:before="36" w:after="36"/>
            </w:pPr>
            <w:r w:rsidRPr="00F04F3D">
              <w:rPr>
                <w:b/>
                <w:bCs/>
                <w:i/>
                <w:iCs/>
              </w:rPr>
              <w:t>p</w:t>
            </w:r>
          </w:p>
        </w:tc>
      </w:tr>
      <w:tr w:rsidR="00F04F3D" w:rsidRPr="00F04F3D" w14:paraId="1D42A1EC" w14:textId="77777777" w:rsidTr="001D18D1">
        <w:tc>
          <w:tcPr>
            <w:tcW w:w="2640" w:type="dxa"/>
          </w:tcPr>
          <w:p w14:paraId="57A29CA9" w14:textId="77777777" w:rsidR="00F04F3D" w:rsidRPr="00F04F3D" w:rsidRDefault="00F04F3D" w:rsidP="00F04F3D">
            <w:pPr>
              <w:spacing w:before="36" w:after="36"/>
            </w:pPr>
            <w:r w:rsidRPr="00F04F3D">
              <w:rPr>
                <w:rFonts w:ascii="Consolas" w:hAnsi="Consolas"/>
                <w:sz w:val="22"/>
                <w:shd w:val="clear" w:color="auto" w:fill="F1F3F5"/>
              </w:rPr>
              <w:t>"-"</w:t>
            </w:r>
            <w:r w:rsidRPr="00F04F3D">
              <w:t xml:space="preserve"> imputed as 0</w:t>
            </w:r>
          </w:p>
        </w:tc>
        <w:tc>
          <w:tcPr>
            <w:tcW w:w="2640" w:type="dxa"/>
          </w:tcPr>
          <w:p w14:paraId="1460F2A3" w14:textId="77777777" w:rsidR="00F04F3D" w:rsidRPr="00F04F3D" w:rsidRDefault="00F04F3D" w:rsidP="00F04F3D">
            <w:pPr>
              <w:spacing w:before="36" w:after="36"/>
            </w:pPr>
            <w:r w:rsidRPr="00F04F3D">
              <w:rPr>
                <w:b/>
                <w:bCs/>
              </w:rPr>
              <w:t>5.71 (0.54, 10.88)</w:t>
            </w:r>
          </w:p>
        </w:tc>
        <w:tc>
          <w:tcPr>
            <w:tcW w:w="2640" w:type="dxa"/>
          </w:tcPr>
          <w:p w14:paraId="664918A0" w14:textId="77777777" w:rsidR="00F04F3D" w:rsidRPr="00F04F3D" w:rsidRDefault="00F04F3D" w:rsidP="00F04F3D">
            <w:pPr>
              <w:spacing w:before="36" w:after="36"/>
            </w:pPr>
            <w:r w:rsidRPr="00F04F3D">
              <w:rPr>
                <w:b/>
                <w:bCs/>
              </w:rPr>
              <w:t>0.031</w:t>
            </w:r>
          </w:p>
        </w:tc>
      </w:tr>
      <w:tr w:rsidR="00F04F3D" w:rsidRPr="00F04F3D" w14:paraId="026F7378" w14:textId="77777777" w:rsidTr="001D18D1">
        <w:tc>
          <w:tcPr>
            <w:tcW w:w="2640" w:type="dxa"/>
          </w:tcPr>
          <w:p w14:paraId="204A8E83" w14:textId="77777777" w:rsidR="00F04F3D" w:rsidRPr="00F04F3D" w:rsidRDefault="00F04F3D" w:rsidP="00F04F3D">
            <w:pPr>
              <w:spacing w:before="36" w:after="36"/>
            </w:pPr>
            <w:r w:rsidRPr="00F04F3D">
              <w:rPr>
                <w:rFonts w:ascii="Consolas" w:hAnsi="Consolas"/>
                <w:sz w:val="22"/>
                <w:shd w:val="clear" w:color="auto" w:fill="F1F3F5"/>
              </w:rPr>
              <w:t>"-"</w:t>
            </w:r>
            <w:r w:rsidRPr="00F04F3D">
              <w:t xml:space="preserve"> imputed as 5</w:t>
            </w:r>
          </w:p>
        </w:tc>
        <w:tc>
          <w:tcPr>
            <w:tcW w:w="2640" w:type="dxa"/>
          </w:tcPr>
          <w:p w14:paraId="6749FEC5" w14:textId="77777777" w:rsidR="00F04F3D" w:rsidRPr="00F04F3D" w:rsidRDefault="00F04F3D" w:rsidP="00F04F3D">
            <w:pPr>
              <w:spacing w:before="36" w:after="36"/>
            </w:pPr>
            <w:r w:rsidRPr="00F04F3D">
              <w:rPr>
                <w:b/>
                <w:bCs/>
              </w:rPr>
              <w:t>3.61 (0.30, 6.92)</w:t>
            </w:r>
          </w:p>
        </w:tc>
        <w:tc>
          <w:tcPr>
            <w:tcW w:w="2640" w:type="dxa"/>
          </w:tcPr>
          <w:p w14:paraId="1CBFBAD6" w14:textId="77777777" w:rsidR="00F04F3D" w:rsidRPr="00F04F3D" w:rsidRDefault="00F04F3D" w:rsidP="00F04F3D">
            <w:pPr>
              <w:spacing w:before="36" w:after="36"/>
            </w:pPr>
            <w:r w:rsidRPr="00F04F3D">
              <w:rPr>
                <w:b/>
                <w:bCs/>
              </w:rPr>
              <w:t>0.033</w:t>
            </w:r>
          </w:p>
        </w:tc>
      </w:tr>
      <w:tr w:rsidR="00F04F3D" w:rsidRPr="00F04F3D" w14:paraId="72A151D7" w14:textId="77777777" w:rsidTr="001D18D1">
        <w:tc>
          <w:tcPr>
            <w:tcW w:w="2640" w:type="dxa"/>
          </w:tcPr>
          <w:p w14:paraId="08AD8043" w14:textId="77777777" w:rsidR="00F04F3D" w:rsidRPr="00F04F3D" w:rsidRDefault="00F04F3D" w:rsidP="00F04F3D">
            <w:pPr>
              <w:spacing w:before="36" w:after="36"/>
            </w:pPr>
            <w:r w:rsidRPr="00F04F3D">
              <w:rPr>
                <w:rFonts w:ascii="Consolas" w:hAnsi="Consolas"/>
                <w:sz w:val="22"/>
                <w:shd w:val="clear" w:color="auto" w:fill="F1F3F5"/>
              </w:rPr>
              <w:t>"-"</w:t>
            </w:r>
            <w:r w:rsidRPr="00F04F3D">
              <w:t xml:space="preserve"> imputed as 9</w:t>
            </w:r>
          </w:p>
        </w:tc>
        <w:tc>
          <w:tcPr>
            <w:tcW w:w="2640" w:type="dxa"/>
          </w:tcPr>
          <w:p w14:paraId="031E50A1" w14:textId="77777777" w:rsidR="00F04F3D" w:rsidRPr="00F04F3D" w:rsidRDefault="00F04F3D" w:rsidP="00F04F3D">
            <w:pPr>
              <w:spacing w:before="36" w:after="36"/>
            </w:pPr>
            <w:r w:rsidRPr="00F04F3D">
              <w:rPr>
                <w:b/>
                <w:bCs/>
              </w:rPr>
              <w:t>3.64 (0.28, 7.00)</w:t>
            </w:r>
          </w:p>
        </w:tc>
        <w:tc>
          <w:tcPr>
            <w:tcW w:w="2640" w:type="dxa"/>
          </w:tcPr>
          <w:p w14:paraId="3D07E322" w14:textId="77777777" w:rsidR="00F04F3D" w:rsidRPr="00F04F3D" w:rsidRDefault="00F04F3D" w:rsidP="00F04F3D">
            <w:pPr>
              <w:spacing w:before="36" w:after="36"/>
            </w:pPr>
            <w:r w:rsidRPr="00F04F3D">
              <w:rPr>
                <w:b/>
                <w:bCs/>
              </w:rPr>
              <w:t>0.035</w:t>
            </w:r>
          </w:p>
        </w:tc>
      </w:tr>
    </w:tbl>
    <w:p w14:paraId="21E7BA5A" w14:textId="3F47DA2E" w:rsidR="00F04F3D" w:rsidRDefault="00F04F3D" w:rsidP="00F04F3D">
      <w:pPr>
        <w:pStyle w:val="2"/>
      </w:pPr>
      <w:r w:rsidRPr="00F04F3D">
        <w:rPr>
          <w:rFonts w:asciiTheme="minorHAnsi" w:eastAsiaTheme="minorEastAsia" w:hAnsiTheme="minorHAnsi" w:cstheme="minorBidi"/>
          <w:color w:val="auto"/>
          <w:sz w:val="24"/>
          <w:szCs w:val="24"/>
        </w:rPr>
        <w:t xml:space="preserve">Each row fits the same multivariable specification as Table 3 Model 2, replacing the crude hip fracture surgery rate with </w:t>
      </w:r>
      <w:r w:rsidR="00E378C4" w:rsidRPr="00E378C4">
        <w:rPr>
          <w:rFonts w:asciiTheme="minorHAnsi" w:eastAsiaTheme="minorEastAsia" w:hAnsiTheme="minorHAnsi" w:cstheme="minorBidi"/>
          <w:color w:val="auto"/>
          <w:sz w:val="24"/>
          <w:szCs w:val="24"/>
        </w:rPr>
        <w:t>the indirectly standardized hip (femur) surgery rate computed</w:t>
      </w:r>
      <w:r w:rsidRPr="00F04F3D">
        <w:rPr>
          <w:rFonts w:asciiTheme="minorHAnsi" w:eastAsiaTheme="minorEastAsia" w:hAnsiTheme="minorHAnsi" w:cstheme="minorBidi"/>
          <w:color w:val="auto"/>
          <w:sz w:val="24"/>
          <w:szCs w:val="24"/>
        </w:rPr>
        <w:t xml:space="preserve"> under the indicated imputation rule (Methods). β, unstandardized regression coefficient; CI, confidence interval. </w:t>
      </w:r>
      <w:r w:rsidRPr="00F04F3D">
        <w:rPr>
          <w:rFonts w:asciiTheme="minorHAnsi" w:eastAsiaTheme="minorEastAsia" w:hAnsiTheme="minorHAnsi" w:cstheme="minorBidi"/>
          <w:b/>
          <w:bCs/>
          <w:color w:val="auto"/>
          <w:sz w:val="24"/>
          <w:szCs w:val="24"/>
        </w:rPr>
        <w:t>Bold</w:t>
      </w:r>
      <w:r w:rsidRPr="00F04F3D">
        <w:rPr>
          <w:rFonts w:asciiTheme="minorHAnsi" w:eastAsiaTheme="minorEastAsia" w:hAnsiTheme="minorHAnsi" w:cstheme="minorBidi"/>
          <w:color w:val="auto"/>
          <w:sz w:val="24"/>
          <w:szCs w:val="24"/>
        </w:rPr>
        <w:t xml:space="preserve"> indicates </w:t>
      </w:r>
      <w:r w:rsidRPr="00F04F3D">
        <w:rPr>
          <w:rFonts w:asciiTheme="minorHAnsi" w:eastAsiaTheme="minorEastAsia" w:hAnsiTheme="minorHAnsi" w:cstheme="minorBidi"/>
          <w:i/>
          <w:iCs/>
          <w:color w:val="auto"/>
          <w:sz w:val="24"/>
          <w:szCs w:val="24"/>
        </w:rPr>
        <w:t>p</w:t>
      </w:r>
      <w:r w:rsidRPr="00F04F3D">
        <w:rPr>
          <w:rFonts w:asciiTheme="minorHAnsi" w:eastAsiaTheme="minorEastAsia" w:hAnsiTheme="minorHAnsi" w:cstheme="minorBidi"/>
          <w:color w:val="auto"/>
          <w:sz w:val="24"/>
          <w:szCs w:val="24"/>
        </w:rPr>
        <w:t xml:space="preserve"> &lt; 0.05 (conventional model-based standard errors). These results are sensitivity analyses only.</w:t>
      </w:r>
    </w:p>
    <w:p w14:paraId="51E4C132" w14:textId="77777777" w:rsidR="00F04F3D" w:rsidRDefault="00000000" w:rsidP="00F04F3D">
      <w:r>
        <w:pict w14:anchorId="3712CB47">
          <v:rect id="_x0000_i1041" style="width:0;height:1.5pt" o:hralign="center" o:hrstd="t" o:hr="t"/>
        </w:pict>
      </w:r>
    </w:p>
    <w:p w14:paraId="4FD48556" w14:textId="77777777" w:rsidR="00F04F3D" w:rsidRDefault="00F04F3D" w:rsidP="00F04F3D">
      <w:pPr>
        <w:rPr>
          <w:rFonts w:asciiTheme="majorHAnsi" w:eastAsiaTheme="majorEastAsia" w:hAnsiTheme="majorHAnsi" w:cstheme="majorBidi"/>
          <w:color w:val="0F4761" w:themeColor="accent1" w:themeShade="BF"/>
          <w:sz w:val="32"/>
          <w:szCs w:val="32"/>
        </w:rPr>
      </w:pPr>
      <w:r>
        <w:br w:type="page"/>
      </w:r>
    </w:p>
    <w:p w14:paraId="569EB792" w14:textId="270C1CD8" w:rsidR="00C37C37" w:rsidRDefault="00C37C37"/>
    <w:p w14:paraId="79353173" w14:textId="77777777" w:rsidR="00F04F3D" w:rsidRDefault="00F04F3D">
      <w:pPr>
        <w:rPr>
          <w:rFonts w:asciiTheme="majorHAnsi" w:eastAsiaTheme="majorEastAsia" w:hAnsiTheme="majorHAnsi" w:cstheme="majorBidi"/>
          <w:color w:val="0F4761" w:themeColor="accent1" w:themeShade="BF"/>
          <w:sz w:val="32"/>
          <w:szCs w:val="32"/>
        </w:rPr>
      </w:pPr>
    </w:p>
    <w:p w14:paraId="5DDB7229" w14:textId="34706350" w:rsidR="00073AD9" w:rsidRDefault="00000000">
      <w:pPr>
        <w:pStyle w:val="2"/>
      </w:pPr>
      <w:r>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096CD59B" w14:textId="77777777" w:rsidR="00073AD9" w:rsidRDefault="00000000">
      <w:pPr>
        <w:pStyle w:val="a0"/>
      </w:pPr>
      <w:r>
        <w:rPr>
          <w:b/>
          <w:bCs/>
        </w:rPr>
        <w:t>Figure 2.</w:t>
      </w:r>
      <w:r>
        <w:t xml:space="preserve"> Correlation heatmap of key study variables across 47 Japanese prefectures. Pearson correlation coefficients are displayed in each cell. Color intensity represents the magnitude of correlation (red = positive, blue = negative).</w:t>
      </w:r>
    </w:p>
    <w:p w14:paraId="7606531B" w14:textId="174BC183" w:rsidR="00073AD9" w:rsidRDefault="00000000">
      <w:pPr>
        <w:pStyle w:val="a0"/>
      </w:pPr>
      <w:r>
        <w:rPr>
          <w:b/>
          <w:bCs/>
        </w:rPr>
        <w:t xml:space="preserve">Figure </w:t>
      </w:r>
      <w:r w:rsidR="003E0C45">
        <w:rPr>
          <w:rFonts w:hint="eastAsia"/>
          <w:b/>
          <w:bCs/>
          <w:lang w:eastAsia="ja-JP"/>
        </w:rPr>
        <w:t>3</w:t>
      </w:r>
      <w:r>
        <w:rPr>
          <w:b/>
          <w:bCs/>
        </w:rPr>
        <w:t>.</w:t>
      </w:r>
      <w:r>
        <w:t xml:space="preserve"> Prefectural distribution of habitable-area-weighted terrain slope (degrees) across Japan. Darker shading indicates steeper terrain. Prefectures in the Chugoku, Shikoku, and Kyushu mountain ranges show the highest slope values.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6BAF182F" w14:textId="504B6F25" w:rsidR="00073AD9" w:rsidRDefault="00000000">
      <w:pPr>
        <w:pStyle w:val="a0"/>
      </w:pPr>
      <w:r>
        <w:rPr>
          <w:b/>
          <w:bCs/>
        </w:rPr>
        <w:t xml:space="preserve">Figure </w:t>
      </w:r>
      <w:r w:rsidR="003E0C45">
        <w:rPr>
          <w:rFonts w:hint="eastAsia"/>
          <w:b/>
          <w:bCs/>
          <w:lang w:eastAsia="ja-JP"/>
        </w:rPr>
        <w:t>4</w:t>
      </w:r>
      <w:r>
        <w:rPr>
          <w:b/>
          <w:bCs/>
        </w:rPr>
        <w:t>.</w:t>
      </w:r>
      <w:r>
        <w:t xml:space="preserve"> Prefectural distribution of hip fracture surgery rate (per 100,000 population) across Japan. Darker shading indicates higher rates. Prefectures in mountainous regions tend to show elevated rates.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373FBA23" w14:textId="78F3ACE3" w:rsidR="00073AD9" w:rsidRDefault="00000000">
      <w:pPr>
        <w:pStyle w:val="a0"/>
      </w:pPr>
      <w:r>
        <w:rPr>
          <w:b/>
          <w:bCs/>
        </w:rPr>
        <w:t xml:space="preserve">Figure </w:t>
      </w:r>
      <w:r w:rsidR="003E0C45">
        <w:rPr>
          <w:rFonts w:hint="eastAsia"/>
          <w:b/>
          <w:bCs/>
          <w:lang w:eastAsia="ja-JP"/>
        </w:rPr>
        <w:t>5</w:t>
      </w:r>
      <w:r>
        <w:rPr>
          <w:b/>
          <w:bCs/>
        </w:rPr>
        <w:t>.</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r w:rsidR="002600F3" w:rsidRPr="002600F3">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14D70A3B" w14:textId="77777777" w:rsidR="00C37C37" w:rsidRDefault="00C37C37">
      <w:pPr>
        <w:rPr>
          <w:rFonts w:asciiTheme="majorHAnsi" w:eastAsiaTheme="majorEastAsia" w:hAnsiTheme="majorHAnsi" w:cstheme="majorBidi"/>
          <w:color w:val="0F4761" w:themeColor="accent1" w:themeShade="BF"/>
          <w:sz w:val="32"/>
          <w:szCs w:val="32"/>
        </w:rPr>
      </w:pPr>
      <w:bookmarkStart w:id="33" w:name="figure-1"/>
      <w:bookmarkEnd w:id="32"/>
      <w:r>
        <w:br w:type="page"/>
      </w:r>
    </w:p>
    <w:p w14:paraId="22D49C52" w14:textId="23808766" w:rsidR="00073AD9" w:rsidRDefault="00000000">
      <w:pPr>
        <w:pStyle w:val="2"/>
      </w:pPr>
      <w:r>
        <w:lastRenderedPageBreak/>
        <w:t>Figure 1</w:t>
      </w:r>
    </w:p>
    <w:p w14:paraId="517DB3D4" w14:textId="0027182B" w:rsidR="00073AD9" w:rsidRDefault="00705772">
      <w:pPr>
        <w:pStyle w:val="FirstParagraph"/>
        <w:rPr>
          <w:lang w:eastAsia="ja-JP"/>
        </w:rPr>
      </w:pPr>
      <w:r>
        <w:rPr>
          <w:rFonts w:hint="eastAsia"/>
          <w:noProof/>
          <w:lang w:eastAsia="ja-JP"/>
        </w:rPr>
        <w:drawing>
          <wp:anchor distT="0" distB="0" distL="114300" distR="114300" simplePos="0" relativeHeight="251658240" behindDoc="0" locked="0" layoutInCell="1" allowOverlap="1" wp14:anchorId="21EDFFB9" wp14:editId="3B874AED">
            <wp:simplePos x="0" y="0"/>
            <wp:positionH relativeFrom="column">
              <wp:posOffset>1905</wp:posOffset>
            </wp:positionH>
            <wp:positionV relativeFrom="paragraph">
              <wp:posOffset>360680</wp:posOffset>
            </wp:positionV>
            <wp:extent cx="5857424" cy="4076700"/>
            <wp:effectExtent l="0" t="0" r="0" b="0"/>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9209" cy="40779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E95A6" w14:textId="46B3F0BB" w:rsidR="008F4985" w:rsidRPr="008F4985" w:rsidRDefault="008F4985" w:rsidP="008F4985">
      <w:pPr>
        <w:pStyle w:val="a0"/>
        <w:rPr>
          <w:lang w:eastAsia="ja-JP"/>
        </w:rPr>
      </w:pPr>
    </w:p>
    <w:p w14:paraId="5E68B523" w14:textId="77777777" w:rsidR="00073AD9" w:rsidRDefault="00000000">
      <w:pPr>
        <w:pStyle w:val="2"/>
      </w:pPr>
      <w:bookmarkStart w:id="34" w:name="figure-2"/>
      <w:bookmarkEnd w:id="33"/>
      <w:r>
        <w:t>Figure 2</w:t>
      </w:r>
    </w:p>
    <w:p w14:paraId="71F9F9D8" w14:textId="0ECFE799" w:rsidR="00073AD9" w:rsidRDefault="00073AD9">
      <w:pPr>
        <w:pStyle w:val="FirstParagraph"/>
      </w:pPr>
    </w:p>
    <w:p w14:paraId="081C7A52" w14:textId="7F89B3C7" w:rsidR="00D14FC1" w:rsidRDefault="00D14FC1">
      <w:bookmarkStart w:id="35" w:name="figure-3"/>
      <w:bookmarkEnd w:id="34"/>
      <w:r>
        <w:br w:type="page"/>
      </w:r>
    </w:p>
    <w:p w14:paraId="5F70D62D" w14:textId="77777777" w:rsidR="00D14FC1" w:rsidRDefault="00D14FC1" w:rsidP="00D14FC1">
      <w:pPr>
        <w:pStyle w:val="FirstParagraph"/>
      </w:pPr>
    </w:p>
    <w:p w14:paraId="06D569E6" w14:textId="322B282B" w:rsidR="00D14FC1" w:rsidRDefault="00D14FC1" w:rsidP="00D14FC1">
      <w:pPr>
        <w:pStyle w:val="2"/>
      </w:pPr>
      <w:r>
        <w:t xml:space="preserve">Figure </w:t>
      </w:r>
      <w:r>
        <w:rPr>
          <w:rFonts w:hint="eastAsia"/>
          <w:lang w:eastAsia="ja-JP"/>
        </w:rPr>
        <w:t>2</w:t>
      </w:r>
    </w:p>
    <w:p w14:paraId="5EB6CC42" w14:textId="6AA11F34" w:rsidR="00073AD9" w:rsidRDefault="00D14FC1">
      <w:pPr>
        <w:pStyle w:val="FirstParagraph"/>
      </w:pPr>
      <w:r w:rsidRPr="00705772">
        <w:rPr>
          <w:noProof/>
          <w:sz w:val="28"/>
          <w:szCs w:val="28"/>
        </w:rPr>
        <w:drawing>
          <wp:inline distT="0" distB="0" distL="0" distR="0" wp14:anchorId="42370DA5" wp14:editId="0EF3F5D7">
            <wp:extent cx="5509260" cy="4526280"/>
            <wp:effectExtent l="0" t="0" r="0" b="7620"/>
            <wp:docPr id="478655746"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8"/>
                    <a:stretch>
                      <a:fillRect/>
                    </a:stretch>
                  </pic:blipFill>
                  <pic:spPr bwMode="auto">
                    <a:xfrm>
                      <a:off x="0" y="0"/>
                      <a:ext cx="5509260" cy="4526280"/>
                    </a:xfrm>
                    <a:prstGeom prst="rect">
                      <a:avLst/>
                    </a:prstGeom>
                    <a:noFill/>
                    <a:ln w="9525">
                      <a:noFill/>
                      <a:headEnd/>
                      <a:tailEnd/>
                    </a:ln>
                  </pic:spPr>
                </pic:pic>
              </a:graphicData>
            </a:graphic>
          </wp:inline>
        </w:drawing>
      </w:r>
    </w:p>
    <w:p w14:paraId="0D7A0B15" w14:textId="77777777" w:rsidR="00D14FC1" w:rsidRDefault="00D14FC1">
      <w:pPr>
        <w:rPr>
          <w:rFonts w:asciiTheme="majorHAnsi" w:eastAsiaTheme="majorEastAsia" w:hAnsiTheme="majorHAnsi" w:cstheme="majorBidi"/>
          <w:color w:val="0F4761" w:themeColor="accent1" w:themeShade="BF"/>
          <w:sz w:val="32"/>
          <w:szCs w:val="32"/>
        </w:rPr>
      </w:pPr>
      <w:bookmarkStart w:id="36" w:name="figure-4"/>
      <w:bookmarkEnd w:id="35"/>
      <w:r>
        <w:br w:type="page"/>
      </w:r>
    </w:p>
    <w:p w14:paraId="478D52A3" w14:textId="79F446F5" w:rsidR="00073AD9" w:rsidRDefault="00705772">
      <w:pPr>
        <w:pStyle w:val="2"/>
      </w:pPr>
      <w:r>
        <w:rPr>
          <w:rFonts w:hint="eastAsia"/>
          <w:noProof/>
          <w:lang w:eastAsia="ja-JP"/>
        </w:rPr>
        <w:lastRenderedPageBreak/>
        <w:drawing>
          <wp:anchor distT="0" distB="0" distL="114300" distR="114300" simplePos="0" relativeHeight="251664384" behindDoc="0" locked="0" layoutInCell="1" allowOverlap="1" wp14:anchorId="229BDE8F" wp14:editId="2D018949">
            <wp:simplePos x="0" y="0"/>
            <wp:positionH relativeFrom="column">
              <wp:posOffset>1905</wp:posOffset>
            </wp:positionH>
            <wp:positionV relativeFrom="paragraph">
              <wp:posOffset>301625</wp:posOffset>
            </wp:positionV>
            <wp:extent cx="5920740" cy="4779869"/>
            <wp:effectExtent l="0" t="0" r="3810" b="1905"/>
            <wp:wrapNone/>
            <wp:docPr id="19185663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66304" name="図 19185663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23361" cy="4781985"/>
                    </a:xfrm>
                    <a:prstGeom prst="rect">
                      <a:avLst/>
                    </a:prstGeom>
                  </pic:spPr>
                </pic:pic>
              </a:graphicData>
            </a:graphic>
            <wp14:sizeRelH relativeFrom="margin">
              <wp14:pctWidth>0</wp14:pctWidth>
            </wp14:sizeRelH>
            <wp14:sizeRelV relativeFrom="margin">
              <wp14:pctHeight>0</wp14:pctHeight>
            </wp14:sizeRelV>
          </wp:anchor>
        </w:drawing>
      </w:r>
      <w:r>
        <w:t xml:space="preserve">Figure </w:t>
      </w:r>
      <w:r w:rsidR="00217E23">
        <w:rPr>
          <w:rFonts w:hint="eastAsia"/>
          <w:lang w:eastAsia="ja-JP"/>
        </w:rPr>
        <w:t>3</w:t>
      </w:r>
    </w:p>
    <w:p w14:paraId="13A80F8F" w14:textId="772C4F8A" w:rsidR="00073AD9" w:rsidRDefault="00073AD9">
      <w:pPr>
        <w:pStyle w:val="FirstParagraph"/>
        <w:rPr>
          <w:lang w:eastAsia="ja-JP"/>
        </w:rPr>
      </w:pPr>
    </w:p>
    <w:p w14:paraId="6BB77F9C" w14:textId="12F22B3C" w:rsidR="008F4985" w:rsidRPr="008F4985" w:rsidRDefault="008F4985" w:rsidP="008F4985">
      <w:pPr>
        <w:pStyle w:val="a0"/>
        <w:rPr>
          <w:lang w:eastAsia="ja-JP"/>
        </w:rPr>
      </w:pPr>
    </w:p>
    <w:p w14:paraId="31699A58" w14:textId="274A5CD1" w:rsidR="00073AD9" w:rsidRDefault="00000000">
      <w:pPr>
        <w:pStyle w:val="2"/>
      </w:pPr>
      <w:bookmarkStart w:id="37" w:name="figure-5"/>
      <w:bookmarkEnd w:id="36"/>
      <w:r>
        <w:t xml:space="preserve">Figure </w:t>
      </w:r>
      <w:r w:rsidR="00217E23">
        <w:rPr>
          <w:rFonts w:hint="eastAsia"/>
          <w:lang w:eastAsia="ja-JP"/>
        </w:rPr>
        <w:t>4</w:t>
      </w:r>
    </w:p>
    <w:p w14:paraId="3B53010E" w14:textId="6AD778BE" w:rsidR="00073AD9" w:rsidRDefault="00073AD9">
      <w:pPr>
        <w:pStyle w:val="FirstParagraph"/>
        <w:rPr>
          <w:lang w:eastAsia="ja-JP"/>
        </w:rPr>
      </w:pPr>
    </w:p>
    <w:p w14:paraId="23DBE9FC" w14:textId="333EE755" w:rsidR="008F4985" w:rsidRPr="008F4985" w:rsidRDefault="008F4985" w:rsidP="008F4985">
      <w:pPr>
        <w:pStyle w:val="a0"/>
        <w:rPr>
          <w:lang w:eastAsia="ja-JP"/>
        </w:rPr>
      </w:pPr>
    </w:p>
    <w:p w14:paraId="7A5C3CD1" w14:textId="69A72967" w:rsidR="00073AD9" w:rsidRDefault="00000000">
      <w:pPr>
        <w:pStyle w:val="2"/>
      </w:pPr>
      <w:bookmarkStart w:id="38" w:name="figure-6"/>
      <w:bookmarkEnd w:id="37"/>
      <w:r>
        <w:t xml:space="preserve">Figure </w:t>
      </w:r>
      <w:r w:rsidR="00217E23">
        <w:rPr>
          <w:rFonts w:hint="eastAsia"/>
          <w:lang w:eastAsia="ja-JP"/>
        </w:rPr>
        <w:t>5</w:t>
      </w:r>
    </w:p>
    <w:bookmarkEnd w:id="27"/>
    <w:bookmarkEnd w:id="38"/>
    <w:p w14:paraId="3F9609BF" w14:textId="2AD60FA1" w:rsidR="00073AD9" w:rsidRDefault="00073AD9">
      <w:pPr>
        <w:pStyle w:val="FirstParagraph"/>
        <w:rPr>
          <w:lang w:eastAsia="ja-JP"/>
        </w:rPr>
      </w:pPr>
    </w:p>
    <w:p w14:paraId="4626B7B6" w14:textId="4064F8C2" w:rsidR="00D14FC1" w:rsidRDefault="00D14FC1">
      <w:pPr>
        <w:rPr>
          <w:lang w:eastAsia="ja-JP"/>
        </w:rPr>
      </w:pPr>
      <w:r>
        <w:rPr>
          <w:lang w:eastAsia="ja-JP"/>
        </w:rPr>
        <w:br w:type="page"/>
      </w:r>
    </w:p>
    <w:p w14:paraId="6A6ED019" w14:textId="11ED0732" w:rsidR="00D14FC1" w:rsidRDefault="00705772" w:rsidP="00D14FC1">
      <w:pPr>
        <w:pStyle w:val="2"/>
      </w:pPr>
      <w:r>
        <w:rPr>
          <w:noProof/>
          <w:lang w:eastAsia="ja-JP"/>
        </w:rPr>
        <w:lastRenderedPageBreak/>
        <w:drawing>
          <wp:anchor distT="0" distB="0" distL="114300" distR="114300" simplePos="0" relativeHeight="251665408" behindDoc="0" locked="0" layoutInCell="1" allowOverlap="1" wp14:anchorId="231685EE" wp14:editId="6919D23D">
            <wp:simplePos x="0" y="0"/>
            <wp:positionH relativeFrom="column">
              <wp:posOffset>1904</wp:posOffset>
            </wp:positionH>
            <wp:positionV relativeFrom="paragraph">
              <wp:posOffset>301625</wp:posOffset>
            </wp:positionV>
            <wp:extent cx="5981733" cy="4686300"/>
            <wp:effectExtent l="0" t="0" r="0" b="0"/>
            <wp:wrapNone/>
            <wp:docPr id="128756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244" name="図 1287562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82533" cy="4686927"/>
                    </a:xfrm>
                    <a:prstGeom prst="rect">
                      <a:avLst/>
                    </a:prstGeom>
                  </pic:spPr>
                </pic:pic>
              </a:graphicData>
            </a:graphic>
            <wp14:sizeRelH relativeFrom="margin">
              <wp14:pctWidth>0</wp14:pctWidth>
            </wp14:sizeRelH>
            <wp14:sizeRelV relativeFrom="margin">
              <wp14:pctHeight>0</wp14:pctHeight>
            </wp14:sizeRelV>
          </wp:anchor>
        </w:drawing>
      </w:r>
      <w:r w:rsidR="00D14FC1">
        <w:t xml:space="preserve">Figure </w:t>
      </w:r>
      <w:r w:rsidR="00D14FC1">
        <w:rPr>
          <w:rFonts w:hint="eastAsia"/>
          <w:lang w:eastAsia="ja-JP"/>
        </w:rPr>
        <w:t>4</w:t>
      </w:r>
    </w:p>
    <w:p w14:paraId="107598DC" w14:textId="3F3290E2" w:rsidR="00D14FC1" w:rsidRDefault="00D14FC1" w:rsidP="008F4985">
      <w:pPr>
        <w:pStyle w:val="a0"/>
        <w:rPr>
          <w:lang w:eastAsia="ja-JP"/>
        </w:rPr>
      </w:pPr>
    </w:p>
    <w:p w14:paraId="39484A85" w14:textId="1EAEB92C" w:rsidR="00D14FC1" w:rsidRDefault="00D14FC1" w:rsidP="008F4985">
      <w:pPr>
        <w:pStyle w:val="a0"/>
        <w:rPr>
          <w:lang w:eastAsia="ja-JP"/>
        </w:rPr>
      </w:pPr>
    </w:p>
    <w:p w14:paraId="0BB5D86A" w14:textId="509706FC" w:rsidR="00D14FC1" w:rsidRDefault="00D14FC1" w:rsidP="008F4985">
      <w:pPr>
        <w:pStyle w:val="a0"/>
        <w:rPr>
          <w:lang w:eastAsia="ja-JP"/>
        </w:rPr>
      </w:pPr>
    </w:p>
    <w:p w14:paraId="3DFAE28C" w14:textId="1B370D3D" w:rsidR="00D14FC1" w:rsidRDefault="00D14FC1" w:rsidP="008F4985">
      <w:pPr>
        <w:pStyle w:val="a0"/>
        <w:rPr>
          <w:lang w:eastAsia="ja-JP"/>
        </w:rPr>
      </w:pPr>
    </w:p>
    <w:p w14:paraId="65D6B69A" w14:textId="77777777" w:rsidR="00D14FC1" w:rsidRDefault="00D14FC1" w:rsidP="008F4985">
      <w:pPr>
        <w:pStyle w:val="a0"/>
        <w:rPr>
          <w:lang w:eastAsia="ja-JP"/>
        </w:rPr>
      </w:pPr>
    </w:p>
    <w:p w14:paraId="0A2D79A1" w14:textId="7E583AB5" w:rsidR="00D14FC1" w:rsidRDefault="00D14FC1" w:rsidP="008F4985">
      <w:pPr>
        <w:pStyle w:val="a0"/>
        <w:rPr>
          <w:lang w:eastAsia="ja-JP"/>
        </w:rPr>
      </w:pPr>
    </w:p>
    <w:p w14:paraId="4F21002D" w14:textId="77777777" w:rsidR="00D14FC1" w:rsidRDefault="00D14FC1" w:rsidP="008F4985">
      <w:pPr>
        <w:pStyle w:val="a0"/>
        <w:rPr>
          <w:lang w:eastAsia="ja-JP"/>
        </w:rPr>
      </w:pPr>
    </w:p>
    <w:p w14:paraId="3FAFC9DB" w14:textId="3DDC1D70" w:rsidR="00D14FC1" w:rsidRDefault="00D14FC1" w:rsidP="008F4985">
      <w:pPr>
        <w:pStyle w:val="a0"/>
        <w:rPr>
          <w:lang w:eastAsia="ja-JP"/>
        </w:rPr>
      </w:pPr>
    </w:p>
    <w:p w14:paraId="224162E8" w14:textId="77777777" w:rsidR="00D14FC1" w:rsidRDefault="00D14FC1" w:rsidP="008F4985">
      <w:pPr>
        <w:pStyle w:val="a0"/>
        <w:rPr>
          <w:lang w:eastAsia="ja-JP"/>
        </w:rPr>
      </w:pPr>
    </w:p>
    <w:p w14:paraId="0E593001" w14:textId="77777777" w:rsidR="00D14FC1" w:rsidRDefault="00D14FC1" w:rsidP="008F4985">
      <w:pPr>
        <w:pStyle w:val="a0"/>
        <w:rPr>
          <w:lang w:eastAsia="ja-JP"/>
        </w:rPr>
      </w:pPr>
    </w:p>
    <w:p w14:paraId="10786153" w14:textId="79E0FE40" w:rsidR="00D14FC1" w:rsidRDefault="00D14FC1" w:rsidP="008F4985">
      <w:pPr>
        <w:pStyle w:val="a0"/>
        <w:rPr>
          <w:lang w:eastAsia="ja-JP"/>
        </w:rPr>
      </w:pPr>
    </w:p>
    <w:p w14:paraId="2EDAFDC1" w14:textId="77777777" w:rsidR="00D14FC1" w:rsidRDefault="00D14FC1" w:rsidP="008F4985">
      <w:pPr>
        <w:pStyle w:val="a0"/>
        <w:rPr>
          <w:lang w:eastAsia="ja-JP"/>
        </w:rPr>
      </w:pPr>
    </w:p>
    <w:p w14:paraId="494E16C2" w14:textId="77777777" w:rsidR="00D14FC1" w:rsidRDefault="00D14FC1" w:rsidP="008F4985">
      <w:pPr>
        <w:pStyle w:val="a0"/>
        <w:rPr>
          <w:lang w:eastAsia="ja-JP"/>
        </w:rPr>
      </w:pPr>
    </w:p>
    <w:p w14:paraId="25D3941E" w14:textId="77777777" w:rsidR="00D14FC1" w:rsidRDefault="00D14FC1" w:rsidP="008F4985">
      <w:pPr>
        <w:pStyle w:val="a0"/>
        <w:rPr>
          <w:lang w:eastAsia="ja-JP"/>
        </w:rPr>
      </w:pPr>
    </w:p>
    <w:p w14:paraId="28781404" w14:textId="73631CEA" w:rsidR="00D14FC1" w:rsidRDefault="00D14FC1" w:rsidP="008F4985">
      <w:pPr>
        <w:pStyle w:val="a0"/>
        <w:rPr>
          <w:lang w:eastAsia="ja-JP"/>
        </w:rPr>
      </w:pPr>
    </w:p>
    <w:p w14:paraId="235EA5BF" w14:textId="77777777" w:rsidR="00D14FC1" w:rsidRDefault="00D14FC1" w:rsidP="008F4985">
      <w:pPr>
        <w:pStyle w:val="a0"/>
        <w:rPr>
          <w:lang w:eastAsia="ja-JP"/>
        </w:rPr>
      </w:pPr>
    </w:p>
    <w:p w14:paraId="511BEACF" w14:textId="77777777" w:rsidR="00D14FC1" w:rsidRDefault="00D14FC1" w:rsidP="008F4985">
      <w:pPr>
        <w:pStyle w:val="a0"/>
        <w:rPr>
          <w:lang w:eastAsia="ja-JP"/>
        </w:rPr>
      </w:pPr>
    </w:p>
    <w:p w14:paraId="6FF5C234" w14:textId="77777777" w:rsidR="00D14FC1" w:rsidRDefault="00D14FC1" w:rsidP="008F4985">
      <w:pPr>
        <w:pStyle w:val="a0"/>
        <w:rPr>
          <w:lang w:eastAsia="ja-JP"/>
        </w:rPr>
      </w:pPr>
    </w:p>
    <w:p w14:paraId="3A2A2F26" w14:textId="77777777" w:rsidR="00D14FC1" w:rsidRDefault="00D14FC1">
      <w:pPr>
        <w:rPr>
          <w:lang w:eastAsia="ja-JP"/>
        </w:rPr>
      </w:pPr>
      <w:r>
        <w:rPr>
          <w:lang w:eastAsia="ja-JP"/>
        </w:rPr>
        <w:br w:type="page"/>
      </w:r>
    </w:p>
    <w:p w14:paraId="39913909" w14:textId="1AA8F4C8" w:rsidR="00D14FC1" w:rsidRDefault="00D14FC1" w:rsidP="00D14FC1">
      <w:pPr>
        <w:pStyle w:val="2"/>
        <w:rPr>
          <w:lang w:eastAsia="ja-JP"/>
        </w:rPr>
      </w:pPr>
      <w:r>
        <w:lastRenderedPageBreak/>
        <w:t xml:space="preserve">Figure </w:t>
      </w:r>
      <w:r>
        <w:rPr>
          <w:rFonts w:hint="eastAsia"/>
          <w:lang w:eastAsia="ja-JP"/>
        </w:rPr>
        <w:t>5</w:t>
      </w:r>
    </w:p>
    <w:p w14:paraId="737E15D5" w14:textId="23A16EA3" w:rsidR="00104EB5" w:rsidRPr="00104EB5" w:rsidRDefault="00104EB5" w:rsidP="00104EB5">
      <w:pPr>
        <w:pStyle w:val="a0"/>
        <w:rPr>
          <w:lang w:eastAsia="ja-JP"/>
        </w:rPr>
      </w:pPr>
      <w:r>
        <w:rPr>
          <w:rFonts w:hint="eastAsia"/>
          <w:noProof/>
          <w:lang w:eastAsia="ja-JP"/>
        </w:rPr>
        <w:drawing>
          <wp:anchor distT="0" distB="0" distL="114300" distR="114300" simplePos="0" relativeHeight="251666432" behindDoc="0" locked="0" layoutInCell="1" allowOverlap="1" wp14:anchorId="67D9A212" wp14:editId="7D94DAA3">
            <wp:simplePos x="0" y="0"/>
            <wp:positionH relativeFrom="margin">
              <wp:align>left</wp:align>
            </wp:positionH>
            <wp:positionV relativeFrom="paragraph">
              <wp:posOffset>33020</wp:posOffset>
            </wp:positionV>
            <wp:extent cx="6088380" cy="5814203"/>
            <wp:effectExtent l="0" t="0" r="7620" b="0"/>
            <wp:wrapNone/>
            <wp:docPr id="140911128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1280" name="図 14091112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89888" cy="5815643"/>
                    </a:xfrm>
                    <a:prstGeom prst="rect">
                      <a:avLst/>
                    </a:prstGeom>
                  </pic:spPr>
                </pic:pic>
              </a:graphicData>
            </a:graphic>
            <wp14:sizeRelH relativeFrom="margin">
              <wp14:pctWidth>0</wp14:pctWidth>
            </wp14:sizeRelH>
            <wp14:sizeRelV relativeFrom="margin">
              <wp14:pctHeight>0</wp14:pctHeight>
            </wp14:sizeRelV>
          </wp:anchor>
        </w:drawing>
      </w:r>
    </w:p>
    <w:p w14:paraId="260EE0EA" w14:textId="247EFF21" w:rsidR="008F4985" w:rsidRPr="008F4985" w:rsidRDefault="00D14FC1" w:rsidP="008F4985">
      <w:pPr>
        <w:pStyle w:val="a0"/>
        <w:rPr>
          <w:lang w:eastAsia="ja-JP"/>
        </w:rPr>
      </w:pPr>
      <w:r>
        <w:rPr>
          <w:rFonts w:hint="eastAsia"/>
          <w:noProof/>
          <w:lang w:eastAsia="ja-JP"/>
        </w:rPr>
        <w:drawing>
          <wp:anchor distT="0" distB="0" distL="114300" distR="114300" simplePos="0" relativeHeight="251661312" behindDoc="0" locked="0" layoutInCell="1" allowOverlap="1" wp14:anchorId="30F63E53" wp14:editId="4A1B410D">
            <wp:simplePos x="0" y="0"/>
            <wp:positionH relativeFrom="column">
              <wp:posOffset>243840</wp:posOffset>
            </wp:positionH>
            <wp:positionV relativeFrom="paragraph">
              <wp:posOffset>8632825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F4985" w:rsidRPr="008F4985">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28D93" w14:textId="77777777" w:rsidR="0064785C" w:rsidRDefault="0064785C" w:rsidP="00693197">
      <w:pPr>
        <w:spacing w:after="0"/>
      </w:pPr>
      <w:r>
        <w:separator/>
      </w:r>
    </w:p>
  </w:endnote>
  <w:endnote w:type="continuationSeparator" w:id="0">
    <w:p w14:paraId="2DFB5214" w14:textId="77777777" w:rsidR="0064785C" w:rsidRDefault="0064785C" w:rsidP="006931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64F08" w14:textId="77777777" w:rsidR="0064785C" w:rsidRDefault="0064785C" w:rsidP="00693197">
      <w:pPr>
        <w:spacing w:after="0"/>
      </w:pPr>
      <w:r>
        <w:separator/>
      </w:r>
    </w:p>
  </w:footnote>
  <w:footnote w:type="continuationSeparator" w:id="0">
    <w:p w14:paraId="0E3D6B57" w14:textId="77777777" w:rsidR="0064785C" w:rsidRDefault="0064785C" w:rsidP="006931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4" style="width:0;height:1.5pt" o:hralign="center" o:bullet="t" o:hrstd="t" o:hr="t"/>
    </w:pict>
  </w:numPicBullet>
  <w:numPicBullet w:numPicBulletId="1">
    <w:pict>
      <v:rect id="_x0000_i1035"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12D1E"/>
    <w:rsid w:val="00031BB0"/>
    <w:rsid w:val="00061A98"/>
    <w:rsid w:val="00073AD9"/>
    <w:rsid w:val="00086EBA"/>
    <w:rsid w:val="000B2A23"/>
    <w:rsid w:val="000B6CF6"/>
    <w:rsid w:val="000E57C4"/>
    <w:rsid w:val="00104EB5"/>
    <w:rsid w:val="0012601A"/>
    <w:rsid w:val="0015073F"/>
    <w:rsid w:val="00193A2D"/>
    <w:rsid w:val="001A6F0E"/>
    <w:rsid w:val="001C1A6A"/>
    <w:rsid w:val="00205AF3"/>
    <w:rsid w:val="00217E23"/>
    <w:rsid w:val="00233356"/>
    <w:rsid w:val="00237007"/>
    <w:rsid w:val="00252B64"/>
    <w:rsid w:val="002600F3"/>
    <w:rsid w:val="00311C5E"/>
    <w:rsid w:val="0036571E"/>
    <w:rsid w:val="00394F48"/>
    <w:rsid w:val="003E0C45"/>
    <w:rsid w:val="004213BC"/>
    <w:rsid w:val="00430353"/>
    <w:rsid w:val="00467353"/>
    <w:rsid w:val="00486D1E"/>
    <w:rsid w:val="004D1B18"/>
    <w:rsid w:val="004F4C8A"/>
    <w:rsid w:val="004F6621"/>
    <w:rsid w:val="0050388A"/>
    <w:rsid w:val="005168E9"/>
    <w:rsid w:val="00556984"/>
    <w:rsid w:val="0056563A"/>
    <w:rsid w:val="00581496"/>
    <w:rsid w:val="005936E7"/>
    <w:rsid w:val="005A5D79"/>
    <w:rsid w:val="005B47C8"/>
    <w:rsid w:val="00622A77"/>
    <w:rsid w:val="0064785C"/>
    <w:rsid w:val="006558D1"/>
    <w:rsid w:val="00693197"/>
    <w:rsid w:val="006C06DE"/>
    <w:rsid w:val="00705772"/>
    <w:rsid w:val="00787B37"/>
    <w:rsid w:val="00794CB3"/>
    <w:rsid w:val="007C7C3A"/>
    <w:rsid w:val="007D54A5"/>
    <w:rsid w:val="008227BE"/>
    <w:rsid w:val="0088113E"/>
    <w:rsid w:val="008873D7"/>
    <w:rsid w:val="00896745"/>
    <w:rsid w:val="008C1945"/>
    <w:rsid w:val="008D01AA"/>
    <w:rsid w:val="008F4985"/>
    <w:rsid w:val="00935FEB"/>
    <w:rsid w:val="009643D6"/>
    <w:rsid w:val="00981B6B"/>
    <w:rsid w:val="009903F0"/>
    <w:rsid w:val="009D3DC3"/>
    <w:rsid w:val="00A5630A"/>
    <w:rsid w:val="00A5744A"/>
    <w:rsid w:val="00A70305"/>
    <w:rsid w:val="00A76463"/>
    <w:rsid w:val="00AA6810"/>
    <w:rsid w:val="00AC651E"/>
    <w:rsid w:val="00AD046A"/>
    <w:rsid w:val="00AF5424"/>
    <w:rsid w:val="00AF5DD0"/>
    <w:rsid w:val="00B33ACE"/>
    <w:rsid w:val="00B36817"/>
    <w:rsid w:val="00B4073B"/>
    <w:rsid w:val="00B53F4E"/>
    <w:rsid w:val="00B65167"/>
    <w:rsid w:val="00BB5CB9"/>
    <w:rsid w:val="00C22C4D"/>
    <w:rsid w:val="00C34A0D"/>
    <w:rsid w:val="00C37C37"/>
    <w:rsid w:val="00C55966"/>
    <w:rsid w:val="00C6603A"/>
    <w:rsid w:val="00C974D0"/>
    <w:rsid w:val="00CA3F03"/>
    <w:rsid w:val="00CA66DC"/>
    <w:rsid w:val="00CA7656"/>
    <w:rsid w:val="00D14FC1"/>
    <w:rsid w:val="00D32F9A"/>
    <w:rsid w:val="00D86264"/>
    <w:rsid w:val="00DB17F0"/>
    <w:rsid w:val="00DE6F01"/>
    <w:rsid w:val="00E11A9A"/>
    <w:rsid w:val="00E32604"/>
    <w:rsid w:val="00E337F2"/>
    <w:rsid w:val="00E378C4"/>
    <w:rsid w:val="00E53E4C"/>
    <w:rsid w:val="00E71CD2"/>
    <w:rsid w:val="00E911FF"/>
    <w:rsid w:val="00E938C0"/>
    <w:rsid w:val="00EE7FCD"/>
    <w:rsid w:val="00EF13C4"/>
    <w:rsid w:val="00EF7F20"/>
    <w:rsid w:val="00F04F3D"/>
    <w:rsid w:val="00F15238"/>
    <w:rsid w:val="00F25F6D"/>
    <w:rsid w:val="00F52EFF"/>
    <w:rsid w:val="00F61CC0"/>
    <w:rsid w:val="00F7283B"/>
    <w:rsid w:val="00F82C7B"/>
    <w:rsid w:val="00F964C5"/>
    <w:rsid w:val="00FA4697"/>
    <w:rsid w:val="00FB1385"/>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 w:type="paragraph" w:styleId="af8">
    <w:name w:val="header"/>
    <w:basedOn w:val="a"/>
    <w:link w:val="af9"/>
    <w:rsid w:val="00693197"/>
    <w:pPr>
      <w:tabs>
        <w:tab w:val="center" w:pos="4252"/>
        <w:tab w:val="right" w:pos="8504"/>
      </w:tabs>
      <w:snapToGrid w:val="0"/>
    </w:pPr>
  </w:style>
  <w:style w:type="character" w:customStyle="1" w:styleId="af9">
    <w:name w:val="ヘッダー (文字)"/>
    <w:basedOn w:val="a1"/>
    <w:link w:val="af8"/>
    <w:rsid w:val="00693197"/>
  </w:style>
  <w:style w:type="paragraph" w:styleId="afa">
    <w:name w:val="footer"/>
    <w:basedOn w:val="a"/>
    <w:link w:val="afb"/>
    <w:rsid w:val="00693197"/>
    <w:pPr>
      <w:tabs>
        <w:tab w:val="center" w:pos="4252"/>
        <w:tab w:val="right" w:pos="8504"/>
      </w:tabs>
      <w:snapToGrid w:val="0"/>
    </w:pPr>
  </w:style>
  <w:style w:type="character" w:customStyle="1" w:styleId="afb">
    <w:name w:val="フッター (文字)"/>
    <w:basedOn w:val="a1"/>
    <w:link w:val="afa"/>
    <w:rsid w:val="00693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7590</Words>
  <Characters>43263</Characters>
  <Application>Microsoft Office Word</Application>
  <DocSecurity>0</DocSecurity>
  <Lines>360</Lines>
  <Paragraphs>101</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50752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治輝 齋藤</dc:creator>
  <cp:keywords/>
  <cp:lastModifiedBy>治輝 齋藤</cp:lastModifiedBy>
  <cp:revision>3</cp:revision>
  <dcterms:created xsi:type="dcterms:W3CDTF">2026-05-01T12:12:00Z</dcterms:created>
  <dcterms:modified xsi:type="dcterms:W3CDTF">2026-05-01T12:14:00Z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