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67.png" ContentType="image/png"/>
  <Override PartName="/word/media/rId63.png" ContentType="image/png"/>
  <Override PartName="/word/media/rId5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Author"/>
      </w:pPr>
      <w:r>
        <w:t xml:space="preserve">[Author 1]</w:t>
      </w:r>
    </w:p>
    <w:p>
      <w:pPr>
        <w:pStyle w:val="Author"/>
      </w:pPr>
      <w:r>
        <w:t xml:space="preserve">[Author 2]</w:t>
      </w:r>
    </w:p>
    <w:p>
      <w:pPr>
        <w:pStyle w:val="Date"/>
      </w:pPr>
      <w:r>
        <w:t xml:space="preserve">2026-02-19</w:t>
      </w:r>
    </w:p>
    <w:p>
      <w:r>
        <w:pict>
          <v:rect style="width:0;height:1.5pt" o:hralign="center" o:hrstd="t" o:hr="t"/>
        </w:pict>
      </w:r>
    </w:p>
    <w:bookmarkStart w:id="25" w:name="abstract"/>
    <w:p>
      <w:pPr>
        <w:pStyle w:val="Heading1"/>
      </w:pPr>
      <w:r>
        <w:t xml:space="preserve">Abstract</w:t>
      </w:r>
    </w:p>
    <w:bookmarkStart w:id="20" w:name="background"/>
    <w:p>
      <w:pPr>
        <w:pStyle w:val="Heading2"/>
      </w:pPr>
      <w:r>
        <w:t xml:space="preserve">Background</w:t>
      </w:r>
    </w:p>
    <w:p>
      <w:pPr>
        <w:pStyle w:val="FirstParagraph"/>
      </w:pPr>
      <w:r>
        <w:t xml:space="preserve">Hip fracture is a leading cause of disability and mortality among older adults, imposing substantial healthcare costs exceeding 1,000 billion yen annually in Japan. While multiple individual risk factors have been identified, environmental determinants of fall-related fractures at the community level remain incompletely understood. Terrain slope is a candidate environmental determinant, with international evidence from Norway and China suggesting elevated fracture risk in high-elevation, topographically complex regions. However, no nationwide study has quantified the terrain–hip fracture association in Japan using population-based administrative data.</w:t>
      </w:r>
    </w:p>
    <w:bookmarkEnd w:id="20"/>
    <w:bookmarkStart w:id="21" w:name="objective"/>
    <w:p>
      <w:pPr>
        <w:pStyle w:val="Heading2"/>
      </w:pPr>
      <w:r>
        <w:t xml:space="preserve">Objective</w:t>
      </w:r>
    </w:p>
    <w:p>
      <w:pPr>
        <w:pStyle w:val="FirstParagraph"/>
      </w:pPr>
      <w:r>
        <w:t xml:space="preserve">We examined whether prefectural-level terrain slope was associated with hip fracture surgery rates among older adults across Japan, whether this association was independent of aging rate and walking speed, and whether the association exhibited fracture-site specificity consistent with biomechanical mechanisms.</w:t>
      </w:r>
    </w:p>
    <w:bookmarkEnd w:id="21"/>
    <w:bookmarkStart w:id="22" w:name="methods"/>
    <w:p>
      <w:pPr>
        <w:pStyle w:val="Heading2"/>
      </w:pPr>
      <w:r>
        <w:t xml:space="preserve">Methods</w:t>
      </w:r>
    </w:p>
    <w:p>
      <w:pPr>
        <w:pStyle w:val="FirstParagraph"/>
      </w:pPr>
      <w:r>
        <w:t xml:space="preserve">We conducted a nationwide ecological study using 47 Japanese prefectures as the unit of analysis. Fracture surgery rates (per 100,000 population) were derived from the 10th National Database (NDB) Open Data (fiscal year 2021). Terrain slope was calculated from 10-m resolution digital elevation model (DEM) data provided by the Geospatial Information Authority of Japan, weighted by habitable land area to reflect residential exposure. The proportion of individuals with fast walking speed was obtained from the NDB Specific Health Checkup questionnaire. We fit multivariable linear regression models adjusting for aging rate (proportion aged ≥65 years), fast walking rate, and population density.</w:t>
      </w:r>
    </w:p>
    <w:bookmarkEnd w:id="22"/>
    <w:bookmarkStart w:id="23" w:name="results"/>
    <w:p>
      <w:pPr>
        <w:pStyle w:val="Heading2"/>
      </w:pPr>
      <w:r>
        <w:t xml:space="preserve">Results</w:t>
      </w:r>
    </w:p>
    <w:p>
      <w:pPr>
        <w:pStyle w:val="FirstParagraph"/>
      </w:pPr>
      <w:r>
        <w:t xml:space="preserve">The mean habitable-area-weighted terrain slope across prefectures was 8.57 ± 3.16 degrees (range: 1.81–15.43 degrees). The mean hip fracture surgery rate was 254.0 ± 37.6 per 100,000 population. In the unadjusted model, slope was positively associated with hip fracture rate (β = 5.65; 95% CI, 2.50–8.79; R² = 0.225;</w:t>
      </w:r>
      <w:r>
        <w:t xml:space="preserve"> </w:t>
      </w:r>
      <w:r>
        <w:rPr>
          <w:i/>
          <w:iCs/>
        </w:rPr>
        <w:t xml:space="preserve">p</w:t>
      </w:r>
      <w:r>
        <w:t xml:space="preserve"> </w:t>
      </w:r>
      <w:r>
        <w:t xml:space="preserve">= 0.001). After adjusting for aging rate, fast walking rate, and population density, the association remained statistically significant (β = 3.49; 95% CI, 0.11–6.86; R² = 0.385;</w:t>
      </w:r>
      <w:r>
        <w:t xml:space="preserve"> </w:t>
      </w:r>
      <w:r>
        <w:rPr>
          <w:i/>
          <w:iCs/>
        </w:rPr>
        <w:t xml:space="preserve">p</w:t>
      </w:r>
      <w:r>
        <w:t xml:space="preserve"> </w:t>
      </w:r>
      <w:r>
        <w:t xml:space="preserve">= 0.043), indicating that each one-degree increase in slope was associated with approximately 3.5 additional hip fracture surgeries per 100,000 population. Aging rate was also a significant predictor (β = 5.53;</w:t>
      </w:r>
      <w:r>
        <w:t xml:space="preserve"> </w:t>
      </w:r>
      <w:r>
        <w:rPr>
          <w:i/>
          <w:iCs/>
        </w:rPr>
        <w:t xml:space="preserve">p</w:t>
      </w:r>
      <w:r>
        <w:t xml:space="preserve"> </w:t>
      </w:r>
      <w:r>
        <w:t xml:space="preserve">= 0.011). Notably, no significant association was observed for humerus or forearm fractures, demonstrating fracture-site specificity.</w:t>
      </w:r>
    </w:p>
    <w:bookmarkEnd w:id="23"/>
    <w:bookmarkStart w:id="24" w:name="conclusions"/>
    <w:p>
      <w:pPr>
        <w:pStyle w:val="Heading2"/>
      </w:pPr>
      <w:r>
        <w:t xml:space="preserve">Conclusions</w:t>
      </w:r>
    </w:p>
    <w:p>
      <w:pPr>
        <w:pStyle w:val="FirstParagraph"/>
      </w:pPr>
      <w:r>
        <w:t xml:space="preserve">Terrain slope was independently associated with hip fracture surgery rates across Japanese prefectures after adjustment for aging, walking speed, and population density. The fracture-site specificity (hip but not upper extremity) is consistent with biomechanical evidence that inclined terrain increases lateral fall risk and direct impact loading to the greater trochanter. These findings align with international ecological studies (Norway NOREPOS, China CHARLS) and suggest that topographic characteristics merit consideration in community-level fall prevention. Future individual-level studies with spatial analysis and mediation modeling are warranted to confirm these population-level findings.</w:t>
      </w:r>
    </w:p>
    <w:p>
      <w:pPr>
        <w:pStyle w:val="BodyText"/>
      </w:pPr>
      <w:r>
        <w:rPr>
          <w:b/>
          <w:bCs/>
        </w:rPr>
        <w:t xml:space="preserve">Keywords</w:t>
      </w:r>
      <w:r>
        <w:t xml:space="preserve">: terrain slope; hip fracture; ecological study; fall prevention; Japan; NDB Open Data</w:t>
      </w:r>
    </w:p>
    <w:p>
      <w:r>
        <w:pict>
          <v:rect style="width:0;height:1.5pt" o:hralign="center" o:hrstd="t" o:hr="t"/>
        </w:pict>
      </w:r>
    </w:p>
    <w:bookmarkEnd w:id="24"/>
    <w:bookmarkEnd w:id="25"/>
    <w:bookmarkStart w:id="26"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6"/>
    <w:bookmarkStart w:id="33" w:name="methods-1"/>
    <w:p>
      <w:pPr>
        <w:pStyle w:val="Heading1"/>
      </w:pPr>
      <w:r>
        <w:t xml:space="preserve">Methods</w:t>
      </w:r>
    </w:p>
    <w:bookmarkStart w:id="27"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bookmarkEnd w:id="27"/>
    <w:bookmarkStart w:id="28" w:name="outcome-fracture-surgery-rates"/>
    <w:p>
      <w:pPr>
        <w:pStyle w:val="Heading2"/>
      </w:pPr>
      <w:r>
        <w:t xml:space="preserve">2. Outcome: Fracture Surgery Rates</w:t>
      </w:r>
    </w:p>
    <w:p>
      <w:pPr>
        <w:pStyle w:val="FirstParagraph"/>
      </w:pPr>
      <w:r>
        <w:t xml:space="preserve">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bookmarkEnd w:id="28"/>
    <w:bookmarkStart w:id="29"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9"/>
    <w:bookmarkStart w:id="30"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30"/>
    <w:bookmarkStart w:id="31"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31"/>
    <w:bookmarkStart w:id="32" w:name="statistical-analysis"/>
    <w:p>
      <w:pPr>
        <w:pStyle w:val="Heading2"/>
      </w:pPr>
      <w:r>
        <w:t xml:space="preserve">6. Statistical Analysis</w:t>
      </w:r>
    </w:p>
    <w:p>
      <w:pPr>
        <w:pStyle w:val="FirstParagraph"/>
      </w:pPr>
      <w:r>
        <w:t xml:space="preserve">We first examined the distribution of all variables using descriptive statistics (mean, SD, median, range).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3.11) with the</w:t>
      </w:r>
      <w:r>
        <w:t xml:space="preserve"> </w:t>
      </w:r>
      <w:r>
        <w:rPr>
          <w:rStyle w:val="VerbatimChar"/>
        </w:rPr>
        <w:t xml:space="preserve">statsmodels</w:t>
      </w:r>
      <w:r>
        <w:t xml:space="preserve"> </w:t>
      </w:r>
      <w:r>
        <w:t xml:space="preserve">library (version 0.14).</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32"/>
    <w:bookmarkEnd w:id="33"/>
    <w:bookmarkStart w:id="38" w:name="results-1"/>
    <w:p>
      <w:pPr>
        <w:pStyle w:val="Heading1"/>
      </w:pPr>
      <w:r>
        <w:t xml:space="preserve">Results</w:t>
      </w:r>
    </w:p>
    <w:bookmarkStart w:id="34"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(range: 1.81–15.43 degrees) (Table 1). The mean hip fracture surgery rate was 254.0 ± 37.6 per 100,000 population (range: 167.6–329.6), and the mean total fracture surgery rate was 352.8 ± 54.9 per 100,000. The mean aging rate was 30.7 ± 3.1%, and the mean proportion with fast walking speed was 48.6 ± 4.3%.</w:t>
      </w:r>
    </w:p>
    <w:bookmarkEnd w:id="34"/>
    <w:bookmarkStart w:id="35"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5"/>
    <w:bookmarkStart w:id="36"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association between slope and hip fracture rate remained statistically significant (β = 3.49; 95% CI, 0.11–6.86; R² = 0.385;</w:t>
      </w:r>
      <w:r>
        <w:t xml:space="preserve"> </w:t>
      </w:r>
      <w:r>
        <w:rPr>
          <w:i/>
          <w:iCs/>
        </w:rPr>
        <w:t xml:space="preserve">p</w:t>
      </w:r>
      <w:r>
        <w:t xml:space="preserve"> </w:t>
      </w:r>
      <w:r>
        <w:t xml:space="preserve">= 0.043) (Table 3). Aging rate was also independently associated with hip fracture rate (β = 5.53; 95% CI, 1.32–9.74;</w:t>
      </w:r>
      <w:r>
        <w:t xml:space="preserve"> </w:t>
      </w:r>
      <w:r>
        <w:rPr>
          <w:i/>
          <w:iCs/>
        </w:rPr>
        <w:t xml:space="preserve">p</w:t>
      </w:r>
      <w:r>
        <w:t xml:space="preserve"> </w:t>
      </w:r>
      <w:r>
        <w:t xml:space="preserve">= 0.011). Fast walking rate showed a tendency toward a negative association with hip fracture rate, although this did not reach statistical significance (β = 2.02;</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bookmarkEnd w:id="36"/>
    <w:bookmarkStart w:id="37"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7"/>
    <w:bookmarkEnd w:id="38"/>
    <w:bookmarkStart w:id="47" w:name="discussion"/>
    <w:p>
      <w:pPr>
        <w:pStyle w:val="Heading1"/>
      </w:pPr>
      <w:r>
        <w:t xml:space="preserve">Discussion</w:t>
      </w:r>
    </w:p>
    <w:bookmarkStart w:id="39" w:name="main-findings"/>
    <w:p>
      <w:pPr>
        <w:pStyle w:val="Heading2"/>
      </w:pPr>
      <w:r>
        <w:t xml:space="preserve">1. Main Findings</w:t>
      </w:r>
    </w:p>
    <w:p>
      <w:pPr>
        <w:pStyle w:val="FirstParagraph"/>
      </w:pPr>
      <w:r>
        <w:t xml:space="preserve">This ecological study demonstrated that prefectural-level terrain slope was independently associated with hip fracture surgery rates across Japan after adjustment for aging rate, walking speed, and population density (β = 3.49 per one-degree increase,</w:t>
      </w:r>
      <w:r>
        <w:t xml:space="preserve"> </w:t>
      </w:r>
      <w:r>
        <w:rPr>
          <w:i/>
          <w:iCs/>
        </w:rPr>
        <w:t xml:space="preserve">p</w:t>
      </w:r>
      <w:r>
        <w:t xml:space="preserve"> </w:t>
      </w:r>
      <w:r>
        <w:t xml:space="preserve">= 0.043). Each additional degree of slope was associated with approximately 3.5 additional hip fracture surgeries per 100,000 population. This association was specific to hip fractures and was not observed for humerus or forearm fractures. Together, these results indicate that geographic variation in terrain steepness is associated with hip fracture surgical burden beyond demographic composition and measured walking capacity at the prefecture level.</w:t>
      </w:r>
    </w:p>
    <w:bookmarkEnd w:id="39"/>
    <w:bookmarkStart w:id="40" w:name="biological-plausibility"/>
    <w:p>
      <w:pPr>
        <w:pStyle w:val="Heading2"/>
      </w:pPr>
      <w:r>
        <w:t xml:space="preserve">2. Biological Plausibility</w:t>
      </w:r>
    </w:p>
    <w:p>
      <w:pPr>
        <w:pStyle w:val="FirstParagraph"/>
      </w:pPr>
      <w:r>
        <w:t xml:space="preserve">The specificity of the slope–fracture association to the hip is biologically plausible and supported by extensive biomechanical evidence. Hip fractures typically result from lateral (sideways) falls,22), 23)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confirmed that posterolateral and lateral impacts generate maximum tensile and compressive stresses at the superior and inferior aspects of the femoral neck, maximizing fracture vulnerability.26), 27)</w:t>
      </w:r>
    </w:p>
    <w:p>
      <w:pPr>
        <w:pStyle w:val="BodyText"/>
      </w:pPr>
      <w:r>
        <w:t xml:space="preserve">When walking downhill or across a slope, the body’s center of mass (CoM) shifts laterally, and the control of lateral stability becomes increasingly difficult.28), 29) The human gait pattern is biomechanically analogous to an inverted pendulum, with CoM tracing a bow-tie-shaped trajectory in three-dimensional space.29) On sloped terrain, maintaining CoM within the base of support (BoS) requires precise step-by-step adjustments of step width and foot placement.30)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29)</w:t>
      </w:r>
    </w:p>
    <w:p>
      <w:pPr>
        <w:pStyle w:val="BodyText"/>
      </w:pPr>
      <w:r>
        <w:t xml:space="preserve">In contrast, wrist (forearm) fractures are more commonly caused by protective extension reflexes during forward falls on flat surfaces.31), 32) When falling forward, individuals instinctively extend their arms to protect the head and torso, and kinematic studies show that elbow flexion and wrist dorsiflexion absorb fall energy, dramatically reducing pelvic impact velocity.31) Such forward falls typically occur from tripping on minor obstacles or steps indoors, rather than from rapid lateral displacement on steep slopes.32) Similarly, humerus fractures in older adults often result from low-energy obliquely forward falls on level ground and occur in relatively younger, more ambulatory individuals who retain arm-protective reflexes.33), 34) The fracture-site specificity observed in our data—significant association with hip fractures but not with humerus or forearm fractures—thus provides internal evidence consistent with the biomechanical paradigm that terrain slope specifically amplifies lateral fall risk.</w:t>
      </w:r>
    </w:p>
    <w:bookmarkEnd w:id="40"/>
    <w:bookmarkStart w:id="41"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regions.21) The NOREPOS investigators further identified that cold ambient temperature and icy terrain in mountainous areas amplified this geographic risk,35) a finding with direct relevance to snowy mountainous prefectures in Japan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women.22)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risk.36), 37) In Japan, Fujita et al. reported that frequency of going outdoors predicted physical function outcomes in rural community-dwelling older adults.14)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contributes to the global evidence base for terrain as a modifiable environmental risk factor.</w:t>
      </w:r>
    </w:p>
    <w:bookmarkEnd w:id="41"/>
    <w:bookmarkStart w:id="42"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selective outmigration of younger adults from rural and mountainous areas toward major metropolitan regions—a demographic pattern widely observed in aging societies.38), 39), 40)</w:t>
      </w:r>
    </w:p>
    <w:p>
      <w:pPr>
        <w:pStyle w:val="BodyText"/>
      </w:pPr>
      <w:r>
        <w:t xml:space="preserve">Rural mountain communities in Japan include municipalities where a high proportion of residents are aged 65 years or older and community functions are strained.41), 42) In such settings, public transportation, healthcare access, snow removal, and social support networks may be limited. Older adults in high-slope prefectures may therefore face compounded challenges from difficult outdoor terrain and constrained access to services.44), 45)</w:t>
      </w:r>
    </w:p>
    <w:p>
      <w:pPr>
        <w:pStyle w:val="BodyText"/>
      </w:pPr>
      <w:r>
        <w:t xml:space="preserve">The independent association of slope with hip fracture after adjustment for aging rate indicates that terrain constitutes a risk factor over and above demographic composition.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bookmarkEnd w:id="42"/>
    <w:bookmarkStart w:id="43" w:name="walking-speed-as-a-mediator"/>
    <w:p>
      <w:pPr>
        <w:pStyle w:val="Heading2"/>
      </w:pPr>
      <w:r>
        <w:t xml:space="preserve">5. Walking Speed as a Mediator</w:t>
      </w:r>
    </w:p>
    <w:p>
      <w:pPr>
        <w:pStyle w:val="FirstParagraph"/>
      </w:pPr>
      <w:r>
        <w:t xml:space="preserve">Fast walking rate showed a tendency toward a negative association with hip fracture rate (</w:t>
      </w:r>
      <w:r>
        <w:rPr>
          <w:i/>
          <w:iCs/>
        </w:rPr>
        <w:t xml:space="preserve">p</w:t>
      </w:r>
      <w:r>
        <w:t xml:space="preserve"> </w:t>
      </w:r>
      <w:r>
        <w:t xml:space="preserve">= 0.091), consistent with the literature designating walking speed as the</w:t>
      </w:r>
      <w:r>
        <w:t xml:space="preserve"> </w:t>
      </w:r>
      <w:r>
        <w:t xml:space="preserve">“sixth vital sign”</w:t>
      </w:r>
      <w:r>
        <w:t xml:space="preserve"> </w:t>
      </w:r>
      <w:r>
        <w:t xml:space="preserve">and a powerful predictor of adverse outcomes in older adults.17) Prospective cohort studies have demonstrated that walking speeds below 0.8 m/s or 0.69 m/s significantly elevate hip fracture incidence.16) Moreover, walking speed measured in clinical settings (flat 10-meter walk tests) may not accurately reflect real-world walking ability on complex outdoor terrain.18)</w:t>
      </w:r>
    </w:p>
    <w:p>
      <w:pPr>
        <w:pStyle w:val="BodyText"/>
      </w:pPr>
      <w:r>
        <w:t xml:space="preserve">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 The observed correlation between higher slope and lower fast walking rate (r = −0.264) in our data is consistent with this chronic mediation pathway.</w:t>
      </w:r>
    </w:p>
    <w:p>
      <w:pPr>
        <w:pStyle w:val="BodyText"/>
      </w:pPr>
      <w:r>
        <w:t xml:space="preserve">However, walking speed did not reach statistical significance in our multivariable model, and we did not observe a significant mediating role of walking speed in the slope–fracture association. This may reflect several limitations: (1) the NDB Specific Health Checkup captures self-reported habitual walking speed in adults aged 40–74 years, which may not accurately represent the functional capacity of the oldest-old (≥75 years) who are at highest fracture risk; (2) prefecture-level ecological analysis inherently lacks the granularity required to detect individual-level mediation pathways; and (3) non-differential measurement error in self-reported walking speed may bias estimates toward the null.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43"/>
    <w:bookmarkStart w:id="44"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46), 47) Acute care costs for hip fracture treatment reached approximately 1,000 billion yen in 2021,5) prompting the Japanese government to introduce a new reimbursement incentive in April 2022 for early surgery within 48 hours for patients aged ≥75 years.48)</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framework.49), 50), 51) However, research has shown that physical activity behavior is strongly dependent on neighborhood environmental features (sidewalk availability, safety, topography), not individual motivation alone.49), 52) Recommending</w:t>
      </w:r>
      <w:r>
        <w:t xml:space="preserve"> </w:t>
      </w:r>
      <w:r>
        <w:t xml:space="preserve">“10 additional minutes of outdoor walking”</w:t>
      </w:r>
      <w:r>
        <w:t xml:space="preserve"> </w:t>
      </w:r>
      <w:r>
        <w:t xml:space="preserve">in mountainous prefectures with mean slopes exceeding 10 degrees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pathways.53)</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44"/>
    <w:bookmarkStart w:id="45"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5"/>
    <w:bookmarkStart w:id="46"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relationships.54)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pPr>
        <w:pStyle w:val="BodyText"/>
      </w:pPr>
      <w:r>
        <w:t xml:space="preserve">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r>
        <w:pict>
          <v:rect style="width:0;height:1.5pt" o:hralign="center" o:hrstd="t" o:hr="t"/>
        </w:pict>
      </w:r>
    </w:p>
    <w:bookmarkEnd w:id="46"/>
    <w:bookmarkEnd w:id="47"/>
    <w:bookmarkStart w:id="48" w:name="conclusions-1"/>
    <w:p>
      <w:pPr>
        <w:pStyle w:val="Heading1"/>
      </w:pPr>
      <w:r>
        <w:t xml:space="preserve">Conclusions</w:t>
      </w:r>
    </w:p>
    <w:p>
      <w:pPr>
        <w:pStyle w:val="FirstParagraph"/>
      </w:pPr>
      <w:r>
        <w:t xml:space="preserve">At the prefectural level in Japan, habitable-area-weighted terrain slope was positively associated with hip fracture surgery rates after adjustment for aging rate, walking speed, and population density; the association was specific to hip fractures rather than upper-extremity fractures. Ecological designs cannot establish individual-level causality; longitudinal studies with geocoded exposure and objective gait measures are needed to confirm these population-level patterns.</w:t>
      </w:r>
    </w:p>
    <w:p>
      <w:r>
        <w:pict>
          <v:rect style="width:0;height:1.5pt" o:hralign="center" o:hrstd="t" o:hr="t"/>
        </w:pict>
      </w:r>
    </w:p>
    <w:bookmarkEnd w:id="48"/>
    <w:bookmarkStart w:id="49" w:name="references"/>
    <w:p>
      <w:pPr>
        <w:pStyle w:val="Heading1"/>
      </w:pPr>
      <w:r>
        <w:t xml:space="preserve">References</w:t>
      </w:r>
    </w:p>
    <w:p>
      <w:pPr>
        <w:pStyle w:val="Compact"/>
        <w:numPr>
          <w:ilvl w:val="0"/>
          <w:numId w:val="1002"/>
        </w:numPr>
      </w:pPr>
      <w:r>
        <w:t xml:space="preserve">Hagino H, Katagiri H, Okano T, Yamamoto K, Teshima R. Increasing incidence of hip fracture in Tottori Prefecture, Japan: trend from 1986 to 2001. Osteoporos Int. 2005;16(12):1963-1968.</w:t>
      </w:r>
    </w:p>
    <w:p>
      <w:pPr>
        <w:pStyle w:val="Compact"/>
        <w:numPr>
          <w:ilvl w:val="0"/>
          <w:numId w:val="1002"/>
        </w:numPr>
      </w:pPr>
      <w:r>
        <w:t xml:space="preserve">Orimo H, Yaegashi Y, Hosoi T, Fukushima Y, Onoda T, Hashimoto T, et al. Hip fracture incidence in Japan: estimates of new patients in 2012 and 25-year trends. Osteoporos Int. 2016;27(5):1777-1784.</w:t>
      </w:r>
    </w:p>
    <w:p>
      <w:pPr>
        <w:pStyle w:val="Compact"/>
        <w:numPr>
          <w:ilvl w:val="0"/>
          <w:numId w:val="1002"/>
        </w:numPr>
      </w:pPr>
      <w:r>
        <w:t xml:space="preserve">Cooper C, Campion G, Melton LJ 3rd. Hip fractures in the elderly: a world-wide projection. Osteoporos Int. 1992;2(6):285-289.</w:t>
      </w:r>
    </w:p>
    <w:p>
      <w:pPr>
        <w:pStyle w:val="Compact"/>
        <w:numPr>
          <w:ilvl w:val="0"/>
          <w:numId w:val="1002"/>
        </w:numPr>
      </w:pPr>
      <w:r>
        <w:t xml:space="preserve">Nakatoh S, Fujimori K, Ishii S, Iki M. Trends in the incidence of hip fractures and osteoporosis treatment in Japan (FY2012–FY2023). Arch Osteoporos. 2025; 21(1):16.</w:t>
      </w:r>
    </w:p>
    <w:p>
      <w:pPr>
        <w:pStyle w:val="Compact"/>
        <w:numPr>
          <w:ilvl w:val="0"/>
          <w:numId w:val="1002"/>
        </w:numPr>
      </w:pPr>
      <w:r>
        <w:t xml:space="preserve">Hatano M, Yasunaga H, Ishikura H, et al. Temporal trends in acute care costs of hip fracture treatment from 2011 to 2021 in Japan. Arch Osteoporos. 2025;20(1):124.</w:t>
      </w:r>
    </w:p>
    <w:p>
      <w:pPr>
        <w:pStyle w:val="Compact"/>
        <w:numPr>
          <w:ilvl w:val="0"/>
          <w:numId w:val="1002"/>
        </w:numPr>
      </w:pPr>
      <w:r>
        <w:t xml:space="preserve">Cummings SR, Nevitt MC. A hypothesis: the causes of hip fractures. J Gerontol. 1989;44(4):M107-M111.</w:t>
      </w:r>
    </w:p>
    <w:p>
      <w:pPr>
        <w:pStyle w:val="Compact"/>
        <w:numPr>
          <w:ilvl w:val="0"/>
          <w:numId w:val="1002"/>
        </w:numPr>
      </w:pPr>
      <w:r>
        <w:t xml:space="preserve">Tinetti ME. Clinical practice. Preventing falls in elderly persons. N Engl J Med. 2003;348(1):42-49.</w:t>
      </w:r>
    </w:p>
    <w:p>
      <w:pPr>
        <w:pStyle w:val="Compact"/>
        <w:numPr>
          <w:ilvl w:val="0"/>
          <w:numId w:val="1002"/>
        </w:numPr>
      </w:pPr>
      <w:r>
        <w:t xml:space="preserve">Stevens JA, Sogolow ED. Gender differences for non-fatal unintentional fall related injuries among older adults. Inj Prev. 2005;11(2):115-119.</w:t>
      </w:r>
    </w:p>
    <w:p>
      <w:pPr>
        <w:pStyle w:val="Compact"/>
        <w:numPr>
          <w:ilvl w:val="0"/>
          <w:numId w:val="1002"/>
        </w:numPr>
      </w:pPr>
      <w:r>
        <w:t xml:space="preserve">Li W, Keegan TH, Sternfeld B, Sidney S, Quesenberry CP Jr, Kelsey JL. Outdoor falls among middle-aged and older adults: a neglected public health problem. Am J Public Health. 2006;96(7):1192-1200.</w:t>
      </w:r>
    </w:p>
    <w:p>
      <w:pPr>
        <w:pStyle w:val="Compact"/>
        <w:numPr>
          <w:ilvl w:val="0"/>
          <w:numId w:val="1002"/>
        </w:numPr>
      </w:pPr>
      <w:r>
        <w:t xml:space="preserve">Redfern MS, Cham R, Gielo-Perczak K, et al. Biomechanics of slips. Ergonomics. 2001;44(13):1138-1166.</w:t>
      </w:r>
    </w:p>
    <w:p>
      <w:pPr>
        <w:pStyle w:val="Compact"/>
        <w:numPr>
          <w:ilvl w:val="0"/>
          <w:numId w:val="1002"/>
        </w:numPr>
      </w:pPr>
      <w:r>
        <w:t xml:space="preserve">Franz JR, Kram R. Advanced age affects the individual leg mechanics of level, uphill, and downhill walking. J Biomech. 2013;46(3):535-540.</w:t>
      </w:r>
    </w:p>
    <w:p>
      <w:pPr>
        <w:pStyle w:val="Compact"/>
        <w:numPr>
          <w:ilvl w:val="0"/>
          <w:numId w:val="1002"/>
        </w:numPr>
      </w:pPr>
      <w:r>
        <w:t xml:space="preserve">Reimann H, Ramadan R, Fettrow T, Hafer JF, Geyer H, Jeka JJ. Interactions between different age-related factors affecting balance control in walking. Front Sports Act Living. 2020;2:94.</w:t>
      </w:r>
    </w:p>
    <w:p>
      <w:pPr>
        <w:pStyle w:val="Compact"/>
        <w:numPr>
          <w:ilvl w:val="0"/>
          <w:numId w:val="1002"/>
        </w:numPr>
      </w:pPr>
      <w:r>
        <w:t xml:space="preserve">Marigold DS, Patla AE. Strategies for dynamic stability during locomotion on a slippery surface: effects of prior experience and knowledge. J Neurophysiol. 2002;88(1):339-353.</w:t>
      </w:r>
    </w:p>
    <w:p>
      <w:pPr>
        <w:pStyle w:val="Compact"/>
        <w:numPr>
          <w:ilvl w:val="0"/>
          <w:numId w:val="1002"/>
        </w:numPr>
      </w:pPr>
      <w:r>
        <w:t xml:space="preserve">Fujita K, Fujiwara Y, Chaves PH, Motohashi Y, Shinkai S. Frequency of going outdoors as a good predictors for incident disability of physical function as well as disability recovery in community-dwelling older adults in rural Japan. J Epidemiol. 2006;16(6):261-270.</w:t>
      </w:r>
    </w:p>
    <w:p>
      <w:pPr>
        <w:pStyle w:val="Compact"/>
        <w:numPr>
          <w:ilvl w:val="0"/>
          <w:numId w:val="1002"/>
        </w:numPr>
      </w:pPr>
      <w:r>
        <w:t xml:space="preserve">Quach L, Galica AM, Jones RN, et al. The nonlinear relationship between gait speed and falls: the MOBILIZE Boston Study. J Am Geriatr Soc. 2011;59(6):1069-1073.</w:t>
      </w:r>
    </w:p>
    <w:p>
      <w:pPr>
        <w:pStyle w:val="Compact"/>
        <w:numPr>
          <w:ilvl w:val="0"/>
          <w:numId w:val="1002"/>
        </w:numPr>
      </w:pPr>
      <w:r>
        <w:t xml:space="preserve">Dargent-Molina P, Favier F, Grandjean H, et al. Fall-related factors and risk of hip fracture: the EPIDOS prospective study. Lancet. 1996;348(9021):145-149.</w:t>
      </w:r>
    </w:p>
    <w:p>
      <w:pPr>
        <w:pStyle w:val="Compact"/>
        <w:numPr>
          <w:ilvl w:val="0"/>
          <w:numId w:val="1002"/>
        </w:numPr>
      </w:pPr>
      <w:r>
        <w:t xml:space="preserve">Studenski S, Perera S, Patel K, et al. Gait speed and survival in older adults. JAMA. 2011;305(1):50-58.</w:t>
      </w:r>
    </w:p>
    <w:p>
      <w:pPr>
        <w:pStyle w:val="Compact"/>
        <w:numPr>
          <w:ilvl w:val="0"/>
          <w:numId w:val="1002"/>
        </w:numPr>
      </w:pPr>
      <w:r>
        <w:t xml:space="preserve">Thies SB, Richardson JK, Ashton-Miller JA. Effects of surface irregularity and lighting on step variability during gait: a study in healthy young and older women. Gait Posture. 2005;22(1):26-31.</w:t>
      </w:r>
    </w:p>
    <w:p>
      <w:pPr>
        <w:pStyle w:val="Compact"/>
        <w:numPr>
          <w:ilvl w:val="0"/>
          <w:numId w:val="1002"/>
        </w:numPr>
      </w:pPr>
      <w:r>
        <w:t xml:space="preserve">Maki BE. Gait changes in older adults: predictors of falls or indicators of fear. J Am Geriatr Soc. 1997;45(3):313-320.</w:t>
      </w:r>
    </w:p>
    <w:p>
      <w:pPr>
        <w:pStyle w:val="Compact"/>
        <w:numPr>
          <w:ilvl w:val="0"/>
          <w:numId w:val="1002"/>
        </w:numPr>
      </w:pPr>
      <w:r>
        <w:t xml:space="preserve">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p>
    <w:p>
      <w:pPr>
        <w:pStyle w:val="Compact"/>
        <w:numPr>
          <w:ilvl w:val="0"/>
          <w:numId w:val="1002"/>
        </w:numPr>
      </w:pPr>
      <w:r>
        <w:t xml:space="preserve">Wang S, Zhang F, Guo Y, Chen C, Zhong Y, Hao D, Zhu S, Wu Y. Exposure to high altitude is associated with an elevated risk of hip fracture: a retrospective cohort study using data from the CHARLS. BMC Geriatr. 2025;25(1):884.</w:t>
      </w:r>
    </w:p>
    <w:p>
      <w:pPr>
        <w:pStyle w:val="Compact"/>
        <w:numPr>
          <w:ilvl w:val="0"/>
          <w:numId w:val="1002"/>
        </w:numPr>
      </w:pPr>
      <w:r>
        <w:t xml:space="preserve">Nevitt MC, Cummings SR. Type of fall and risk of hip and wrist fractures: the study of osteoporotic fractures. J Am Geriatr Soc. 1993;41(11):1226-1234.</w:t>
      </w:r>
    </w:p>
    <w:p>
      <w:pPr>
        <w:pStyle w:val="Compact"/>
        <w:numPr>
          <w:ilvl w:val="0"/>
          <w:numId w:val="1002"/>
        </w:numPr>
      </w:pPr>
      <w:r>
        <w:t xml:space="preserve">Yang Y, Komisar V, Shishov N, et al. The effect of fall biomechanics on risk for hip fracture in older adults: a cohort study of video-captured falls in long-term care. J Bone Miner Res. 2020;35(10):1914-1922.</w:t>
      </w:r>
    </w:p>
    <w:p>
      <w:pPr>
        <w:pStyle w:val="Compact"/>
        <w:numPr>
          <w:ilvl w:val="0"/>
          <w:numId w:val="1002"/>
        </w:numPr>
      </w:pPr>
      <w:r>
        <w:t xml:space="preserve">Hayes WC, Myers ER, Morris JN, Gerhart TN, Yett HS, Lipsitz LA. Impact near the hip dominates fracture risk in elderly nursing home residents who fall. Calcif Tissue Int. 1993;52(3):192-198.</w:t>
      </w:r>
    </w:p>
    <w:p>
      <w:pPr>
        <w:pStyle w:val="Compact"/>
        <w:numPr>
          <w:ilvl w:val="0"/>
          <w:numId w:val="1002"/>
        </w:numPr>
      </w:pPr>
      <w:r>
        <w:t xml:space="preserve">Sarvi MN, Luo Y. A two-level subject-specific biomechanical model for improving prediction of hip fracture risk. Clin Biomech (Bristol, Avon). 2015;30(8):881-887.</w:t>
      </w:r>
    </w:p>
    <w:p>
      <w:pPr>
        <w:pStyle w:val="Compact"/>
        <w:numPr>
          <w:ilvl w:val="0"/>
          <w:numId w:val="1002"/>
        </w:numPr>
      </w:pPr>
      <w:r>
        <w:t xml:space="preserve">Faisal TR, Luo Y. Study of stress variations in single-stance and sideways fall using image-based finite element analysis. Biomed Mater Eng. 2016;27(1):1-14.</w:t>
      </w:r>
    </w:p>
    <w:p>
      <w:pPr>
        <w:pStyle w:val="Compact"/>
        <w:numPr>
          <w:ilvl w:val="0"/>
          <w:numId w:val="1002"/>
        </w:numPr>
      </w:pPr>
      <w:r>
        <w:t xml:space="preserve">Galliker ES, Laing AC, Ferguson SJ, et al. The influence of fall direction and hip protector on fracture risk: FE model predictions driven by experimental data. Ann Biomed Eng. 2022;50(3):278-290.</w:t>
      </w:r>
    </w:p>
    <w:p>
      <w:pPr>
        <w:pStyle w:val="Compact"/>
        <w:numPr>
          <w:ilvl w:val="0"/>
          <w:numId w:val="1002"/>
        </w:numPr>
      </w:pPr>
      <w:r>
        <w:t xml:space="preserve">Ortega JD, Farley CT. Minimizing center of mass vertical movement increases metabolic cost in walking. J Appl Physiol (1985). 2005;99(6):2099-2107.</w:t>
      </w:r>
    </w:p>
    <w:p>
      <w:pPr>
        <w:pStyle w:val="Compact"/>
        <w:numPr>
          <w:ilvl w:val="0"/>
          <w:numId w:val="1002"/>
        </w:numPr>
      </w:pPr>
      <w:r>
        <w:t xml:space="preserve">Tesio L, Rota V. The motion of body center of mass during walking: a review oriented to clinical applications. Front Neurol. 2019;10:999.</w:t>
      </w:r>
    </w:p>
    <w:p>
      <w:pPr>
        <w:pStyle w:val="Compact"/>
        <w:numPr>
          <w:ilvl w:val="0"/>
          <w:numId w:val="1002"/>
        </w:numPr>
      </w:pPr>
      <w:r>
        <w:t xml:space="preserve">Hak L, Houdijk H, Steenbrink F, Mert A, van der Wurff P, Beek PJ, van Dieën JH. Stepping strategies for regulating gait adaptability and stability. J Biomech. 2013;46(5):905-911.</w:t>
      </w:r>
    </w:p>
    <w:p>
      <w:pPr>
        <w:pStyle w:val="Compact"/>
        <w:numPr>
          <w:ilvl w:val="0"/>
          <w:numId w:val="1002"/>
        </w:numPr>
      </w:pPr>
      <w:r>
        <w:t xml:space="preserve">Kim KJ, Ashton-Miller JA. Biomechanics of fall arrest using the upper extremity: age differences. Clin Biomech (Bristol, Avon). 2003;18(4):311-318.</w:t>
      </w:r>
    </w:p>
    <w:p>
      <w:pPr>
        <w:pStyle w:val="Compact"/>
        <w:numPr>
          <w:ilvl w:val="0"/>
          <w:numId w:val="1002"/>
        </w:numPr>
      </w:pPr>
      <w:r>
        <w:t xml:space="preserve">O’Neill TW, Varlow J, Silman AJ, et al. Age and sex influences on fall characteristics. Ann Rheum Dis. 1994;53(11):773-775.</w:t>
      </w:r>
    </w:p>
    <w:p>
      <w:pPr>
        <w:pStyle w:val="Compact"/>
        <w:numPr>
          <w:ilvl w:val="0"/>
          <w:numId w:val="1002"/>
        </w:numPr>
      </w:pPr>
      <w:r>
        <w:t xml:space="preserve">Court-Brown CM, Caesar B. Epidemiology of adult fractures: a review. Injury. 2006;37(8):691-697.</w:t>
      </w:r>
    </w:p>
    <w:p>
      <w:pPr>
        <w:pStyle w:val="Compact"/>
        <w:numPr>
          <w:ilvl w:val="0"/>
          <w:numId w:val="1002"/>
        </w:numPr>
      </w:pPr>
      <w:r>
        <w:t xml:space="preserve">Østergaard HK, Budtz CR, Sumrein BO, Madsen MN, Brorson S, Launonen AP. Increased all-cause mortality following proximal humerus fractures in Danish adults: a register-based matched cohort study of 93,952 fracture cases and 469,760 controls. Osteoporos Int. 2025;36(11):2157-2165.</w:t>
      </w:r>
    </w:p>
    <w:p>
      <w:pPr>
        <w:pStyle w:val="Compact"/>
        <w:numPr>
          <w:ilvl w:val="0"/>
          <w:numId w:val="1002"/>
        </w:numPr>
      </w:pPr>
      <w:r>
        <w:t xml:space="preserve">Dahl C, Madsen C, Omsland TK, et al. The association of cold ambient temperature with fracture risk and mortality: national data from Norway—a Norwegian Epidemiologic Osteoporosis Studies (NOREPOS) study. J Bone Miner Res. 2022;37(8):1527-1536.</w:t>
      </w:r>
    </w:p>
    <w:p>
      <w:pPr>
        <w:pStyle w:val="Compact"/>
        <w:numPr>
          <w:ilvl w:val="0"/>
          <w:numId w:val="1002"/>
        </w:numPr>
      </w:pPr>
      <w:r>
        <w:t xml:space="preserve">Blackwood J, Suzuki R, Karczewski H. Perceived neighborhood walkability is associated with recent falls in urban dwelling older adults. J Geriatr Phys Ther. 2022;45(1):E8-E15.</w:t>
      </w:r>
    </w:p>
    <w:p>
      <w:pPr>
        <w:pStyle w:val="Compact"/>
        <w:numPr>
          <w:ilvl w:val="0"/>
          <w:numId w:val="1002"/>
        </w:numPr>
      </w:pPr>
      <w:r>
        <w:t xml:space="preserve">Lin J, Leung J, Yu B, Woo J, Kwok T, Lau KK. Association of green space with bone mineral density change and incident fracture in elderly Hong Kong Chinese. Environ Res. 2021;201:111547.</w:t>
      </w:r>
    </w:p>
    <w:p>
      <w:pPr>
        <w:pStyle w:val="Compact"/>
        <w:numPr>
          <w:ilvl w:val="0"/>
          <w:numId w:val="1002"/>
        </w:numPr>
      </w:pPr>
      <w:r>
        <w:t xml:space="preserve">Consalvo S. Impact of population ageing on Japan’s inter-prefectural migration. Data Science and Service Research Discussion Paper No. 129. Tohoku University, 2022.</w:t>
      </w:r>
    </w:p>
    <w:p>
      <w:pPr>
        <w:pStyle w:val="Compact"/>
        <w:numPr>
          <w:ilvl w:val="0"/>
          <w:numId w:val="1002"/>
        </w:numPr>
      </w:pPr>
      <w:r>
        <w:t xml:space="preserve">Smith SG, O’Conor R, Curtis LM, Waite K, Deary IJ, Paasche-Orlow M, Wolf MS. Low health literacy predicts decline in physical function among older adults: findings from the LitCog cohort study. J Epidemiol Community Health. 2015;69(5):474-480.</w:t>
      </w:r>
    </w:p>
    <w:p>
      <w:pPr>
        <w:pStyle w:val="Compact"/>
        <w:numPr>
          <w:ilvl w:val="0"/>
          <w:numId w:val="1002"/>
        </w:numPr>
      </w:pPr>
      <w:r>
        <w:t xml:space="preserve">Kim DC. Depopulation, aging, and rural restructuring in Japan. Ager. 2021;33:107-123.</w:t>
      </w:r>
    </w:p>
    <w:p>
      <w:pPr>
        <w:pStyle w:val="Compact"/>
        <w:numPr>
          <w:ilvl w:val="0"/>
          <w:numId w:val="1002"/>
        </w:numPr>
      </w:pPr>
      <w:r>
        <w:t xml:space="preserve">Okubo M, Mohammed A, Inoue M. Out-migrants and local institutions: case study of a depopulated mountain village in Japan. Asian Cult Hist. 2015;8(1):1.</w:t>
      </w:r>
    </w:p>
    <w:p>
      <w:pPr>
        <w:pStyle w:val="Compact"/>
        <w:numPr>
          <w:ilvl w:val="0"/>
          <w:numId w:val="1002"/>
        </w:numPr>
      </w:pPr>
      <w:r>
        <w:t xml:space="preserve">Wang W, Saito Y. Aging in place in a depopulated, mountainous area: the role of hometown-visiting family members in Shimogo, Japan. Sustainability. 2024;16(23):10547.</w:t>
      </w:r>
    </w:p>
    <w:p>
      <w:pPr>
        <w:pStyle w:val="Compact"/>
        <w:numPr>
          <w:ilvl w:val="0"/>
          <w:numId w:val="1002"/>
        </w:numPr>
      </w:pPr>
      <w:r>
        <w:t xml:space="preserve">Kobayashi K, Nishida T, Sakakibara H. Factors associated with low albumin in community-dwelling older adults aged 75 years and above. Int J Environ Res Public Health. 2023;20(21):6994.</w:t>
      </w:r>
    </w:p>
    <w:p>
      <w:pPr>
        <w:pStyle w:val="Compact"/>
        <w:numPr>
          <w:ilvl w:val="0"/>
          <w:numId w:val="1002"/>
        </w:numPr>
      </w:pPr>
      <w:r>
        <w:t xml:space="preserve">Murayama H, Nishi M, Matsuo E, et al. Do bonding and bridging social capital affect self-rated health, depressive mood and cognitive decline in older Japanese? A prospective cohort study. Soc Sci Med. 2013;98:247-252.</w:t>
      </w:r>
    </w:p>
    <w:p>
      <w:pPr>
        <w:pStyle w:val="Compact"/>
        <w:numPr>
          <w:ilvl w:val="0"/>
          <w:numId w:val="1002"/>
        </w:numPr>
      </w:pPr>
      <w:r>
        <w:t xml:space="preserve">Abellan van Kan G, Rolland Y, Andrieu S, et al. Gait speed at usual pace as a predictor of adverse outcomes in community-dwelling older people an International Academy on Nutrition and Aging (IANA) Task Force. J Nutr Health Aging. 2009;13(10):881-889.</w:t>
      </w:r>
    </w:p>
    <w:p>
      <w:pPr>
        <w:pStyle w:val="Compact"/>
        <w:numPr>
          <w:ilvl w:val="0"/>
          <w:numId w:val="1002"/>
        </w:numPr>
      </w:pPr>
      <w:r>
        <w:t xml:space="preserve">Inage K, Kondo N, Komatsubara S, et al. Current status of patients with hip fracture in Japan: a nationwide survey. J Orthop Sci. 2025. doi:10.1016/j.jos.2025.05.014.</w:t>
      </w:r>
    </w:p>
    <w:p>
      <w:pPr>
        <w:pStyle w:val="Compact"/>
        <w:numPr>
          <w:ilvl w:val="0"/>
          <w:numId w:val="1002"/>
        </w:numPr>
      </w:pPr>
      <w:r>
        <w:t xml:space="preserve">Nakatoh S, Fujimori K, Ishii S, Tamaki J, Okimoto N, Ogawa S, Iki M. Trends in the incidence of secondary hip fractures and osteoporosis treatment in Japan (FY2012-FY2023). Arch Osteoporos. 2026;21(1):15.</w:t>
      </w:r>
    </w:p>
    <w:p>
      <w:pPr>
        <w:pStyle w:val="Compact"/>
        <w:numPr>
          <w:ilvl w:val="0"/>
          <w:numId w:val="1002"/>
        </w:numPr>
      </w:pPr>
      <w:r>
        <w:t xml:space="preserve">Yamamoto N, Sawaguchi T, Matsushita T, et al. Fragility Fracture Network-Japan: the challenge of establishment of a national hip fracture database and successful achievement of nationwide health system change for hip fracture care in Japan. Injury. 2024;55(6):111452.</w:t>
      </w:r>
    </w:p>
    <w:p>
      <w:pPr>
        <w:pStyle w:val="Compact"/>
        <w:numPr>
          <w:ilvl w:val="0"/>
          <w:numId w:val="1002"/>
        </w:numPr>
      </w:pPr>
      <w:r>
        <w:t xml:space="preserve">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p>
    <w:p>
      <w:pPr>
        <w:pStyle w:val="Compact"/>
        <w:numPr>
          <w:ilvl w:val="0"/>
          <w:numId w:val="1002"/>
        </w:numPr>
      </w:pPr>
      <w:r>
        <w:t xml:space="preserve">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p>
    <w:p>
      <w:pPr>
        <w:pStyle w:val="Compact"/>
        <w:numPr>
          <w:ilvl w:val="0"/>
          <w:numId w:val="1002"/>
        </w:numPr>
      </w:pPr>
      <w:r>
        <w:t xml:space="preserve">Ministry of Health, Labour and Welfare, Japan. Physical Activity Guide for Health Promotion 2023. Tokyo: MHLW; 2023.</w:t>
      </w:r>
    </w:p>
    <w:p>
      <w:pPr>
        <w:pStyle w:val="Compact"/>
        <w:numPr>
          <w:ilvl w:val="0"/>
          <w:numId w:val="1002"/>
        </w:numPr>
      </w:pPr>
      <w:r>
        <w:t xml:space="preserve">Roux AV, Evenson KR, McGinn AP, et al. Availability of recreational resources and physical activity in adults. Am J Public Health. 2007;97(3):493-499.</w:t>
      </w:r>
    </w:p>
    <w:p>
      <w:pPr>
        <w:pStyle w:val="Compact"/>
        <w:numPr>
          <w:ilvl w:val="0"/>
          <w:numId w:val="1002"/>
        </w:numPr>
      </w:pPr>
      <w:r>
        <w:t xml:space="preserve">Sherrington C, Fairhall NJ, Wallbank GK, et al. Exercise for preventing falls in older people living in the community. Cochrane Database Syst Rev. 2019;1(1):CD012424.</w:t>
      </w:r>
    </w:p>
    <w:p>
      <w:pPr>
        <w:pStyle w:val="Compact"/>
        <w:numPr>
          <w:ilvl w:val="0"/>
          <w:numId w:val="1002"/>
        </w:numPr>
      </w:pPr>
      <w:r>
        <w:t xml:space="preserve">Rothman KJ, Greenland S, Lash TL. Modern Epidemiology. 3rd ed. Philadelphia: Lippincott Williams &amp; Wilkins; 2008.</w:t>
      </w:r>
    </w:p>
    <w:p>
      <w:r>
        <w:pict>
          <v:rect style="width:0;height:1.5pt" o:hralign="center" o:hrstd="t" o:hr="t"/>
        </w:pict>
      </w:r>
    </w:p>
    <w:bookmarkEnd w:id="49"/>
    <w:bookmarkStart w:id="75" w:name="tables-and-figures"/>
    <w:p>
      <w:pPr>
        <w:pStyle w:val="Heading1"/>
      </w:pPr>
      <w:r>
        <w:t xml:space="preserve">Tables and Figures</w:t>
      </w:r>
    </w:p>
    <w:bookmarkStart w:id="50"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w:t>
            </w:r>
          </w:p>
        </w:tc>
        <w:tc>
          <w:tcPr/>
          <w:p>
            <w:pPr>
              <w:pStyle w:val="Compact"/>
              <w:jc w:val="right"/>
            </w:pPr>
            <w:r>
              <w:t xml:space="preserve">1,223</w:t>
            </w:r>
          </w:p>
        </w:tc>
        <w:tc>
          <w:tcPr/>
          <w:p>
            <w:pPr>
              <w:pStyle w:val="Compact"/>
              <w:jc w:val="right"/>
            </w:pPr>
            <w:r>
              <w:t xml:space="preserve">62.63</w:t>
            </w:r>
          </w:p>
        </w:tc>
        <w:tc>
          <w:tcPr/>
          <w:p>
            <w:pPr>
              <w:pStyle w:val="Compact"/>
              <w:jc w:val="right"/>
            </w:pPr>
            <w:r>
              <w:t xml:space="preserve">6,402.64</w:t>
            </w:r>
          </w:p>
        </w:tc>
      </w:tr>
    </w:tbl>
    <w:p>
      <w:pPr>
        <w:pStyle w:val="BodyText"/>
      </w:pPr>
      <w:r>
        <w:rPr>
          <w:i/>
          <w:iCs/>
        </w:rPr>
        <w:t xml:space="preserve">Note.</w:t>
      </w:r>
      <w:r>
        <w:t xml:space="preserve"> </w:t>
      </w:r>
      <w:r>
        <w:t xml:space="preserve">Summaries are presented as mean and SD, consistent with the linear regression framework; skewed distributions (e.g., population density) should be interpreted with caution at the ecological scale.</w:t>
      </w:r>
    </w:p>
    <w:p>
      <w:r>
        <w:pict>
          <v:rect style="width:0;height:1.5pt" o:hralign="center" o:hrstd="t" o:hr="t"/>
        </w:pict>
      </w:r>
    </w:p>
    <w:bookmarkEnd w:id="50"/>
    <w:bookmarkStart w:id="51"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51"/>
    <w:bookmarkStart w:id="52"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2"/>
    <w:bookmarkStart w:id="53"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r>
        <w:pict>
          <v:rect style="width:0;height:1.5pt" o:hralign="center" o:hrstd="t" o:hr="t"/>
        </w:pict>
      </w:r>
    </w:p>
    <w:bookmarkEnd w:id="53"/>
    <w:bookmarkStart w:id="54"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 boundaries are labeled with English names (romanized). Mountainous regions in western and southern Japan show the highest slope values.</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 boundaries are labeled with English names (romanized). Mountainous regions tend to show elevated rates.</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p>
    <w:bookmarkEnd w:id="54"/>
    <w:bookmarkStart w:id="58" w:name="figure-1"/>
    <w:p>
      <w:pPr>
        <w:pStyle w:val="Heading2"/>
      </w:pPr>
      <w:r>
        <w:t xml:space="preserve">Figure 1</w:t>
      </w:r>
    </w:p>
    <w:p>
      <w:pPr>
        <w:pStyle w:val="FirstParagraph"/>
      </w:pPr>
      <w:r>
        <w:drawing>
          <wp:inline>
            <wp:extent cx="5334000" cy="3556000"/>
            <wp:effectExtent b="0" l="0" r="0" t="0"/>
            <wp:docPr descr="" title="" id="56" name="Picture"/>
            <a:graphic>
              <a:graphicData uri="http://schemas.openxmlformats.org/drawingml/2006/picture">
                <pic:pic>
                  <pic:nvPicPr>
                    <pic:cNvPr descr="../03_Analysis/results/figures/scatter_slope_fracture.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bookmarkEnd w:id="58"/>
    <w:bookmarkStart w:id="62" w:name="figure-2"/>
    <w:p>
      <w:pPr>
        <w:pStyle w:val="Heading2"/>
      </w:pPr>
      <w:r>
        <w:t xml:space="preserve">Figure 2</w:t>
      </w:r>
    </w:p>
    <w:p>
      <w:pPr>
        <w:pStyle w:val="FirstParagraph"/>
      </w:pPr>
      <w:r>
        <w:drawing>
          <wp:inline>
            <wp:extent cx="5334000" cy="4267200"/>
            <wp:effectExtent b="0" l="0" r="0" t="0"/>
            <wp:docPr descr="" title="" id="60" name="Picture"/>
            <a:graphic>
              <a:graphicData uri="http://schemas.openxmlformats.org/drawingml/2006/picture">
                <pic:pic>
                  <pic:nvPicPr>
                    <pic:cNvPr descr="../03_Analysis/results/figures/heatmap_correlation.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6" w:name="figure-3"/>
    <w:p>
      <w:pPr>
        <w:pStyle w:val="Heading2"/>
      </w:pPr>
      <w:r>
        <w:t xml:space="preserve">Figure 3</w:t>
      </w:r>
    </w:p>
    <w:p>
      <w:pPr>
        <w:pStyle w:val="FirstParagraph"/>
      </w:pPr>
      <w:r>
        <w:drawing>
          <wp:inline>
            <wp:extent cx="5334000" cy="4655059"/>
            <wp:effectExtent b="0" l="0" r="0" t="0"/>
            <wp:docPr descr="" title="" id="64" name="Picture"/>
            <a:graphic>
              <a:graphicData uri="http://schemas.openxmlformats.org/drawingml/2006/picture">
                <pic:pic>
                  <pic:nvPicPr>
                    <pic:cNvPr descr="../03_Analysis/results/figures/fig_map_slope.png" id="65" name="Picture"/>
                    <pic:cNvPicPr>
                      <a:picLocks noChangeArrowheads="1" noChangeAspect="1"/>
                    </pic:cNvPicPr>
                  </pic:nvPicPr>
                  <pic:blipFill>
                    <a:blip r:embed="rId63"/>
                    <a:stretch>
                      <a:fillRect/>
                    </a:stretch>
                  </pic:blipFill>
                  <pic:spPr bwMode="auto">
                    <a:xfrm>
                      <a:off x="0" y="0"/>
                      <a:ext cx="5334000" cy="4655059"/>
                    </a:xfrm>
                    <a:prstGeom prst="rect">
                      <a:avLst/>
                    </a:prstGeom>
                    <a:noFill/>
                    <a:ln w="9525">
                      <a:noFill/>
                      <a:headEnd/>
                      <a:tailEnd/>
                    </a:ln>
                  </pic:spPr>
                </pic:pic>
              </a:graphicData>
            </a:graphic>
          </wp:inline>
        </w:drawing>
      </w:r>
    </w:p>
    <w:bookmarkEnd w:id="66"/>
    <w:bookmarkStart w:id="70" w:name="figure-4"/>
    <w:p>
      <w:pPr>
        <w:pStyle w:val="Heading2"/>
      </w:pPr>
      <w:r>
        <w:t xml:space="preserve">Figure 4</w:t>
      </w:r>
    </w:p>
    <w:p>
      <w:pPr>
        <w:pStyle w:val="FirstParagraph"/>
      </w:pPr>
      <w:r>
        <w:drawing>
          <wp:inline>
            <wp:extent cx="5334000" cy="4527523"/>
            <wp:effectExtent b="0" l="0" r="0" t="0"/>
            <wp:docPr descr="" title="" id="68" name="Picture"/>
            <a:graphic>
              <a:graphicData uri="http://schemas.openxmlformats.org/drawingml/2006/picture">
                <pic:pic>
                  <pic:nvPicPr>
                    <pic:cNvPr descr="../03_Analysis/results/figures/fig_map_fracture.png" id="69" name="Picture"/>
                    <pic:cNvPicPr>
                      <a:picLocks noChangeArrowheads="1" noChangeAspect="1"/>
                    </pic:cNvPicPr>
                  </pic:nvPicPr>
                  <pic:blipFill>
                    <a:blip r:embed="rId67"/>
                    <a:stretch>
                      <a:fillRect/>
                    </a:stretch>
                  </pic:blipFill>
                  <pic:spPr bwMode="auto">
                    <a:xfrm>
                      <a:off x="0" y="0"/>
                      <a:ext cx="5334000" cy="4527523"/>
                    </a:xfrm>
                    <a:prstGeom prst="rect">
                      <a:avLst/>
                    </a:prstGeom>
                    <a:noFill/>
                    <a:ln w="9525">
                      <a:noFill/>
                      <a:headEnd/>
                      <a:tailEnd/>
                    </a:ln>
                  </pic:spPr>
                </pic:pic>
              </a:graphicData>
            </a:graphic>
          </wp:inline>
        </w:drawing>
      </w:r>
    </w:p>
    <w:bookmarkEnd w:id="70"/>
    <w:bookmarkStart w:id="74" w:name="figure-5"/>
    <w:p>
      <w:pPr>
        <w:pStyle w:val="Heading2"/>
      </w:pPr>
      <w:r>
        <w:t xml:space="preserve">Figure 5</w:t>
      </w:r>
    </w:p>
    <w:p>
      <w:pPr>
        <w:pStyle w:val="FirstParagraph"/>
      </w:pPr>
      <w:r>
        <w:drawing>
          <wp:inline>
            <wp:extent cx="5334000" cy="5446531"/>
            <wp:effectExtent b="0" l="0" r="0" t="0"/>
            <wp:docPr descr="" title="" id="72" name="Picture"/>
            <a:graphic>
              <a:graphicData uri="http://schemas.openxmlformats.org/drawingml/2006/picture">
                <pic:pic>
                  <pic:nvPicPr>
                    <pic:cNvPr descr="../03_Analysis/results/figures/fig_map_bivariate.png" id="73" name="Picture"/>
                    <pic:cNvPicPr>
                      <a:picLocks noChangeArrowheads="1" noChangeAspect="1"/>
                    </pic:cNvPicPr>
                  </pic:nvPicPr>
                  <pic:blipFill>
                    <a:blip r:embed="rId71"/>
                    <a:stretch>
                      <a:fillRect/>
                    </a:stretch>
                  </pic:blipFill>
                  <pic:spPr bwMode="auto">
                    <a:xfrm>
                      <a:off x="0" y="0"/>
                      <a:ext cx="5334000" cy="5446531"/>
                    </a:xfrm>
                    <a:prstGeom prst="rect">
                      <a:avLst/>
                    </a:prstGeom>
                    <a:noFill/>
                    <a:ln w="9525">
                      <a:noFill/>
                      <a:headEnd/>
                      <a:tailEnd/>
                    </a:ln>
                  </pic:spPr>
                </pic:pic>
              </a:graphicData>
            </a:graphic>
          </wp:inline>
        </w:drawing>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 [Author 2]</dc:creator>
  <cp:keywords/>
  <dcterms:created xsi:type="dcterms:W3CDTF">2026-04-13T01:50:24Z</dcterms:created>
  <dcterms:modified xsi:type="dcterms:W3CDTF">2026-04-13T01:50:24Z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