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Date"/>
      </w:pPr>
      <w:r>
        <w:t xml:space="preserve">2026-02-19</w:t>
      </w:r>
    </w:p>
    <w:bookmarkStart w:id="20" w:name="abstract"/>
    <w:p>
      <w:pPr>
        <w:pStyle w:val="Heading1"/>
      </w:pPr>
      <w:r>
        <w:t xml:space="preserve">Abstract</w:t>
      </w:r>
    </w:p>
    <w:p>
      <w:pPr>
        <w:pStyle w:val="FirstParagraph"/>
      </w:pPr>
      <w:r>
        <w:t xml:space="preserve">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Pr>
          <w:i/>
          <w:iCs/>
        </w:rPr>
        <w:t xml:space="preserve">B</w:t>
      </w:r>
      <w:r>
        <w:t xml:space="preserve"> </w:t>
      </w:r>
      <w:r>
        <w:t xml:space="preserve">= 5000) as sensitivity analyses. Mean slope was 8.57 degrees (SD 3.16) and mean hip fracture surgery rate was 254.0 per 100,000 (SD 37.6). Terrain slope was positively associated with hip fracture rates in unadjusted models (β = 5.65; 95% CI, 2.50–8.79;</w:t>
      </w:r>
      <w:r>
        <w:t xml:space="preserve"> </w:t>
      </w:r>
      <w:r>
        <w:rPr>
          <w:i/>
          <w:iCs/>
        </w:rPr>
        <w:t xml:space="preserve">p</w:t>
      </w:r>
      <w:r>
        <w:t xml:space="preserve"> </w:t>
      </w:r>
      <w:r>
        <w:t xml:space="preserve">= 0.001) and in adjusted models with conventional standard errors (β = 3.49; 95% CI, 0.11–6.86;</w:t>
      </w:r>
      <w:r>
        <w:t xml:space="preserve"> </w:t>
      </w:r>
      <w:r>
        <w:rPr>
          <w:i/>
          <w:iCs/>
        </w:rPr>
        <w:t xml:space="preserve">p</w:t>
      </w:r>
      <w:r>
        <w:t xml:space="preserve"> </w:t>
      </w:r>
      <w:r>
        <w:t xml:space="preserve">= 0.043); HC3 and bootstrap intervals for the slope coefficient were borderline at</w:t>
      </w:r>
      <w:r>
        <w:t xml:space="preserve"> </w:t>
      </w:r>
      <w:r>
        <w:rPr>
          <w:i/>
          <w:iCs/>
        </w:rPr>
        <w:t xml:space="preserve">N</w:t>
      </w:r>
      <w:r>
        <w:t xml:space="preserve"> </w:t>
      </w:r>
      <w:r>
        <w:t xml:space="preserve">= 47. No associations were observed for humerus or forearm fractures. Prefecture-level terrain slope showed a hip-specific signal consistent with lateral-fall mechanisms, but inferential sensitivity at small ecological</w:t>
      </w:r>
      <w:r>
        <w:t xml:space="preserve"> </w:t>
      </w:r>
      <w:r>
        <w:rPr>
          <w:i/>
          <w:iCs/>
        </w:rPr>
        <w:t xml:space="preserve">N</w:t>
      </w:r>
      <w:r>
        <w:t xml:space="preserve"> </w:t>
      </w:r>
      <w:r>
        <w:t xml:space="preserve">warrants cautious interpretation.</w:t>
      </w:r>
    </w:p>
    <w:p>
      <w:pPr>
        <w:pStyle w:val="BodyText"/>
      </w:pPr>
      <w:r>
        <w:rPr>
          <w:b/>
          <w:bCs/>
        </w:rPr>
        <w:t xml:space="preserve">Keywords</w:t>
      </w:r>
      <w:r>
        <w:t xml:space="preserve">: terrain; slope; hip; fracture; ecology; Japan; epidemiology</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 [15,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1"/>
    <w:bookmarkStart w:id="28" w:name="methods"/>
    <w:p>
      <w:pPr>
        <w:pStyle w:val="Heading1"/>
      </w:pPr>
      <w:r>
        <w:t xml:space="preserve">Methods</w:t>
      </w:r>
    </w:p>
    <w:bookmarkStart w:id="22"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analysis used open-data tables from the</w:t>
      </w:r>
      <w:r>
        <w:t xml:space="preserve"> </w:t>
      </w:r>
      <w:r>
        <w:rPr>
          <w:b/>
          <w:bCs/>
        </w:rPr>
        <w:t xml:space="preserve">10th NDB Open Data</w:t>
      </w:r>
      <w:r>
        <w:t xml:space="preserve"> </w:t>
      </w:r>
      <w:r>
        <w:t xml:space="preserve">release: fracture-related procedure counts correspond to</w:t>
      </w:r>
      <w:r>
        <w:t xml:space="preserve"> </w:t>
      </w:r>
      <w:r>
        <w:rPr>
          <w:b/>
          <w:bCs/>
        </w:rPr>
        <w:t xml:space="preserve">Reiwa 5 fiscal year</w:t>
      </w:r>
      <w:r>
        <w:t xml:space="preserve"> </w:t>
      </w:r>
      <w:r>
        <w:t xml:space="preserve">(April 2023 through March 2024) health insurance claims, whereas Specific Health Checkup aggregates used for walking speed correspond to</w:t>
      </w:r>
      <w:r>
        <w:t xml:space="preserve"> </w:t>
      </w:r>
      <w:r>
        <w:rPr>
          <w:b/>
          <w:bCs/>
        </w:rPr>
        <w:t xml:space="preserve">Reiwa 4 fiscal year</w:t>
      </w:r>
      <w:r>
        <w:t xml:space="preserve"> </w:t>
      </w:r>
      <w:r>
        <w:t xml:space="preserve">(April 2022 through March 2023), as defined in Ministry of Health, Labour and Welfare documentation for that release.</w:t>
      </w:r>
    </w:p>
    <w:bookmarkEnd w:id="22"/>
    <w:bookmarkStart w:id="23" w:name="outcome-fracture-surgery-rates"/>
    <w:p>
      <w:pPr>
        <w:pStyle w:val="Heading2"/>
      </w:pPr>
      <w:r>
        <w:t xml:space="preserve">2. Outcome: Fracture Surgery Rates</w:t>
      </w:r>
    </w:p>
    <w:p>
      <w:pPr>
        <w:pStyle w:val="FirstParagraph"/>
      </w:pPr>
      <w:r>
        <w:t xml:space="preserve">Fracture surgery rates were derived from the</w:t>
      </w:r>
      <w:r>
        <w:t xml:space="preserve"> </w:t>
      </w:r>
      <w:r>
        <w:rPr>
          <w:b/>
          <w:bCs/>
        </w:rPr>
        <w:t xml:space="preserve">10th NDB Open Data</w:t>
      </w:r>
      <w:r>
        <w:t xml:space="preserve"> </w:t>
      </w:r>
      <w:r>
        <w:t xml:space="preserve">(released May 30, 2025), which contains prefecture-level counts of medical procedures from</w:t>
      </w:r>
      <w:r>
        <w:t xml:space="preserve"> </w:t>
      </w:r>
      <w:r>
        <w:rPr>
          <w:b/>
          <w:bCs/>
        </w:rPr>
        <w:t xml:space="preserve">Reiwa 5 fiscal year</w:t>
      </w:r>
      <w:r>
        <w:t xml:space="preserve"> </w:t>
      </w:r>
      <w:r>
        <w:t xml:space="preserve">(April 2023 through March 2024) claims under the national health insurance system. We extracted counts for three fracture surgery categories: (1) hip (femur) fracture surgery, (2) humerus fracture surgery, and (3) forearm fracture surgery. Rates were calculated per 100,000 population using population estimates from the 2020 National Census.</w:t>
      </w:r>
    </w:p>
    <w:bookmarkEnd w:id="23"/>
    <w:bookmarkStart w:id="24"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4"/>
    <w:bookmarkStart w:id="25"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In the 10th NDB Open Data release, prefecture-level Specific Health Checkup tabulations correspond to</w:t>
      </w:r>
      <w:r>
        <w:t xml:space="preserve"> </w:t>
      </w:r>
      <w:r>
        <w:rPr>
          <w:b/>
          <w:bCs/>
        </w:rPr>
        <w:t xml:space="preserve">Reiwa 4 fiscal year</w:t>
      </w:r>
      <w:r>
        <w:t xml:space="preserve"> </w:t>
      </w:r>
      <w:r>
        <w:t xml:space="preserve">(April 2022 through March 2023), which does not coincide with the Reiwa 5 claims window used for fracture outcomes.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25"/>
    <w:bookmarkStart w:id="26"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26"/>
    <w:bookmarkStart w:id="27" w:name="statistical-analysis"/>
    <w:p>
      <w:pPr>
        <w:pStyle w:val="Heading2"/>
      </w:pPr>
      <w:r>
        <w:t xml:space="preserve">6. Statistical Analysis</w:t>
      </w:r>
    </w:p>
    <w:p>
      <w:pPr>
        <w:pStyle w:val="FirstParagraph"/>
      </w:pPr>
      <w:r>
        <w:t xml:space="preserve">We summarized prefecture-level distributions using mean, SD, median, 25th and 75th percentiles, minimum, and maximum.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3.14.2) with</w:t>
      </w:r>
      <w:r>
        <w:t xml:space="preserve"> </w:t>
      </w:r>
      <w:r>
        <w:rPr>
          <w:rStyle w:val="VerbatimChar"/>
        </w:rPr>
        <w:t xml:space="preserve">statsmodels</w:t>
      </w:r>
      <w:r>
        <w:t xml:space="preserve"> </w:t>
      </w:r>
      <w:r>
        <w:t xml:space="preserve">(version 0.14.6). Linear regression models were estimated by ordinary least squares (OLS) using the</w:t>
      </w:r>
      <w:r>
        <w:t xml:space="preserve"> </w:t>
      </w:r>
      <w:r>
        <w:rPr>
          <w:rStyle w:val="VerbatimChar"/>
        </w:rPr>
        <w:t xml:space="preserve">statsmodels</w:t>
      </w:r>
      <w:r>
        <w:t xml:space="preserve"> </w:t>
      </w:r>
      <w:r>
        <w:t xml:space="preserve">formula interface (</w:t>
      </w:r>
      <w:r>
        <w:rPr>
          <w:rStyle w:val="VerbatimChar"/>
        </w:rPr>
        <w:t xml:space="preserve">statsmodels.formula.api.ols</w:t>
      </w:r>
      <w:r>
        <w:t xml:space="preserve">).</w:t>
      </w:r>
    </w:p>
    <w:p>
      <w:pPr>
        <w:pStyle w:val="BodyText"/>
      </w:pPr>
      <w:r>
        <w:t xml:space="preserve">For the primary hip-fracture outcome (Model 2), we assessed linear model assumptions graphically using residuals-versus-fitted and normal quantile–quantile (Q–Q) plots of OLS residuals, and we report the Shapiro–Wilk test on residuals for descriptive completeness (small-</w:t>
      </w:r>
      <w:r>
        <w:rPr>
          <w:i/>
          <w:iCs/>
        </w:rPr>
        <w:t xml:space="preserve">N</w:t>
      </w:r>
      <w:r>
        <w:t xml:space="preserve"> </w:t>
      </w:r>
      <w:r>
        <w:t xml:space="preserve">tests are interpreted cautiously). Because prefecture-level ecological analyses can exhibit heteroskedasticity and leverage from skewed covariates (notably population density), we conducted sensitivity analyses: (1) heteroskedasticity-robust standard errors (HC3) for two-sided</w:t>
      </w:r>
      <w:r>
        <w:t xml:space="preserve"> </w:t>
      </w:r>
      <w:r>
        <w:rPr>
          <w:i/>
          <w:iCs/>
        </w:rPr>
        <w:t xml:space="preserve">p</w:t>
      </w:r>
      <w:r>
        <w:t xml:space="preserve"> </w:t>
      </w:r>
      <w:r>
        <w:t xml:space="preserve">values and CIs, and (2) a nonparametric bootstrap with</w:t>
      </w:r>
      <w:r>
        <w:t xml:space="preserve"> </w:t>
      </w:r>
      <w:r>
        <w:rPr>
          <w:i/>
          <w:iCs/>
        </w:rPr>
        <w:t xml:space="preserve">B</w:t>
      </w:r>
      <w:r>
        <w:t xml:space="preserve"> </w:t>
      </w:r>
      <w:r>
        <w:t xml:space="preserve">= 5,000 resamples of prefectures (with replacement) to obtain a percentile 95% CI for the terrain slope coefficient.</w:t>
      </w:r>
    </w:p>
    <w:p>
      <w:pPr>
        <w:pStyle w:val="BodyText"/>
      </w:pPr>
      <w:r>
        <w:t xml:space="preserve">All manuscript figures were generated programmatically from study data (not by image-generative AI tools) using reproducible Python workflows: Python 3.14.2 with</w:t>
      </w:r>
      <w:r>
        <w:t xml:space="preserve"> </w:t>
      </w:r>
      <w:r>
        <w:rPr>
          <w:rStyle w:val="VerbatimChar"/>
        </w:rPr>
        <w:t xml:space="preserve">pandas</w:t>
      </w:r>
      <w:r>
        <w:t xml:space="preserve"> </w:t>
      </w:r>
      <w:r>
        <w:t xml:space="preserve">2.3.3,</w:t>
      </w:r>
      <w:r>
        <w:t xml:space="preserve"> </w:t>
      </w:r>
      <w:r>
        <w:rPr>
          <w:rStyle w:val="VerbatimChar"/>
        </w:rPr>
        <w:t xml:space="preserve">numpy</w:t>
      </w:r>
      <w:r>
        <w:t xml:space="preserve"> </w:t>
      </w:r>
      <w:r>
        <w:t xml:space="preserve">2.3.5,</w:t>
      </w:r>
      <w:r>
        <w:t xml:space="preserve"> </w:t>
      </w:r>
      <w:r>
        <w:rPr>
          <w:rStyle w:val="VerbatimChar"/>
        </w:rPr>
        <w:t xml:space="preserve">matplotlib</w:t>
      </w:r>
      <w:r>
        <w:t xml:space="preserve"> </w:t>
      </w:r>
      <w:r>
        <w:t xml:space="preserve">3.10.8,</w:t>
      </w:r>
      <w:r>
        <w:t xml:space="preserve"> </w:t>
      </w:r>
      <w:r>
        <w:rPr>
          <w:rStyle w:val="VerbatimChar"/>
        </w:rPr>
        <w:t xml:space="preserve">seaborn</w:t>
      </w:r>
      <w:r>
        <w:t xml:space="preserve"> </w:t>
      </w:r>
      <w:r>
        <w:t xml:space="preserve">0.13.2,</w:t>
      </w:r>
      <w:r>
        <w:t xml:space="preserve"> </w:t>
      </w:r>
      <w:r>
        <w:rPr>
          <w:rStyle w:val="VerbatimChar"/>
        </w:rPr>
        <w:t xml:space="preserve">scipy</w:t>
      </w:r>
      <w:r>
        <w:t xml:space="preserve"> </w:t>
      </w:r>
      <w:r>
        <w:t xml:space="preserve">1.16.3,</w:t>
      </w:r>
      <w:r>
        <w:t xml:space="preserve"> </w:t>
      </w:r>
      <w:r>
        <w:rPr>
          <w:rStyle w:val="VerbatimChar"/>
        </w:rPr>
        <w:t xml:space="preserve">geopandas</w:t>
      </w:r>
      <w:r>
        <w:t xml:space="preserve"> </w:t>
      </w:r>
      <w:r>
        <w:t xml:space="preserve">1.1.2, and</w:t>
      </w:r>
      <w:r>
        <w:t xml:space="preserve"> </w:t>
      </w:r>
      <w:r>
        <w:rPr>
          <w:rStyle w:val="VerbatimChar"/>
        </w:rPr>
        <w:t xml:space="preserve">japanize_matplotlib</w:t>
      </w:r>
      <w:r>
        <w:t xml:space="preserve"> </w:t>
      </w:r>
      <w:r>
        <w:t xml:space="preserve">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27"/>
    <w:bookmarkEnd w:id="28"/>
    <w:bookmarkStart w:id="33" w:name="results"/>
    <w:p>
      <w:pPr>
        <w:pStyle w:val="Heading1"/>
      </w:pPr>
      <w:r>
        <w:t xml:space="preserve">Results</w:t>
      </w:r>
    </w:p>
    <w:bookmarkStart w:id="29"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(median 8.36; interquartile range [IQR] 6.56–10.95; range 1.81–15.43) (Table 1). The mean hip fracture surgery rate was 254.0 ± 37.6 per 100,000 population (median 253.9; IQR 228.6–286.3; range 167.6–329.6), and the mean total fracture surgery rate was 352.8 ± 54.9 per 100,000 (median 356.1; IQR 306.4–397.1). The mean aging rate was 30.7 ± 3.1% (median 31.3%; IQR 29.3–32.9%), and the mean proportion with fast walking speed was 48.6 ± 4.3% (median 49.2%; IQR 46.2–51.2%). Population density was right-skewed (mean 657 persons/km² versus median 265; IQR 173–469).</w:t>
      </w:r>
    </w:p>
    <w:bookmarkEnd w:id="29"/>
    <w:bookmarkStart w:id="30"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Figure 1 illustrates the bivariate association between terrain slope and hip fracture surgery rate; Figure 2 displays the correlation matrix.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0"/>
    <w:bookmarkStart w:id="31"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slope coefficient was 3.49 (95% CI, 0.11–6.86; R² = 0.385;</w:t>
      </w:r>
      <w:r>
        <w:t xml:space="preserve"> </w:t>
      </w:r>
      <w:r>
        <w:rPr>
          <w:i/>
          <w:iCs/>
        </w:rPr>
        <w:t xml:space="preserve">p</w:t>
      </w:r>
      <w:r>
        <w:t xml:space="preserve"> </w:t>
      </w:r>
      <w:r>
        <w:t xml:space="preserve">= 0.043) using conventional (model-based) standard errors (Table 3). Aging rate was also associated with hip fracture rate (β = 5.53; 95% CI, 1.32–9.74;</w:t>
      </w:r>
      <w:r>
        <w:t xml:space="preserve"> </w:t>
      </w:r>
      <w:r>
        <w:rPr>
          <w:i/>
          <w:iCs/>
        </w:rPr>
        <w:t xml:space="preserve">p</w:t>
      </w:r>
      <w:r>
        <w:t xml:space="preserve"> </w:t>
      </w:r>
      <w:r>
        <w:t xml:space="preserve">= 0.011). Fast walking rate was positively associated with hip fracture rate under HC3 robust inference (β = 2.02; 95% CI, 0.29–3.74;</w:t>
      </w:r>
      <w:r>
        <w:t xml:space="preserve"> </w:t>
      </w:r>
      <w:r>
        <w:rPr>
          <w:i/>
          <w:iCs/>
        </w:rPr>
        <w:t xml:space="preserve">p</w:t>
      </w:r>
      <w:r>
        <w:t xml:space="preserve"> </w:t>
      </w:r>
      <w:r>
        <w:t xml:space="preserve">= 0.022) but not under conventional standard errors (β = 2.02; 95% CI, −0.34–4.37;</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p>
      <w:pPr>
        <w:pStyle w:val="BodyText"/>
      </w:pPr>
      <w:r>
        <w:t xml:space="preserve">Residual diagnostics for Model 2 did not indicate gross deviations from linearity in residuals versus fitted values. The Shapiro–Wilk test on OLS residuals was</w:t>
      </w:r>
      <w:r>
        <w:t xml:space="preserve"> </w:t>
      </w:r>
      <w:r>
        <w:rPr>
          <w:i/>
          <w:iCs/>
        </w:rPr>
        <w:t xml:space="preserve">W</w:t>
      </w:r>
      <w:r>
        <w:t xml:space="preserve"> </w:t>
      </w:r>
      <w:r>
        <w:t xml:space="preserve">= 0.957 (</w:t>
      </w:r>
      <w:r>
        <w:rPr>
          <w:i/>
          <w:iCs/>
        </w:rPr>
        <w:t xml:space="preserve">p</w:t>
      </w:r>
      <w:r>
        <w:t xml:space="preserve"> </w:t>
      </w:r>
      <w:r>
        <w:t xml:space="preserve">= 0.079). Sensitivity analyses, however, indicated inferential fragility for the primary slope coefficient at</w:t>
      </w:r>
      <w:r>
        <w:t xml:space="preserve"> </w:t>
      </w:r>
      <w:r>
        <w:rPr>
          <w:i/>
          <w:iCs/>
        </w:rPr>
        <w:t xml:space="preserve">N</w:t>
      </w:r>
      <w:r>
        <w:t xml:space="preserve"> </w:t>
      </w:r>
      <w:r>
        <w:t xml:space="preserve">= 47: heteroskedasticity-robust (HC3) 95% CIs were −0.19 to 7.17 (</w:t>
      </w:r>
      <w:r>
        <w:rPr>
          <w:i/>
          <w:iCs/>
        </w:rPr>
        <w:t xml:space="preserve">p</w:t>
      </w:r>
      <w:r>
        <w:t xml:space="preserve"> </w:t>
      </w:r>
      <w:r>
        <w:t xml:space="preserve">= 0.063), and a nonparametric bootstrap 95% CI (prefecture resampling,</w:t>
      </w:r>
      <w:r>
        <w:t xml:space="preserve"> </w:t>
      </w:r>
      <w:r>
        <w:rPr>
          <w:i/>
          <w:iCs/>
        </w:rPr>
        <w:t xml:space="preserve">B</w:t>
      </w:r>
      <w:r>
        <w:t xml:space="preserve"> </w:t>
      </w:r>
      <w:r>
        <w:t xml:space="preserve">= 5,000) was −0.03 to 7.09 (both intervals include null). We therefore interpret the adjusted slope–hip fracture association as statistically borderline under alternative variance assumptions appropriate for ecological units.</w:t>
      </w:r>
    </w:p>
    <w:bookmarkEnd w:id="31"/>
    <w:bookmarkStart w:id="32"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2"/>
    <w:bookmarkEnd w:id="33"/>
    <w:bookmarkStart w:id="42" w:name="discussion"/>
    <w:p>
      <w:pPr>
        <w:pStyle w:val="Heading1"/>
      </w:pPr>
      <w:r>
        <w:t xml:space="preserve">Discussion</w:t>
      </w:r>
    </w:p>
    <w:bookmarkStart w:id="34" w:name="main-findings"/>
    <w:p>
      <w:pPr>
        <w:pStyle w:val="Heading2"/>
      </w:pPr>
      <w:r>
        <w:t xml:space="preserve">1. Main Findings</w:t>
      </w:r>
    </w:p>
    <w:p>
      <w:pPr>
        <w:pStyle w:val="FirstParagraph"/>
      </w:pPr>
      <w:r>
        <w:t xml:space="preserve">This ecological study demonstrated a positive adjusted association between prefectural-level terrain slope and hip fracture surgery rates after adjustment for aging rate, walking speed, and population density (β = 3.49 per one-degree increase; conventional 95% CI, 0.11–6.86;</w:t>
      </w:r>
      <w:r>
        <w:t xml:space="preserve"> </w:t>
      </w:r>
      <w:r>
        <w:rPr>
          <w:i/>
          <w:iCs/>
        </w:rPr>
        <w:t xml:space="preserve">p</w:t>
      </w:r>
      <w:r>
        <w:t xml:space="preserve"> </w:t>
      </w:r>
      <w:r>
        <w:t xml:space="preserve">= 0.043), while acknowledging that heteroskedasticity-robust and bootstrap intervals for the slope coefficient were compatible with no association at α = 0.05. Each additional degree of slope corresponded to approximately 3.5 additional hip fracture surgeries per 100,000 population under the primary OLS parameterization. The adjusted association was specific to hip fractures and was not observed for humerus or forearm fractures. Figures 3–5 map prefectural distributions of terrain slope, hip fracture rates, and their joint classification. Together, these findings suggest that, at the population level, steeper habitable terrain may track hip-specific surgical burden beyond compositional aging and self-reported walking pace, consistent with outdoor environments amplifying lateral-fall mechanisms rather than raising fracture risk indiscriminately across skeletal sites, pending confirmation under more robust inferential approaches at small ecological</w:t>
      </w:r>
      <w:r>
        <w:t xml:space="preserve"> </w:t>
      </w:r>
      <w:r>
        <w:rPr>
          <w:i/>
          <w:iCs/>
        </w:rPr>
        <w:t xml:space="preserve">N</w:t>
      </w:r>
      <w:r>
        <w:t xml:space="preserve">.</w:t>
      </w:r>
    </w:p>
    <w:bookmarkEnd w:id="34"/>
    <w:bookmarkStart w:id="35"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falls,[22, 23]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confirmed that posterolateral and lateral impacts generate maximum tensile and compressive stresses at the superior and inferior aspects of the femoral neck, maximizing fracture vulnerability.[26]</w:t>
      </w:r>
    </w:p>
    <w:p>
      <w:pPr>
        <w:pStyle w:val="BodyText"/>
      </w:pPr>
      <w:r>
        <w:t xml:space="preserve">When walking downhill or across a slope, the body’s center of mass (CoM) shifts laterally, and the control of lateral stability becomes increasingly difficult.[27, 28] The human gait pattern is biomechanically analogous to an inverted pendulum, with CoM tracing a bow-tie-shaped trajectory in three-dimensional space.[28] On sloped terrain, maintaining CoM within the base of support (BoS) requires precise step-by-step adjustments of step width and foot placement.[29]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28]</w:t>
      </w:r>
    </w:p>
    <w:p>
      <w:pPr>
        <w:pStyle w:val="BodyText"/>
      </w:pPr>
      <w:r>
        <w:t xml:space="preserve">In contrast, wrist (forearm) fractures are more commonly caused by protective extension reflexes during forward falls on flat surfaces.[30] When falling forward, individuals instinctively extend their arms to protect the head and torso, and kinematic studies show that elbow flexion and wrist dorsiflexion absorb fall energy, dramatically reducing pelvic impact velocity.[30] Such forward falls typically occur from tripping on minor obstacles or steps indoors, rather than from rapid lateral displacement on steep slopes.[31] Similarly, humerus fractures in older adults often result from low-energy obliquely forward falls on level ground and occur in relatively younger, more ambulatory individuals who retain arm-protective reflexes.[32]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35"/>
    <w:bookmarkStart w:id="36"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regions.[20] The NOREPOS investigators further identified that cold ambient temperature and icy terrain in mountainous areas amplified this geographic risk,[33]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women.[21]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risk.[34] In Japan, Fujita et al. reported that frequent outdoor activity predicts physical function in rural community-dwelling older adults.[14]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36"/>
    <w:bookmarkStart w:id="37"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populations.[35, 36, 37] Older adults in these high-slope prefectures thus face a double burden: the physical challenge of navigating harsh terrain on a daily basis (environmental hazard) and the social isolation and lack of medical access associated with rural depopulation (social determinants of health).[38, 39]</w:t>
      </w:r>
    </w:p>
    <w:p>
      <w:pPr>
        <w:pStyle w:val="BodyText"/>
      </w:pPr>
      <w:r>
        <w:t xml:space="preserve">The partial association of slope with hip fracture after adjustment for aging rate suggests that terrain may constitute a risk factor over and above demographic composition, subject to the inferential sensitivity noted above.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37"/>
    <w:bookmarkStart w:id="38" w:name="walking-speed-as-a-mediator"/>
    <w:p>
      <w:pPr>
        <w:pStyle w:val="Heading2"/>
      </w:pPr>
      <w:r>
        <w:t xml:space="preserve">5. Walking Speed as a Mediator</w:t>
      </w:r>
    </w:p>
    <w:p>
      <w:pPr>
        <w:pStyle w:val="FirstParagraph"/>
      </w:pPr>
      <w:r>
        <w:t xml:space="preserve">At the individual level, slower walking speed is a well-established marker of fracture risk, sarcopenia, frailty, and mortality (often termed the</w:t>
      </w:r>
      <w:r>
        <w:t xml:space="preserve"> </w:t>
      </w:r>
      <w:r>
        <w:t xml:space="preserve">“sixth vital sign”</w:t>
      </w:r>
      <w:r>
        <w:t xml:space="preserve">).[15, 16, 17] Prospective cohort studies in community-dwelling older adults have demonstrated that walking speeds below 0.8 m/s or 0.69 m/s significantly elevate hip fracture incidence.[16] Walking speed measured in clinical settings (flat 10-meter walk tests) may not accurately reflect real-world walking ability on complex outdoor terrain.[18]</w:t>
      </w:r>
    </w:p>
    <w:p>
      <w:pPr>
        <w:pStyle w:val="BodyText"/>
      </w:pPr>
      <w:r>
        <w:t xml:space="preserve">In our ecological data, terrain slope was negatively correlated with prefecture-level fast walking rate (r = −0.264), consistent with residents of steeper prefectures reporting slower habitual walking on average. 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atrophy).[40, 41]</w:t>
      </w:r>
    </w:p>
    <w:p>
      <w:pPr>
        <w:pStyle w:val="BodyText"/>
      </w:pPr>
      <w:r>
        <w:t xml:space="preserve">However, the multivariable OLS coefficient for fast walking rate was</w:t>
      </w:r>
      <w:r>
        <w:t xml:space="preserve"> </w:t>
      </w:r>
      <w:r>
        <w:rPr>
          <w:b/>
          <w:bCs/>
        </w:rPr>
        <w:t xml:space="preserve">positive</w:t>
      </w:r>
      <w:r>
        <w:t xml:space="preserve"> </w:t>
      </w:r>
      <w:r>
        <w:t xml:space="preserve">(β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w:t>
      </w:r>
      <w:r>
        <w:t xml:space="preserve"> </w:t>
      </w:r>
      <w:r>
        <w:rPr>
          <w:i/>
          <w:iCs/>
        </w:rPr>
        <w:t xml:space="preserve">p</w:t>
      </w:r>
      <w:r>
        <w:t xml:space="preserve"> </w:t>
      </w:r>
      <w:r>
        <w:t xml:space="preserve">= 0.091 versus HC3</w:t>
      </w:r>
      <w:r>
        <w:t xml:space="preserve"> </w:t>
      </w:r>
      <w:r>
        <w:rPr>
          <w:i/>
          <w:iCs/>
        </w:rPr>
        <w:t xml:space="preserve">p</w:t>
      </w:r>
      <w:r>
        <w:t xml:space="preserve"> </w:t>
      </w:r>
      <w:r>
        <w:t xml:space="preserve">=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38"/>
    <w:bookmarkStart w:id="39"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42, 43] Acute care costs for hip fracture treatment reached approximately 1,000 billion yen in 2021,[5] prompting the Japanese government to introduce a new reimbursement incentive in April 2022 for early surgery within 48 hours for patients aged ≥75 years.[44]</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framework.[45, 46] However, research has shown that physical activity behavior is strongly dependent on neighborhood environmental features (sidewalk availability, safety, topography), not individual motivation alone.[45]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pathways.[47]</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39"/>
    <w:bookmarkStart w:id="40"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0"/>
    <w:bookmarkStart w:id="41"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relationships.[48]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 Relatedly, fracture procedure counts (Reiwa 5), Specific Health Checkup walking-speed aggregates (Reiwa 4), and 2020 census denominators are not temporally co-extensive; we therefore interpret results as an administrative-data snapshot rather than a strictly harmonized single-year cohort.</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pPr>
        <w:pStyle w:val="BodyText"/>
      </w:pPr>
      <w:r>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w:t>
      </w:r>
      <w:r>
        <w:t xml:space="preserve"> </w:t>
      </w:r>
      <w:r>
        <w:rPr>
          <w:i/>
          <w:iCs/>
        </w:rPr>
        <w:t xml:space="preserve">p</w:t>
      </w:r>
      <w:r>
        <w:t xml:space="preserve"> </w:t>
      </w:r>
      <w:r>
        <w:t xml:space="preserve">= 0.043 result for the primary slope coefficient in Model 2 was borderline and compatible with no association under alternative variance assumptions.</w:t>
      </w:r>
    </w:p>
    <w:p>
      <w:pPr>
        <w:pStyle w:val="BodyText"/>
      </w:pPr>
      <w:r>
        <w:t xml:space="preserve">Seventh, sex- and gender-stratified outcome tables were not available in the prefecture-level NDB Open Data extracts used here; findings therefore describe aggregate populations and should be interpreted with this limitation in mind.</w:t>
      </w:r>
    </w:p>
    <w:p>
      <w:r>
        <w:pict>
          <v:rect style="width:0;height:1.5pt" o:hralign="center" o:hrstd="t" o:hr="t"/>
        </w:pict>
      </w:r>
    </w:p>
    <w:bookmarkEnd w:id="41"/>
    <w:bookmarkEnd w:id="42"/>
    <w:bookmarkStart w:id="43" w:name="conclusions"/>
    <w:p>
      <w:pPr>
        <w:pStyle w:val="Heading1"/>
      </w:pPr>
      <w:r>
        <w:t xml:space="preserve">Conclusions</w:t>
      </w:r>
    </w:p>
    <w:p>
      <w:pPr>
        <w:pStyle w:val="FirstParagraph"/>
      </w:pPr>
      <w:r>
        <w:t xml:space="preserve">Under primary ordinary least squares estimation, prefectural terrain slope remained positively associated with hip fracture surgery rates after adjustment for aging rate, walking speed, and population density (β ≈ 3.5 additional surgeries per 100,000 per one-degree increase; conventional</w:t>
      </w:r>
      <w:r>
        <w:t xml:space="preserve"> </w:t>
      </w:r>
      <w:r>
        <w:rPr>
          <w:i/>
          <w:iCs/>
        </w:rPr>
        <w:t xml:space="preserve">p</w:t>
      </w:r>
      <w:r>
        <w:t xml:space="preserve"> </w:t>
      </w:r>
      <w:r>
        <w:t xml:space="preserve">= 0.043), whereas heteroskedasticity-robust and bootstrap uncertainty quantification yielded borderline support compatible with no association at α = 0.05. The adjusted signal was specific to hip fractures, with no significant relationship observed for humerus or forearm fractures, consistent with biomechanical hypotheses emphasizing lateral falls and trochanteric loading on sloped terrain.</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3"/>
    <w:bookmarkStart w:id="44" w:name="data-availability"/>
    <w:p>
      <w:pPr>
        <w:pStyle w:val="Heading1"/>
      </w:pPr>
      <w:r>
        <w:t xml:space="preserve">Data availability</w:t>
      </w:r>
    </w:p>
    <w:p>
      <w:pPr>
        <w:pStyle w:val="FirstParagraph"/>
      </w:pPr>
      <w:r>
        <w:t xml:space="preserve">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t>
      </w:r>
    </w:p>
    <w:p>
      <w:r>
        <w:pict>
          <v:rect style="width:0;height:1.5pt" o:hralign="center" o:hrstd="t" o:hr="t"/>
        </w:pict>
      </w:r>
    </w:p>
    <w:bookmarkEnd w:id="44"/>
    <w:bookmarkStart w:id="4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2.0 (Anysphere)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r>
        <w:pict>
          <v:rect style="width:0;height:1.5pt" o:hralign="center" o:hrstd="t" o:hr="t"/>
        </w:pict>
      </w:r>
    </w:p>
    <w:bookmarkEnd w:id="45"/>
    <w:bookmarkStart w:id="46" w:name="references"/>
    <w:p>
      <w:pPr>
        <w:pStyle w:val="Heading1"/>
      </w:pPr>
      <w:r>
        <w:t xml:space="preserve">References</w:t>
      </w:r>
    </w:p>
    <w:p>
      <w:pPr>
        <w:pStyle w:val="FirstParagraph"/>
      </w:pPr>
      <w:r>
        <w:t xml:space="preserve">[1] Hagino H, Katagiri H, Okano T, Yamamoto K, Teshima R. Increasing incidence of hip fracture in Tottori Prefecture, Japan: trend from 1986 to 2001. Osteoporos Int. 2005;16(12):1963-1968.</w:t>
      </w:r>
      <w:r>
        <w:t xml:space="preserve"> </w:t>
      </w:r>
      <w:r>
        <w:t xml:space="preserve">[2] Orimo H, Yaegashi Y, Hosoi T, Fukushima Y, Onoda T, Hashimoto T, et al. Hip fracture incidence in Japan: estimates of new patients in 2012 and 25-year trends. Osteoporos Int. 2016;27(5):1777-1784.</w:t>
      </w:r>
      <w:r>
        <w:t xml:space="preserve"> </w:t>
      </w:r>
      <w:r>
        <w:t xml:space="preserve">[3] Cooper C, Campion G, Melton LJ 3rd. Hip fractures in the elderly: a world-wide projection. Osteoporos Int. 1992;2(6):285-289.</w:t>
      </w:r>
      <w:r>
        <w:t xml:space="preserve"> </w:t>
      </w:r>
      <w:r>
        <w:t xml:space="preserve">[4] Nakatoh S, Fujimori K, Ishii S, Iki M. Trends in the incidence of hip fractures and osteoporosis treatment in Japan (FY2012–FY2023). Arch Osteoporos. 2025; 21(1):16.</w:t>
      </w:r>
      <w:r>
        <w:t xml:space="preserve"> </w:t>
      </w:r>
      <w:r>
        <w:t xml:space="preserve">[5] Hatano M, Yasunaga H, Ishikura H, et al. Temporal trends in acute care costs of hip fracture treatment from 2011 to 2021 in Japan. Arch Osteoporos. 2025;20(1):124.</w:t>
      </w:r>
      <w:r>
        <w:t xml:space="preserve"> </w:t>
      </w:r>
      <w:r>
        <w:t xml:space="preserve">[6] Cummings SR, Nevitt MC. A hypothesis: the causes of hip fractures. J Gerontol. 1989;44(4):M107-M111.</w:t>
      </w:r>
      <w:r>
        <w:t xml:space="preserve"> </w:t>
      </w:r>
      <w:r>
        <w:t xml:space="preserve">[7] Tinetti ME. Clinical practice. Preventing falls in elderly persons. N Engl J Med. 2003;348(1):42-49.</w:t>
      </w:r>
      <w:r>
        <w:t xml:space="preserve"> </w:t>
      </w:r>
      <w:r>
        <w:t xml:space="preserve">[8] Stevens JA, Sogolow ED. Gender differences for non-fatal unintentional fall related injuries among older adults. Inj Prev. 2005;11(2):115-119.</w:t>
      </w:r>
      <w:r>
        <w:t xml:space="preserve"> </w:t>
      </w:r>
      <w:r>
        <w:t xml:space="preserve">[9] Li W, Keegan TH, Sternfeld B, Sidney S, Quesenberry CP Jr, Kelsey JL. Outdoor falls among middle-aged and older adults: a neglected public health problem. Am J Public Health. 2006;96(7):1192-1200.</w:t>
      </w:r>
      <w:r>
        <w:t xml:space="preserve"> </w:t>
      </w:r>
      <w:r>
        <w:t xml:space="preserve">[10] Redfern MS, Cham R, Gielo-Perczak K, et al. Biomechanics of slips. Ergonomics. 2001;44(13):1138-1166.</w:t>
      </w:r>
      <w:r>
        <w:t xml:space="preserve"> </w:t>
      </w:r>
      <w:r>
        <w:t xml:space="preserve">[11] Franz JR, Kram R. Advanced age affects the individual leg mechanics of level, uphill, and downhill walking. J Biomech. 2013;46(3):535-540.</w:t>
      </w:r>
      <w:r>
        <w:t xml:space="preserve"> </w:t>
      </w:r>
      <w:r>
        <w:t xml:space="preserve">[12] Reimann H, Ramadan R, Fettrow T, Hafer JF, Geyer H, Jeka JJ. Interactions between different age-related factors affecting balance control in walking. Front Sports Act Living. 2020;2:94.</w:t>
      </w:r>
      <w:r>
        <w:t xml:space="preserve"> </w:t>
      </w:r>
      <w:r>
        <w:t xml:space="preserve">[13] Marigold DS, Patla AE. Strategies for dynamic stability during locomotion on a slippery surface: effects of prior experience and knowledge. J Neurophysiol. 2002;88(1):339-353.</w:t>
      </w:r>
      <w:r>
        <w:t xml:space="preserve"> </w:t>
      </w:r>
      <w:r>
        <w:t xml:space="preserve">[14] Fujita K, Fujiwara Y, Chaves PH, Motohashi Y, Shinkai S. Frequency of going outdoors as a good predictors for incident disability of physical function as well as disability recovery in community-dwelling older adults in rural Japan. J Epidemiol. 2006;16(6):261-270.</w:t>
      </w:r>
      <w:r>
        <w:t xml:space="preserve"> </w:t>
      </w:r>
      <w:r>
        <w:t xml:space="preserve">[15] Quach L, Galica AM, Jones RN, et al. The nonlinear relationship between gait speed and falls: the MOBILIZE Boston Study. J Am Geriatr Soc. 2011;59(6):1069-1073.</w:t>
      </w:r>
      <w:r>
        <w:t xml:space="preserve"> </w:t>
      </w:r>
      <w:r>
        <w:t xml:space="preserve">[16] Dargent-Molina P, Favier F, Grandjean H, et al. Fall-related factors and risk of hip fracture: the EPIDOS prospective study. Lancet. 1996;348(9021):145-149.</w:t>
      </w:r>
      <w:r>
        <w:t xml:space="preserve"> </w:t>
      </w:r>
      <w:r>
        <w:t xml:space="preserve">[17] Studenski S, Perera S, Patel K, et al. Gait speed and survival in older adults. JAMA. 2011;305(1):50-58.</w:t>
      </w:r>
      <w:r>
        <w:t xml:space="preserve"> </w:t>
      </w:r>
      <w:r>
        <w:t xml:space="preserve">[18] Thies SB, Richardson JK, Ashton-Miller JA. Effects of surface irregularity and lighting on step variability during gait: a study in healthy young and older women. Gait Posture. 2005;22(1):26-31.</w:t>
      </w:r>
      <w:r>
        <w:t xml:space="preserve"> </w:t>
      </w:r>
      <w:r>
        <w:t xml:space="preserve">[19] Maki BE. Gait changes in older adults: predictors of falls or indicators of fear. J Am Geriatr Soc. 1997;45(3):313-320.</w:t>
      </w:r>
      <w:r>
        <w:t xml:space="preserve"> </w:t>
      </w:r>
      <w:r>
        <w:t xml:space="preserve">[20] 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r>
        <w:t xml:space="preserve"> </w:t>
      </w:r>
      <w:r>
        <w:t xml:space="preserve">[21] Wang S, Zhang F, Guo Y, Chen C, Zhong Y, Hao D, Zhu S, Wu Y. Exposure to high altitude is associated with an elevated risk of hip fracture: a retrospective cohort study using data from the CHARLS. BMC Geriatr. 2025;25(1):884.</w:t>
      </w:r>
      <w:r>
        <w:t xml:space="preserve"> </w:t>
      </w:r>
      <w:r>
        <w:t xml:space="preserve">[22] Nevitt MC, Cummings SR. Type of fall and risk of hip and wrist fractures: the study of osteoporotic fractures. J Am Geriatr Soc. 1993;41(11):1226-1234.</w:t>
      </w:r>
      <w:r>
        <w:t xml:space="preserve"> </w:t>
      </w:r>
      <w:r>
        <w:t xml:space="preserve">[23] Yang Y, Komisar V, Shishov N, et al. The effect of fall biomechanics on risk for hip fracture in older adults: a cohort study of video-captured falls in long-term care. J Bone Miner Res. 2020;35(10):1914-1922.</w:t>
      </w:r>
      <w:r>
        <w:t xml:space="preserve"> </w:t>
      </w:r>
      <w:r>
        <w:t xml:space="preserve">[24] Hayes WC, Myers ER, Morris JN, Gerhart TN, Yett HS, Lipsitz LA. Impact near the hip dominates fracture risk in elderly nursing home residents who fall. Calcif Tissue Int. 1993;52(3):192-198.</w:t>
      </w:r>
      <w:r>
        <w:t xml:space="preserve"> </w:t>
      </w:r>
      <w:r>
        <w:t xml:space="preserve">[25] Sarvi MN, Luo Y. A two-level subject-specific biomechanical model for improving prediction of hip fracture risk. Clin Biomech (Bristol, Avon). 2015;30(8):881-887.</w:t>
      </w:r>
      <w:r>
        <w:t xml:space="preserve"> </w:t>
      </w:r>
      <w:r>
        <w:t xml:space="preserve">[26] Faisal TR, Luo Y. Study of stress variations in single-stance and sideways fall using image-based finite element analysis. Biomed Mater Eng. 2016;27(1):1-14.</w:t>
      </w:r>
      <w:r>
        <w:t xml:space="preserve"> </w:t>
      </w:r>
      <w:r>
        <w:t xml:space="preserve">[27] Ortega JD, Farley CT. Minimizing center of mass vertical movement increases metabolic cost in walking. J Appl Physiol (1985). 2005;99(6):2099-2107.</w:t>
      </w:r>
      <w:r>
        <w:t xml:space="preserve"> </w:t>
      </w:r>
      <w:r>
        <w:t xml:space="preserve">[28] Tesio L, Rota V. The motion of body center of mass during walking: a review oriented to clinical applications. Front Neurol. 2019;10:999.</w:t>
      </w:r>
      <w:r>
        <w:t xml:space="preserve"> </w:t>
      </w:r>
      <w:r>
        <w:t xml:space="preserve">[29] Hak L, Houdijk H, Steenbrink F, Mert A, van der Wurff P, Beek PJ, van Dieën JH. Stepping strategies for regulating gait adaptability and stability. J Biomech. 2013;46(5):905-911.</w:t>
      </w:r>
      <w:r>
        <w:t xml:space="preserve"> </w:t>
      </w:r>
      <w:r>
        <w:t xml:space="preserve">[30] Kim KJ, Ashton-Miller JA. Biomechanics of fall arrest using the upper extremity: age differences. Clin Biomech (Bristol, Avon). 2003;18(4):311-318.</w:t>
      </w:r>
      <w:r>
        <w:t xml:space="preserve"> </w:t>
      </w:r>
      <w:r>
        <w:t xml:space="preserve">[31] O’Neill TW, Varlow J, Silman AJ, et al. Age and sex influences on fall characteristics. Ann Rheum Dis. 1994;53(11):773-775.</w:t>
      </w:r>
      <w:r>
        <w:t xml:space="preserve"> </w:t>
      </w:r>
      <w:r>
        <w:t xml:space="preserve">[32] Court-Brown CM, Caesar B. Epidemiology of adult fractures: a review. Injury. 2006;37(8):691-697.</w:t>
      </w:r>
      <w:r>
        <w:t xml:space="preserve"> </w:t>
      </w:r>
      <w:r>
        <w:t xml:space="preserve">[33] Dahl C, Madsen C, Omsland TK, et al. The association of cold ambient temperature with fracture risk and mortality: national data from Norway—a Norwegian Epidemiologic Osteoporosis Studies (NOREPOS) study. J Bone Miner Res. 2022;37(8):1527-1536.</w:t>
      </w:r>
      <w:r>
        <w:t xml:space="preserve"> </w:t>
      </w:r>
      <w:r>
        <w:t xml:space="preserve">[34] Blackwood J, Suzuki R, Karczewski H. Perceived neighborhood walkability is associated with recent falls in urban dwelling older adults. J Geriatr Phys Ther. 2022;45(1):E8-E15.</w:t>
      </w:r>
      <w:r>
        <w:t xml:space="preserve"> </w:t>
      </w:r>
      <w:r>
        <w:t xml:space="preserve">[35] 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r>
        <w:t xml:space="preserve"> </w:t>
      </w:r>
      <w:r>
        <w:t xml:space="preserve">[36] Consalvo S. Impact of population ageing on Japan’s inter-prefectural migration. Data Science and Service Research Discussion Paper No. 129. Tohoku University, 2022.</w:t>
      </w:r>
      <w:r>
        <w:t xml:space="preserve"> </w:t>
      </w:r>
      <w:r>
        <w:t xml:space="preserve">[37] Smith SG, O’Conor R, Curtis LM, Waite K, Deary IJ, Paasche-Orlow M, Wolf MS. Low health literacy predicts decline in physical function among older adults: findings from the LitCog cohort study. J Epidemiol Community Health. 2015;69(5):474-480.</w:t>
      </w:r>
      <w:r>
        <w:t xml:space="preserve"> </w:t>
      </w:r>
      <w:r>
        <w:t xml:space="preserve">[38] Kobayashi K, Nishida T, Sakakibara H. Factors associated with low albumin in community-dwelling older adults aged 75 years and above. Int J Environ Res Public Health. 2023;20(21):6994.</w:t>
      </w:r>
      <w:r>
        <w:t xml:space="preserve"> </w:t>
      </w:r>
      <w:r>
        <w:t xml:space="preserve">[39] Murayama H, Nishi M, Matsuo E, et al. Do bonding and bridging social capital affect self-rated health, depressive mood and cognitive decline in older Japanese? A prospective cohort study. Soc Sci Med. 2013;98:247-252.</w:t>
      </w:r>
      <w:r>
        <w:t xml:space="preserve"> </w:t>
      </w:r>
      <w:r>
        <w:t xml:space="preserve">[40] Delbaere K, Close JC, Brodaty H, Sachdev P, Lord SR. Determinants of disparities between perceived and physiological risk of falling among elderly people: cohort study. BMJ. 2010;341:c4165.</w:t>
      </w:r>
      <w:r>
        <w:t xml:space="preserve"> </w:t>
      </w:r>
      <w:r>
        <w:t xml:space="preserve">[41] Kempen GI, van Haastregt JC, McKee KJ, Delbaere K, Zijlstra GA. Socio-demographic, health-related and psychosocial correlates of fear of falling and avoidance of activity in community-living older persons who avoid activity due to fear of falling. BMC Public Health. 2009;9:170.</w:t>
      </w:r>
      <w:r>
        <w:t xml:space="preserve"> </w:t>
      </w:r>
      <w:r>
        <w:t xml:space="preserve">[42] Inage K, Kondo N, Komatsubara S, et al. Current status of patients with hip fracture in Japan: a nationwide survey. J Orthop Sci. 2025. doi:10.1016/j.jos.2025.05.014.</w:t>
      </w:r>
      <w:r>
        <w:t xml:space="preserve"> </w:t>
      </w:r>
      <w:r>
        <w:t xml:space="preserve">[43] Nakatoh S, Fujimori K, Ishii S, Tamaki J, Okimoto N, Ogawa S, Iki M. Trends in the incidence of secondary hip fractures and osteoporosis treatment in Japan (FY2012-FY2023). Arch Osteoporos. 2026;21(1):15.</w:t>
      </w:r>
      <w:r>
        <w:t xml:space="preserve"> </w:t>
      </w:r>
      <w:r>
        <w:t xml:space="preserve">[44] Yamamoto N, Sawaguchi T, Matsushita T, et al. Fragility Fracture Network-Japan: the challenge of establishment of a national hip fracture database and successful achievement of nationwide health system change for hip fracture care in Japan. Injury. 2024;55(6):111452.</w:t>
      </w:r>
      <w:r>
        <w:t xml:space="preserve"> </w:t>
      </w:r>
      <w:r>
        <w:t xml:space="preserve">[45] 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r>
        <w:t xml:space="preserve"> </w:t>
      </w:r>
      <w:r>
        <w:t xml:space="preserve">[46] 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r>
        <w:t xml:space="preserve"> </w:t>
      </w:r>
      <w:r>
        <w:t xml:space="preserve">[47] Sherrington C, Fairhall NJ, Wallbank GK, et al. Exercise for preventing falls in older people living in the community. Cochrane Database Syst Rev. 2019;1(1):CD012424.</w:t>
      </w:r>
      <w:r>
        <w:t xml:space="preserve"> </w:t>
      </w:r>
      <w:r>
        <w:t xml:space="preserve">[48] Rothman KJ, Greenland S, Lash TL. Modern Epidemiology. 3rd ed. Philadelphia: Lippincott Williams &amp; Wilkins; 2008.</w:t>
      </w:r>
    </w:p>
    <w:p>
      <w:r>
        <w:pict>
          <v:rect style="width:0;height:1.5pt" o:hralign="center" o:hrstd="t" o:hr="t"/>
        </w:pict>
      </w:r>
    </w:p>
    <w:bookmarkEnd w:id="46"/>
    <w:bookmarkStart w:id="58" w:name="tables-and-figures"/>
    <w:p>
      <w:pPr>
        <w:pStyle w:val="Heading1"/>
      </w:pPr>
      <w:r>
        <w:t xml:space="preserve">Tables and Figures</w:t>
      </w:r>
    </w:p>
    <w:p>
      <w:pPr>
        <w:pStyle w:val="FirstParagraph"/>
      </w:pPr>
      <w:r>
        <w:rPr>
          <w:i/>
          <w:iCs/>
        </w:rPr>
        <w:t xml:space="preserve">Submission note (Health &amp; Place):</w:t>
      </w:r>
      <w:r>
        <w:t xml:space="preserve"> </w:t>
      </w:r>
      <w:r>
        <w:t xml:space="preserve">tables must be submitted as editable text (not images). The journal requests avoiding vertical rules and cell shading in final Word typesetting; if borders appear after import from this document, remove vertical lines in the submission file. Figures must be supplied as separate image files in the submission system (e.g.,</w:t>
      </w:r>
      <w:r>
        <w:t xml:space="preserve"> </w:t>
      </w:r>
      <w:r>
        <w:rPr>
          <w:rStyle w:val="VerbatimChar"/>
        </w:rPr>
        <w:t xml:space="preserve">Figure_1.png</w:t>
      </w:r>
      <w:r>
        <w:t xml:space="preserve">,</w:t>
      </w:r>
      <w:r>
        <w:t xml:space="preserve"> </w:t>
      </w:r>
      <w:r>
        <w:rPr>
          <w:rStyle w:val="VerbatimChar"/>
        </w:rPr>
        <w:t xml:space="preserve">Figure_2.png</w:t>
      </w:r>
      <w:r>
        <w:t xml:space="preserve">, …) with logical file names; embedded figures below are included for Quarto compilation and internal review only.</w:t>
      </w:r>
    </w:p>
    <w:bookmarkStart w:id="47"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356.11</w:t>
            </w:r>
          </w:p>
        </w:tc>
        <w:tc>
          <w:tcPr/>
          <w:p>
            <w:pPr>
              <w:pStyle w:val="Compact"/>
              <w:jc w:val="right"/>
            </w:pPr>
            <w:r>
              <w:t xml:space="preserve">306.44</w:t>
            </w:r>
          </w:p>
        </w:tc>
        <w:tc>
          <w:tcPr/>
          <w:p>
            <w:pPr>
              <w:pStyle w:val="Compact"/>
              <w:jc w:val="right"/>
            </w:pPr>
            <w:r>
              <w:t xml:space="preserve">397.13</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253.87</w:t>
            </w:r>
          </w:p>
        </w:tc>
        <w:tc>
          <w:tcPr/>
          <w:p>
            <w:pPr>
              <w:pStyle w:val="Compact"/>
              <w:jc w:val="right"/>
            </w:pPr>
            <w:r>
              <w:t xml:space="preserve">228.57</w:t>
            </w:r>
          </w:p>
        </w:tc>
        <w:tc>
          <w:tcPr/>
          <w:p>
            <w:pPr>
              <w:pStyle w:val="Compact"/>
              <w:jc w:val="right"/>
            </w:pPr>
            <w:r>
              <w:t xml:space="preserve">286.32</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35.56</w:t>
            </w:r>
          </w:p>
        </w:tc>
        <w:tc>
          <w:tcPr/>
          <w:p>
            <w:pPr>
              <w:pStyle w:val="Compact"/>
              <w:jc w:val="right"/>
            </w:pPr>
            <w:r>
              <w:t xml:space="preserve">30.04</w:t>
            </w:r>
          </w:p>
        </w:tc>
        <w:tc>
          <w:tcPr/>
          <w:p>
            <w:pPr>
              <w:pStyle w:val="Compact"/>
              <w:jc w:val="right"/>
            </w:pPr>
            <w:r>
              <w:t xml:space="preserve">41.72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60.84</w:t>
            </w:r>
          </w:p>
        </w:tc>
        <w:tc>
          <w:tcPr/>
          <w:p>
            <w:pPr>
              <w:pStyle w:val="Compact"/>
              <w:jc w:val="right"/>
            </w:pPr>
            <w:r>
              <w:t xml:space="preserve">51.68</w:t>
            </w:r>
          </w:p>
        </w:tc>
        <w:tc>
          <w:tcPr/>
          <w:p>
            <w:pPr>
              <w:pStyle w:val="Compact"/>
              <w:jc w:val="right"/>
            </w:pPr>
            <w:r>
              <w:t xml:space="preserve">76.04</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8.36</w:t>
            </w:r>
          </w:p>
        </w:tc>
        <w:tc>
          <w:tcPr/>
          <w:p>
            <w:pPr>
              <w:pStyle w:val="Compact"/>
              <w:jc w:val="right"/>
            </w:pPr>
            <w:r>
              <w:t xml:space="preserve">6.56</w:t>
            </w:r>
          </w:p>
        </w:tc>
        <w:tc>
          <w:tcPr/>
          <w:p>
            <w:pPr>
              <w:pStyle w:val="Compact"/>
              <w:jc w:val="right"/>
            </w:pPr>
            <w:r>
              <w:t xml:space="preserve">10.95</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8.18</w:t>
            </w:r>
          </w:p>
        </w:tc>
        <w:tc>
          <w:tcPr/>
          <w:p>
            <w:pPr>
              <w:pStyle w:val="Compact"/>
              <w:jc w:val="right"/>
            </w:pPr>
            <w:r>
              <w:t xml:space="preserve">6.37</w:t>
            </w:r>
          </w:p>
        </w:tc>
        <w:tc>
          <w:tcPr/>
          <w:p>
            <w:pPr>
              <w:pStyle w:val="Compact"/>
              <w:jc w:val="right"/>
            </w:pPr>
            <w:r>
              <w:t xml:space="preserve">10.24</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31.26</w:t>
            </w:r>
          </w:p>
        </w:tc>
        <w:tc>
          <w:tcPr/>
          <w:p>
            <w:pPr>
              <w:pStyle w:val="Compact"/>
              <w:jc w:val="right"/>
            </w:pPr>
            <w:r>
              <w:t xml:space="preserve">29.28</w:t>
            </w:r>
          </w:p>
        </w:tc>
        <w:tc>
          <w:tcPr/>
          <w:p>
            <w:pPr>
              <w:pStyle w:val="Compact"/>
              <w:jc w:val="right"/>
            </w:pPr>
            <w:r>
              <w:t xml:space="preserve">32.88</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49.23</w:t>
            </w:r>
          </w:p>
        </w:tc>
        <w:tc>
          <w:tcPr/>
          <w:p>
            <w:pPr>
              <w:pStyle w:val="Compact"/>
              <w:jc w:val="right"/>
            </w:pPr>
            <w:r>
              <w:t xml:space="preserve">46.23</w:t>
            </w:r>
          </w:p>
        </w:tc>
        <w:tc>
          <w:tcPr/>
          <w:p>
            <w:pPr>
              <w:pStyle w:val="Compact"/>
              <w:jc w:val="right"/>
            </w:pPr>
            <w:r>
              <w:t xml:space="preserve">51.22</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657.00</w:t>
            </w:r>
          </w:p>
        </w:tc>
        <w:tc>
          <w:tcPr/>
          <w:p>
            <w:pPr>
              <w:pStyle w:val="Compact"/>
              <w:jc w:val="right"/>
            </w:pPr>
            <w:r>
              <w:t xml:space="preserve">1,223.13</w:t>
            </w:r>
          </w:p>
        </w:tc>
        <w:tc>
          <w:tcPr/>
          <w:p>
            <w:pPr>
              <w:pStyle w:val="Compact"/>
              <w:jc w:val="right"/>
            </w:pPr>
            <w:r>
              <w:t xml:space="preserve">265.44</w:t>
            </w:r>
          </w:p>
        </w:tc>
        <w:tc>
          <w:tcPr/>
          <w:p>
            <w:pPr>
              <w:pStyle w:val="Compact"/>
              <w:jc w:val="right"/>
            </w:pPr>
            <w:r>
              <w:t xml:space="preserve">173.20</w:t>
            </w:r>
          </w:p>
        </w:tc>
        <w:tc>
          <w:tcPr/>
          <w:p>
            <w:pPr>
              <w:pStyle w:val="Compact"/>
              <w:jc w:val="right"/>
            </w:pPr>
            <w:r>
              <w:t xml:space="preserve">468.68</w:t>
            </w:r>
          </w:p>
        </w:tc>
        <w:tc>
          <w:tcPr/>
          <w:p>
            <w:pPr>
              <w:pStyle w:val="Compact"/>
              <w:jc w:val="right"/>
            </w:pPr>
            <w:r>
              <w:t xml:space="preserve">62.63</w:t>
            </w:r>
          </w:p>
        </w:tc>
        <w:tc>
          <w:tcPr/>
          <w:p>
            <w:pPr>
              <w:pStyle w:val="Compact"/>
              <w:jc w:val="right"/>
            </w:pPr>
            <w:r>
              <w:t xml:space="preserve">6,402.64</w:t>
            </w:r>
          </w:p>
        </w:tc>
      </w:tr>
    </w:tbl>
    <w:p>
      <w:pPr>
        <w:pStyle w:val="BodyText"/>
      </w:pPr>
      <w:r>
        <w:rPr>
          <w:i/>
          <w:iCs/>
        </w:rPr>
        <w:t xml:space="preserve">Note.</w:t>
      </w:r>
      <w:r>
        <w:t xml:space="preserve"> </w:t>
      </w:r>
      <w:r>
        <w:t xml:space="preserve">Q1 and Q3 denote 25th and 75th percentiles (prefecture-level observations). Exploratory Shapiro–Wilk tests rejected normality for fast walking rate and population density (both</w:t>
      </w:r>
      <w:r>
        <w:t xml:space="preserve"> </w:t>
      </w:r>
      <w:r>
        <w:rPr>
          <w:i/>
          <w:iCs/>
        </w:rPr>
        <w:t xml:space="preserve">p</w:t>
      </w:r>
      <w:r>
        <w:t xml:space="preserve"> </w:t>
      </w:r>
      <w:r>
        <w:t xml:space="preserve">&lt; 0.001); other listed variables were not rejected at α = 0.05 (aging rate</w:t>
      </w:r>
      <w:r>
        <w:t xml:space="preserve"> </w:t>
      </w:r>
      <w:r>
        <w:rPr>
          <w:i/>
          <w:iCs/>
        </w:rPr>
        <w:t xml:space="preserve">p</w:t>
      </w:r>
      <w:r>
        <w:t xml:space="preserve"> </w:t>
      </w:r>
      <w:r>
        <w:t xml:space="preserve">= 0.090). Marginal normality is not required for ordinary least squares; median and quartiles are presented to describe skewed distributions alongside mean and SD.</w:t>
      </w:r>
    </w:p>
    <w:p>
      <w:r>
        <w:pict>
          <v:rect style="width:0;height:1.5pt" o:hralign="center" o:hrstd="t" o:hr="t"/>
        </w:pict>
      </w:r>
    </w:p>
    <w:bookmarkEnd w:id="47"/>
    <w:bookmarkStart w:id="48"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48"/>
    <w:bookmarkStart w:id="49"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 (conventional model-based standard errors).</w:t>
      </w:r>
    </w:p>
    <w:p>
      <w:pPr>
        <w:pStyle w:val="BodyText"/>
      </w:pPr>
      <w:r>
        <w:rPr>
          <w:i/>
          <w:iCs/>
        </w:rPr>
        <w:t xml:space="preserve">Sensitivity (Model 2, terrain slope coefficient):</w:t>
      </w:r>
      <w:r>
        <w:t xml:space="preserve"> </w:t>
      </w:r>
      <w:r>
        <w:t xml:space="preserve">heteroskedasticity-robust (HC3) β = 3.49 (95% CI, −0.19–7.17;</w:t>
      </w:r>
      <w:r>
        <w:t xml:space="preserve"> </w:t>
      </w:r>
      <w:r>
        <w:rPr>
          <w:i/>
          <w:iCs/>
        </w:rPr>
        <w:t xml:space="preserve">p</w:t>
      </w:r>
      <w:r>
        <w:t xml:space="preserve"> </w:t>
      </w:r>
      <w:r>
        <w:t xml:space="preserve">= 0.063); nonparametric bootstrap 95% CI (prefecture resampling,</w:t>
      </w:r>
      <w:r>
        <w:t xml:space="preserve"> </w:t>
      </w:r>
      <w:r>
        <w:rPr>
          <w:i/>
          <w:iCs/>
        </w:rPr>
        <w:t xml:space="preserve">B</w:t>
      </w:r>
      <w:r>
        <w:t xml:space="preserve"> </w:t>
      </w:r>
      <w:r>
        <w:t xml:space="preserve">= 5,000) = −0.03–7.09.</w:t>
      </w:r>
    </w:p>
    <w:p>
      <w:r>
        <w:pict>
          <v:rect style="width:0;height:1.5pt" o:hralign="center" o:hrstd="t" o:hr="t"/>
        </w:pict>
      </w:r>
    </w:p>
    <w:bookmarkEnd w:id="49"/>
    <w:bookmarkStart w:id="50"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pPr>
        <w:pStyle w:val="BodyText"/>
      </w:pPr>
      <w:r>
        <w:t xml:space="preserve">For the hip (femur) outcome, heteroskedasticity-robust (HC3) inference and bootstrap CIs for the slope coefficient were borderline (Table 3 footnote).</w:t>
      </w:r>
    </w:p>
    <w:p>
      <w:r>
        <w:pict>
          <v:rect style="width:0;height:1.5pt" o:hralign="center" o:hrstd="t" o:hr="t"/>
        </w:pict>
      </w:r>
    </w:p>
    <w:bookmarkEnd w:id="50"/>
    <w:bookmarkStart w:id="51"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labeled with the prefecture name in English.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Prefectures in the Chugoku, Shikoku, and Kyushu mountain ranges show the highest slope values.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Prefectures in mountainous regions tend to show elevated rates.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bookmarkEnd w:id="51"/>
    <w:bookmarkStart w:id="52" w:name="figure-1"/>
    <w:p>
      <w:pPr>
        <w:pStyle w:val="Heading2"/>
      </w:pPr>
      <w:r>
        <w:t xml:space="preserve">Figure 1</w:t>
      </w:r>
    </w:p>
    <w:p>
      <w:pPr>
        <w:pStyle w:val="FirstParagraph"/>
      </w:pPr>
    </w:p>
    <w:bookmarkEnd w:id="52"/>
    <w:bookmarkStart w:id="53" w:name="figure-2"/>
    <w:p>
      <w:pPr>
        <w:pStyle w:val="Heading2"/>
      </w:pPr>
      <w:r>
        <w:t xml:space="preserve">Figure 2</w:t>
      </w:r>
    </w:p>
    <w:p>
      <w:pPr>
        <w:pStyle w:val="FirstParagraph"/>
      </w:pPr>
    </w:p>
    <w:bookmarkEnd w:id="53"/>
    <w:bookmarkStart w:id="54" w:name="figure-3"/>
    <w:p>
      <w:pPr>
        <w:pStyle w:val="Heading2"/>
      </w:pPr>
      <w:r>
        <w:t xml:space="preserve">Figure 3</w:t>
      </w:r>
    </w:p>
    <w:p>
      <w:pPr>
        <w:pStyle w:val="FirstParagraph"/>
      </w:pPr>
    </w:p>
    <w:bookmarkEnd w:id="54"/>
    <w:bookmarkStart w:id="55" w:name="figure-4"/>
    <w:p>
      <w:pPr>
        <w:pStyle w:val="Heading2"/>
      </w:pPr>
      <w:r>
        <w:t xml:space="preserve">Figure 4</w:t>
      </w:r>
    </w:p>
    <w:p>
      <w:pPr>
        <w:pStyle w:val="FirstParagraph"/>
      </w:pPr>
    </w:p>
    <w:bookmarkEnd w:id="55"/>
    <w:bookmarkStart w:id="56" w:name="figure-5"/>
    <w:p>
      <w:pPr>
        <w:pStyle w:val="Heading2"/>
      </w:pPr>
      <w:r>
        <w:t xml:space="preserve">Figure 5</w:t>
      </w:r>
    </w:p>
    <w:p>
      <w:pPr>
        <w:pStyle w:val="FirstParagraph"/>
      </w:pPr>
    </w:p>
    <w:bookmarkEnd w:id="56"/>
    <w:bookmarkStart w:id="57" w:name="journal-specific-notes"/>
    <w:p>
      <w:pPr>
        <w:pStyle w:val="Heading2"/>
      </w:pPr>
      <w:r>
        <w:t xml:space="preserve">Journal-Specific Notes</w:t>
      </w:r>
    </w:p>
    <w:p>
      <w:pPr>
        <w:pStyle w:val="FirstParagraph"/>
      </w:pPr>
      <w:r>
        <w:t xml:space="preserve">This section is intentionally kept as a placeholder for submission-only elements:</w:t>
      </w:r>
    </w:p>
    <w:p>
      <w:pPr>
        <w:pStyle w:val="Compact"/>
        <w:numPr>
          <w:ilvl w:val="0"/>
          <w:numId w:val="1002"/>
        </w:numPr>
      </w:pPr>
      <w:r>
        <w:t xml:space="preserve">journal-required declarations and formatting notes</w:t>
      </w:r>
    </w:p>
    <w:p>
      <w:pPr>
        <w:pStyle w:val="Compact"/>
        <w:numPr>
          <w:ilvl w:val="0"/>
          <w:numId w:val="1002"/>
        </w:numPr>
      </w:pPr>
      <w:r>
        <w:t xml:space="preserve">cover letter alignment notes</w:t>
      </w:r>
    </w:p>
    <w:p>
      <w:pPr>
        <w:pStyle w:val="Compact"/>
        <w:numPr>
          <w:ilvl w:val="0"/>
          <w:numId w:val="1002"/>
        </w:numPr>
      </w:pPr>
      <w:r>
        <w:t xml:space="preserve">blinded or non-blinded author metadata handling</w:t>
      </w:r>
    </w:p>
    <w:p>
      <w:pPr>
        <w:pStyle w:val="FirstParagraph"/>
      </w:pPr>
      <w:r>
        <w:t xml:space="preserve">Remove this section from the final submission if the target journal does not allow it in the manuscript body.</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
  <cp:keywords/>
  <dcterms:created xsi:type="dcterms:W3CDTF">2026-04-20T12:30:06Z</dcterms:created>
  <dcterms:modified xsi:type="dcterms:W3CDTF">2026-04-20T12:30:06Z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2026-02-19</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