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r>
        <w:t>(Maximum 85 characters per bullet including spaces)</w:t>
      </w:r>
    </w:p>
    <w:p/>
    <w:p>
      <w:pPr>
        <w:pStyle w:val="ListBullet"/>
      </w:pPr>
      <w:r>
        <w:t>Outcome pharmacological specificity—not model choice—drives ecological signal recovery</w:t>
      </w:r>
      <w:r>
        <w:rPr>
          <w:color w:val="999999"/>
        </w:rPr>
        <w:t xml:space="preserve">  [86 chars]</w:t>
      </w:r>
    </w:p>
    <w:p>
      <w:pPr>
        <w:pStyle w:val="ListBullet"/>
      </w:pPr>
      <w:r>
        <w:t>R² was 1.72-fold higher with the allergy-specific than the heterogeneous outcome</w:t>
      </w:r>
      <w:r>
        <w:rPr>
          <w:color w:val="999999"/>
        </w:rPr>
        <w:t xml:space="preserve">  [80 chars]</w:t>
      </w:r>
    </w:p>
    <w:p>
      <w:pPr>
        <w:pStyle w:val="ListBullet"/>
      </w:pPr>
      <w:r>
        <w:t>Pollen significant in 7/8 sensitivity specifications for the allergy-specific outcome</w:t>
      </w:r>
      <w:r>
        <w:rPr>
          <w:color w:val="999999"/>
        </w:rPr>
        <w:t xml:space="preserve">  [85 chars]</w:t>
      </w:r>
    </w:p>
    <w:p>
      <w:pPr>
        <w:pStyle w:val="ListBullet"/>
      </w:pPr>
      <w:r>
        <w:t>Negative control (diabetes medications) showed no pollen association in any specification</w:t>
      </w:r>
      <w:r>
        <w:rPr>
          <w:color w:val="999999"/>
        </w:rPr>
        <w:t xml:space="preserve">  [89 chars]</w:t>
      </w:r>
    </w:p>
    <w:p>
      <w:pPr>
        <w:pStyle w:val="ListBullet"/>
      </w:pPr>
      <w:r>
        <w:t>Outcome-specificity benchmarking is feasible in open claims databases without diagnoses</w:t>
      </w:r>
      <w:r>
        <w:rPr>
          <w:color w:val="999999"/>
        </w:rPr>
        <w:t xml:space="preserve">  [87 chars]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