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 w:val="0"/>
          <w:i w:val="0"/>
        </w:rPr>
        <w:t>18 June 2026</w:t>
      </w:r>
    </w:p>
    <w:p>
      <w:pPr>
        <w:spacing w:before="0" w:after="0"/>
      </w:pPr>
      <w:r>
        <w:rPr>
          <w:b w:val="0"/>
          <w:i w:val="0"/>
        </w:rPr>
        <w:t>The Editorial Office</w:t>
      </w:r>
    </w:p>
    <w:p>
      <w:pPr>
        <w:spacing w:before="0" w:after="0"/>
      </w:pPr>
      <w:r>
        <w:rPr>
          <w:b w:val="0"/>
          <w:i/>
        </w:rPr>
        <w:t>Journal of Clinical Epidemiology</w:t>
      </w:r>
    </w:p>
    <w:p>
      <w:pPr>
        <w:spacing w:before="0" w:after="240"/>
      </w:pPr>
      <w:r>
        <w:rPr>
          <w:b w:val="0"/>
          <w:i w:val="0"/>
        </w:rPr>
        <w:t>Elsevier</w:t>
      </w:r>
    </w:p>
    <w:p>
      <w:pPr>
        <w:spacing w:before="0" w:after="240"/>
      </w:pPr>
      <w:r>
        <w:rPr>
          <w:b w:val="0"/>
          <w:i w:val="0"/>
        </w:rPr>
        <w:t>Dear Editor-in-Chief,</w:t>
      </w:r>
    </w:p>
    <w:p>
      <w:pPr>
        <w:spacing w:before="0" w:after="240"/>
      </w:pPr>
      <w:r>
        <w:rPr>
          <w:b w:val="0"/>
          <w:i w:val="0"/>
        </w:rPr>
        <w:t>I am writing on behalf of all co-authors to submit our manuscript entitled "How Outcome Definition Changes Ecological Inference in Prescription-Based Epidemiology: A Natural Experiment" for consideration as an Original Research Article in the Journal of Clinical Epidemiology.</w:t>
      </w:r>
    </w:p>
    <w:p>
      <w:pPr>
        <w:spacing w:before="0" w:after="120"/>
      </w:pPr>
      <w:r>
        <w:rPr>
          <w:b/>
          <w:i w:val="0"/>
        </w:rPr>
        <w:t>Scope and relevance to JCE</w:t>
      </w:r>
    </w:p>
    <w:p>
      <w:pPr>
        <w:spacing w:before="0" w:after="240"/>
      </w:pPr>
      <w:r>
        <w:rPr>
          <w:b w:val="0"/>
          <w:i w:val="0"/>
        </w:rPr>
        <w:t>This manuscript addresses a core question in clinical epidemiology methods: how does the choice of a medication-based outcome instrument influence ecological inference when individual diagnosis-linked records are unavailable? We use Japan's 47 prefectures and seasonal pollen exposure as a tractable natural experiment — not as an etiological claim about pollen and allergy per se, but as a case study with a well-characterised biological mechanism that allows the outcome's measurement properties to be empirically evaluated.</w:t>
      </w:r>
    </w:p>
    <w:p>
      <w:pPr>
        <w:spacing w:before="0" w:after="240"/>
      </w:pPr>
      <w:r>
        <w:rPr>
          <w:b w:val="0"/>
          <w:i w:val="0"/>
        </w:rPr>
        <w:t>The study's contribution is methodological: we demonstrate that pharmacological specificity of the outcome, held constant across identical exposure data, covariates, and regression frameworks, explains a 1.72-fold difference in recoverable ecological signal (R² = 0.469 versus 0.272). A pharmacologically unrelated negative control confirmed that these differences reflected outcome specificity rather than ecological confounding. These findings directly inform the design of prescription-based ecological studies wherever diagnosis linkage is unavailable.</w:t>
      </w:r>
    </w:p>
    <w:p>
      <w:pPr>
        <w:spacing w:before="0" w:after="120"/>
      </w:pPr>
      <w:r>
        <w:rPr>
          <w:b/>
          <w:i w:val="0"/>
        </w:rPr>
        <w:t>Addressing potential scope concerns</w:t>
      </w:r>
    </w:p>
    <w:p>
      <w:pPr>
        <w:spacing w:before="0" w:after="120"/>
      </w:pPr>
      <w:r>
        <w:rPr>
          <w:b w:val="0"/>
          <w:i w:val="0"/>
        </w:rPr>
        <w:t>1. Pharmacovigilance and pharmacoepidemiology studies: This manuscript is not a pharmacovigilance study, nor does it estimate causal drug effects. Rather, it treats prescription dispensing records as measurement instruments and evaluates their validity properties — a question of outcome measurement methodology applicable to any aggregate health data setting.</w:t>
      </w:r>
    </w:p>
    <w:p>
      <w:pPr>
        <w:spacing w:before="0" w:after="240"/>
      </w:pPr>
      <w:r>
        <w:rPr>
          <w:b w:val="0"/>
          <w:i w:val="0"/>
        </w:rPr>
        <w:t>2. Generalisability beyond a single country: Although our data derive from Japan's NDB Open Data, the methodological principle is directly applicable to any jurisdiction using aggregate prescription or claims data (e.g., NHS Digital, Medicare, SNDS).</w:t>
      </w:r>
    </w:p>
    <w:p>
      <w:pPr>
        <w:spacing w:before="0" w:after="120"/>
      </w:pPr>
      <w:r>
        <w:rPr>
          <w:b/>
          <w:i w:val="0"/>
        </w:rPr>
        <w:t>Open science</w:t>
      </w:r>
    </w:p>
    <w:p>
      <w:pPr>
        <w:spacing w:before="0" w:after="240"/>
      </w:pPr>
      <w:r>
        <w:rPr>
          <w:b w:val="0"/>
          <w:i w:val="0"/>
        </w:rPr>
        <w:t>The analysis plan was registered on the Open Science Framework prior to submission (OSF; https://osf.io/yuc4a; registered 18 June 2026). Analysis code is openly available on GitHub (https://github.com/haruki00430/NDB_pollen_allergy) and archived on Zenodo (https://doi.org/10.5281/zenodo.20747801). All data sources are publicly available aggregate statistics.</w:t>
      </w:r>
    </w:p>
    <w:p>
      <w:pPr>
        <w:spacing w:before="0" w:after="120"/>
      </w:pPr>
      <w:r>
        <w:rPr>
          <w:b/>
          <w:i w:val="0"/>
        </w:rPr>
        <w:t>Declarations</w:t>
      </w:r>
    </w:p>
    <w:p>
      <w:pPr>
        <w:spacing w:before="0" w:after="0"/>
      </w:pPr>
      <w:r>
        <w:rPr>
          <w:b w:val="0"/>
          <w:i w:val="0"/>
        </w:rPr>
        <w:t>• Novelty: This manuscript has not been submitted elsewhere and is not under consideration by another journal.</w:t>
      </w:r>
    </w:p>
    <w:p>
      <w:pPr>
        <w:spacing w:before="0" w:after="0"/>
      </w:pPr>
      <w:r>
        <w:rPr>
          <w:b w:val="0"/>
          <w:i w:val="0"/>
        </w:rPr>
        <w:t>• Ethics: This study used publicly available aggregate data. Individual informed consent and institutional ethics review were not required, in accordance with Japanese ethical guidelines for epidemiological research.</w:t>
      </w:r>
    </w:p>
    <w:p>
      <w:pPr>
        <w:spacing w:before="0" w:after="0"/>
      </w:pPr>
      <w:r>
        <w:rPr>
          <w:b w:val="0"/>
          <w:i w:val="0"/>
        </w:rPr>
        <w:t>• Data and code availability: Analysis code is openly available on GitHub (https://github.com/haruki00430/NDB_pollen_allergy) and archived on Zenodo (https://doi.org/10.5281/zenodo.20747801).</w:t>
      </w:r>
    </w:p>
    <w:p>
      <w:pPr>
        <w:spacing w:before="0" w:after="0"/>
      </w:pPr>
      <w:r>
        <w:rPr>
          <w:b w:val="0"/>
          <w:i w:val="0"/>
        </w:rPr>
        <w:t>• Conflicts of interest: The authors declare no conflicts of interest.</w:t>
      </w:r>
    </w:p>
    <w:p>
      <w:pPr>
        <w:spacing w:before="0" w:after="0"/>
      </w:pPr>
      <w:r>
        <w:rPr>
          <w:b w:val="0"/>
          <w:i w:val="0"/>
        </w:rPr>
        <w:t>• Funding: None declared.</w:t>
      </w:r>
    </w:p>
    <w:p>
      <w:pPr>
        <w:spacing w:before="0" w:after="240"/>
      </w:pPr>
      <w:r>
        <w:rPr>
          <w:b w:val="0"/>
          <w:i w:val="0"/>
        </w:rPr>
        <w:t>• AI use disclosure: The manuscript preparation used AI-assisted tools for drafting and code generation, as disclosed in full within the manuscript.</w:t>
      </w:r>
    </w:p>
    <w:p>
      <w:pPr>
        <w:spacing w:before="0" w:after="240"/>
      </w:pPr>
      <w:r>
        <w:rPr>
          <w:b w:val="0"/>
          <w:i w:val="0"/>
        </w:rPr>
        <w:t>We hope this study will be of interest to JCE readers and look forward to your consideration.</w:t>
      </w:r>
    </w:p>
    <w:p>
      <w:pPr>
        <w:spacing w:before="0" w:after="360"/>
      </w:pPr>
      <w:r>
        <w:rPr>
          <w:b w:val="0"/>
          <w:i w:val="0"/>
        </w:rPr>
        <w:t>Yours sincerely,</w:t>
      </w:r>
    </w:p>
    <w:p>
      <w:pPr>
        <w:spacing w:before="0" w:after="0"/>
      </w:pPr>
      <w:r>
        <w:rPr>
          <w:b/>
          <w:i w:val="0"/>
        </w:rPr>
        <w:t>Haruki Saito, MD</w:t>
      </w:r>
    </w:p>
    <w:p>
      <w:pPr>
        <w:spacing w:before="0" w:after="0"/>
      </w:pPr>
      <w:r>
        <w:rPr>
          <w:b w:val="0"/>
          <w:i w:val="0"/>
        </w:rPr>
        <w:t>Department of Epidemiology, Fukushima Medical University School of Medicine</w:t>
      </w:r>
    </w:p>
    <w:p>
      <w:pPr>
        <w:spacing w:before="0" w:after="0"/>
      </w:pPr>
      <w:r>
        <w:rPr>
          <w:b w:val="0"/>
          <w:i w:val="0"/>
        </w:rPr>
        <w:t>1 Hikarigaoka, Fukushima-shi, Fukushima 960-1295, Japan</w:t>
      </w:r>
    </w:p>
    <w:p>
      <w:pPr>
        <w:spacing w:before="0" w:after="0"/>
      </w:pPr>
      <w:r>
        <w:rPr>
          <w:b w:val="0"/>
          <w:i w:val="0"/>
        </w:rPr>
        <w:t>Email: m211039@fmu.ac.jp</w:t>
      </w:r>
    </w:p>
    <w:p>
      <w:pPr>
        <w:spacing w:before="0" w:after="0"/>
      </w:pPr>
      <w:r>
        <w:rPr>
          <w:b w:val="0"/>
          <w:i w:val="0"/>
        </w:rPr>
        <w:t>ORCID: 0009-0009-7890-6068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