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sz w:val="26"/>
        </w:rPr>
        <w:t>Highlights</w:t>
      </w:r>
    </w:p>
    <w:p>
      <w:pPr>
        <w:spacing w:after="120"/>
      </w:pPr>
      <w:r>
        <w:rPr>
          <w:i/>
          <w:sz w:val="18"/>
        </w:rPr>
        <w:t>Manuscript: How Outcome Definition Changes Ecological Inference in Prescription-Based Epidemiology: A Natural Experiment</w:t>
        <w:br/>
        <w:t>Journal: Journal of Clinical Epidemiology  |  Each highlight ≤85 characters</w:t>
      </w:r>
    </w:p>
    <w:p/>
    <w:p>
      <w:pPr>
        <w:spacing w:after="80"/>
      </w:pPr>
      <w:r>
        <w:rPr>
          <w:b/>
          <w:sz w:val="22"/>
        </w:rPr>
        <w:t xml:space="preserve">1. </w:t>
      </w:r>
      <w:r>
        <w:rPr>
          <w:sz w:val="22"/>
        </w:rPr>
        <w:t>Outcome definition changed ecological R² by 1.72-fold under identical models.</w:t>
      </w:r>
      <w:r>
        <w:rPr>
          <w:i/>
          <w:sz w:val="18"/>
        </w:rPr>
        <w:t xml:space="preserve">  [77 chars]</w:t>
      </w:r>
    </w:p>
    <w:p>
      <w:pPr>
        <w:spacing w:after="80"/>
      </w:pPr>
      <w:r>
        <w:rPr>
          <w:b/>
          <w:sz w:val="22"/>
        </w:rPr>
        <w:t xml:space="preserve">2. </w:t>
      </w:r>
      <w:r>
        <w:rPr>
          <w:sz w:val="22"/>
        </w:rPr>
        <w:t>Allergy-specific Rx recovered pollen signal; heterogeneous comparator did not.</w:t>
      </w:r>
      <w:r>
        <w:rPr>
          <w:i/>
          <w:sz w:val="18"/>
        </w:rPr>
        <w:t xml:space="preserve">  [78 chars]</w:t>
      </w:r>
    </w:p>
    <w:p>
      <w:pPr>
        <w:spacing w:after="80"/>
      </w:pPr>
      <w:r>
        <w:rPr>
          <w:b/>
          <w:sz w:val="22"/>
        </w:rPr>
        <w:t xml:space="preserve">3. </w:t>
      </w:r>
      <w:r>
        <w:rPr>
          <w:sz w:val="22"/>
        </w:rPr>
        <w:t>Diabetes negative control: no pollen association in any specification.</w:t>
      </w:r>
      <w:r>
        <w:rPr>
          <w:i/>
          <w:sz w:val="18"/>
        </w:rPr>
        <w:t xml:space="preserve">  [70 chars]</w:t>
      </w:r>
    </w:p>
    <w:p>
      <w:pPr>
        <w:spacing w:after="80"/>
      </w:pPr>
      <w:r>
        <w:rPr>
          <w:b/>
          <w:sz w:val="22"/>
        </w:rPr>
        <w:t xml:space="preserve">4. </w:t>
      </w:r>
      <w:r>
        <w:rPr>
          <w:sz w:val="22"/>
        </w:rPr>
        <w:t>Medication outcomes are measurement instruments, not interchangeable proxies.</w:t>
      </w:r>
      <w:r>
        <w:rPr>
          <w:i/>
          <w:sz w:val="18"/>
        </w:rPr>
        <w:t xml:space="preserve">  [77 chars]</w:t>
      </w:r>
    </w:p>
    <w:p>
      <w:pPr>
        <w:spacing w:after="80"/>
      </w:pPr>
      <w:r>
        <w:rPr>
          <w:b/>
          <w:sz w:val="22"/>
        </w:rPr>
        <w:t xml:space="preserve">5. </w:t>
      </w:r>
      <w:r>
        <w:rPr>
          <w:sz w:val="22"/>
        </w:rPr>
        <w:t>Test pharmacological specificity before ecological model selection.</w:t>
      </w:r>
      <w:r>
        <w:rPr>
          <w:i/>
          <w:sz w:val="18"/>
        </w:rPr>
        <w:t xml:space="preserve">  [67 chars]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