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STROBE + RECORD Reporting Checklist</w:t>
      </w:r>
    </w:p>
    <w:p>
      <w:pPr>
        <w:spacing w:after="40"/>
      </w:pPr>
      <w:r>
        <w:rPr>
          <w:b/>
          <w:sz w:val="18"/>
        </w:rPr>
        <w:t xml:space="preserve">Manuscript title: </w:t>
      </w:r>
      <w:r>
        <w:rPr>
          <w:sz w:val="18"/>
        </w:rPr>
        <w:t>How Outcome Definition Changes Ecological Inference in Prescription-Based Epidemiology: A Natural Experiment</w:t>
      </w:r>
    </w:p>
    <w:p>
      <w:pPr>
        <w:spacing w:after="40"/>
      </w:pPr>
      <w:r>
        <w:rPr>
          <w:b/>
          <w:sz w:val="18"/>
        </w:rPr>
        <w:t xml:space="preserve">Authors: </w:t>
      </w:r>
      <w:r>
        <w:rPr>
          <w:sz w:val="18"/>
        </w:rPr>
        <w:t>Haruki Saito, Tetsuya Ohira</w:t>
      </w:r>
    </w:p>
    <w:p>
      <w:pPr>
        <w:spacing w:after="40"/>
      </w:pPr>
      <w:r>
        <w:rPr>
          <w:b/>
          <w:sz w:val="18"/>
        </w:rPr>
        <w:t xml:space="preserve">Journal: </w:t>
      </w:r>
      <w:r>
        <w:rPr>
          <w:sz w:val="18"/>
        </w:rPr>
        <w:t>Journal of Clinical Epidemiology</w:t>
      </w:r>
    </w:p>
    <w:p>
      <w:pPr>
        <w:spacing w:after="40"/>
      </w:pPr>
      <w:r>
        <w:rPr>
          <w:b/>
          <w:sz w:val="18"/>
        </w:rPr>
        <w:t xml:space="preserve">Date: </w:t>
      </w:r>
      <w:r>
        <w:rPr>
          <w:sz w:val="18"/>
        </w:rPr>
        <w:t>2026-06-18</w:t>
      </w:r>
    </w:p>
    <w:p>
      <w:pPr>
        <w:spacing w:after="40"/>
      </w:pPr>
      <w:r>
        <w:rPr>
          <w:b/>
          <w:sz w:val="18"/>
        </w:rPr>
        <w:t xml:space="preserve">Study design: </w:t>
      </w:r>
      <w:r>
        <w:rPr>
          <w:sz w:val="18"/>
        </w:rPr>
        <w:t>Cross-sectional ecological study</w:t>
      </w:r>
    </w:p>
    <w:p>
      <w:pPr>
        <w:spacing w:after="40"/>
      </w:pPr>
      <w:r>
        <w:rPr>
          <w:b/>
          <w:sz w:val="18"/>
        </w:rPr>
        <w:t xml:space="preserve">Sources: </w:t>
      </w:r>
      <w:r>
        <w:rPr>
          <w:sz w:val="18"/>
        </w:rPr>
        <w:t>STROBE: von Elm et al. Lancet 2007; RECORD: Benchimol et al. PLoS Med 2015</w:t>
      </w:r>
    </w:p>
    <w:p/>
    <w:p>
      <w:pPr>
        <w:pStyle w:val="Heading2"/>
      </w:pPr>
      <w:r>
        <w:t>PART 1: STROBE Checklist (Observational Studies)</w:t>
      </w:r>
    </w:p>
    <w:p>
      <w:pPr>
        <w:pStyle w:val="Heading3"/>
      </w:pPr>
      <w:r>
        <w:rPr>
          <w:sz w:val="20"/>
        </w:rPr>
        <w:t>Title and Abstract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721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5953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addressed in manuscript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1a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Indicate the study design in title or abstract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 and Abstract Methods: "cross-sectional ecological study"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1b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Provide an informative and balanced abstract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Structured abstract: Introduction or background / Methods / Results / Discussion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sz w:val="20"/>
        </w:rPr>
        <w:t>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721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5953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addressed in manuscript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Explain the scientific background and rationale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Introduction §1-3: aggregate claims data, outcome definition problem, prior limitations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State specific objectives or hypotheses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Introduction final paragraph: "We hypothesized that outcome definition would shape signal recovery..."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sz w:val="20"/>
        </w:rPr>
        <w:t>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721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5953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addressed in manuscript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Present key elements of study design early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Study Design and Unit of Analysis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the setting, locations, and relevant dates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"Japan's 47 prefectures... fiscal year 2023"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eligibility criteria and sources/selection of participants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47 prefectures (full administrative enumeration)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Clearly define all outcomes, exposures, predictors, and confounders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Prescription Outcomes: codes 441/449/131/132/264/396; Exposure Variables and Covariates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data sources and assessment methods for each variable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NDB Open Data No.10; Weathernews Open Data; NIES; Statistics Bureau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efforts to address potential sources of bias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Robustness - HC3 robust SE, Cook's distance, urban exclusion; negative control design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Explain how study size was arrived at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N=47 (all Japan prefectures, no selection)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Explain how continuous variables were handled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OLS regression; per 100,000 population standardisation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12a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all statistical methods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hierarchical OLS regression (Models 1-6); Moran's I spatial autocorrelation test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12b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methods for any subgroup or interaction analyses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pollen x PM2.5/SPM interaction models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12c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Explain how missing data were addressed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Aggregate ecological data; no individual missing data. Pollen coverage noted in Results.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 cross-sectional studies: describe analytical methods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47 prefectures (no sampling); full enumeration noted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any sensitivity analyses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 Robustness: 8 specifications (Baseline OLS, HC3, outlier removal, urban exclusion, interaction removal, log transformation)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sz w:val="20"/>
        </w:rP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721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5953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addressed in manuscript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13a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the numbers of individuals at each stage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N=47 (full enumeration); Table 1: descriptive statistics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13b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Give reasons for non-participation at each stage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 - administrative aggregate data; all 47 prefectures included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13c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Consider use of a flow diagram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 - no individual record selection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14a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characteristics of study participants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Results: Descriptive; Table 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14b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Indicate number with missing data for each variable of interest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Pollen data coverage (prefecture-capital sites) noted in Methods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numbers of outcome events or summary measures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Results: R-squared, beta, p-value reported per model in Outcome Specificity section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16a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unadjusted and adjusted estimates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Results: Model 1 (pollen only) to Models 5/6 (fully adjusted); stepwise reporting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16b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category boundaries if continuous variables were categorised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 - continuous variables used throughout; no categorisation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16c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Consider translating estimates of relative risk into absolute risk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 - ecological design; individual risk estimation out of scope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other analyses done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Results: Sensitivity Analyses; True Negative Control; Supplementary Tables S1-S12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sz w:val="20"/>
        </w:rPr>
        <w:t>Discussion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721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5953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addressed in manuscript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Summarise key results with reference to study objectives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Discussion: Principal Findings - 1.72-fold difference; methodological implications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 limitations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Discussion: Strengths and Limitations - ecological design, N=47, OTC not captured, aggregation limitations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Give a cautious overall interpretation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Discussion: Implications; Conclusions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 the generalisability (external validity) of the study results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Discussion: Implications for Claims-Based Environmental Health Research - applicability to other countries/diseases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sz w:val="20"/>
        </w:rPr>
        <w:t>Other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721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5953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addressed in manuscript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22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Give the source of funding and the role of the funders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Funding: "None declared."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PART 2: RECORD Checklist (Routinely Collected Health Data)</w:t>
      </w:r>
    </w:p>
    <w:p>
      <w:pPr>
        <w:spacing w:after="120"/>
      </w:pPr>
      <w:r>
        <w:rPr>
          <w:i/>
          <w:sz w:val="18"/>
        </w:rPr>
        <w:t>RECORD = Reporting of studies Conducted using Observational Routinely-collected health Data. Items extend STROBE for administrative/claims databases (Benchimol et al. PLoS Med 2015).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721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RECORD Recommendation</w:t>
            </w:r>
          </w:p>
        </w:tc>
        <w:tc>
          <w:tcPr>
            <w:tcW w:type="dxa" w:w="5953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Where addressed in manuscript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the type of data used in the title or abstract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Abstract Methods: "NDB Open Data, fiscal year 2023"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the institutional and database-specific characteristics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 Prescription Outcomes: "NDB Open Data 10th edition, covering fiscal year 2023"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the codes/algorithms/rules used to identify the study population and variables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drug classification codes 441, 449, 131, 132, 264, 396 (MHLW official classification)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any validation performed for the codes or data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NDB official code system used; rationale for code selection explained per outcome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If the data linkage was used, describe methods for handling multiple entries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 - prefecture-level aggregate data; no individual identification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Explain why each variable included in the study was selected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 Exposure Variables and Covariates: rationale documented per variable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data cleaning methods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Methods: per 100,000 population standardisation; NDB published aggregate values used directly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12.2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methods for dealing with complex sampling designs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 - all 47 prefectures; no sampling design applied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Describe the selection of the study population in detail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Methods Study Design: "Japan's 47 prefectures as the unit of analysis; all variables aggregated at the prefecture level"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19.1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 the implications of using data collected for purposes other than research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Discussion Strengths and Limitations: administrative aggregate data limitations (OTC prescriptions not captured; ecological fallacy risk)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22.1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Provide information on how to access any supplemental information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Availability: NDB Open Data (MHLW); GitHub: https://github.com/haruki00430/NDB_pollen_allergy; Zenodo: https://doi.org/10.5281/zenodo.20747801; OSF: https://osf.io/yuc4a</w:t>
            </w:r>
          </w:p>
        </w:tc>
        <w:tc>
          <w:tcPr>
            <w:tcW w:type="dxa" w:w="249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spacing w:before="160"/>
      </w:pPr>
      <w:r>
        <w:rPr>
          <w:b/>
          <w:sz w:val="18"/>
        </w:rPr>
        <w:t>All items complete (2026-06-18). No outstanding items.</w:t>
      </w:r>
    </w:p>
    <w:p>
      <w:pPr>
        <w:spacing w:after="80"/>
      </w:pPr>
      <w:r>
        <w:rPr>
          <w:i/>
          <w:sz w:val="18"/>
        </w:rPr>
        <w:t>Submission note: Submit this checklist as Supplementary Material (file type: Supplementary Material) in Editorial Manager (JCE). The checklist will be published online-only upon acceptance.</w:t>
      </w:r>
    </w:p>
    <w:p>
      <w:pPr>
        <w:pStyle w:val="Heading3"/>
      </w:pPr>
      <w:r>
        <w:t>References</w:t>
      </w:r>
    </w:p>
    <w:p>
      <w:pPr>
        <w:spacing w:after="40"/>
      </w:pPr>
      <w:r>
        <w:rPr>
          <w:sz w:val="18"/>
        </w:rPr>
        <w:t>1. von Elm E, Altman DG, Egger M, et al. The Strengthening the Reporting of Observational Studies in Epidemiology (STROBE) statement: guidelines for reporting observational studies. Lancet. 2007;370(9596):1453-1457.</w:t>
      </w:r>
    </w:p>
    <w:p>
      <w:pPr>
        <w:spacing w:after="40"/>
      </w:pPr>
      <w:r>
        <w:rPr>
          <w:sz w:val="18"/>
        </w:rPr>
        <w:t>2. Benchimol EI, Smeeth L, Guttmann A, et al. The REporting of studies Conducted using Observational Routinely-collected health Data (RECORD) statement. PLoS Med. 2015;12(10):e1001885.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