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Times New Roman" w:hAnsi="Times New Roman"/>
          <w:b w:val="0"/>
          <w:i w:val="0"/>
          <w:sz w:val="24"/>
        </w:rPr>
        <w:t>18 July 2026</w:t>
      </w:r>
    </w:p>
    <w:p>
      <w:pPr>
        <w:spacing w:before="0" w:after="0"/>
      </w:pPr>
    </w:p>
    <w:p>
      <w:pPr>
        <w:spacing w:before="0" w:after="0"/>
      </w:pPr>
      <w:r>
        <w:rPr>
          <w:rFonts w:ascii="Times New Roman" w:hAnsi="Times New Roman"/>
          <w:b w:val="0"/>
          <w:i w:val="0"/>
          <w:sz w:val="24"/>
        </w:rPr>
        <w:t>The Editor-in-Chief</w:t>
      </w:r>
    </w:p>
    <w:p>
      <w:pPr>
        <w:spacing w:before="0" w:after="0"/>
      </w:pPr>
      <w:r>
        <w:rPr>
          <w:rFonts w:ascii="Times New Roman" w:hAnsi="Times New Roman"/>
          <w:b w:val="0"/>
          <w:i w:val="0"/>
          <w:sz w:val="24"/>
        </w:rPr>
        <w:t>Air Quality, Atmosphere &amp; Health</w:t>
      </w:r>
    </w:p>
    <w:p>
      <w:pPr>
        <w:spacing w:before="0" w:after="0"/>
      </w:pPr>
      <w:r>
        <w:rPr>
          <w:rFonts w:ascii="Times New Roman" w:hAnsi="Times New Roman"/>
          <w:b w:val="0"/>
          <w:i w:val="0"/>
          <w:sz w:val="24"/>
        </w:rPr>
        <w:t>Springer</w:t>
      </w:r>
    </w:p>
    <w:p>
      <w:pPr>
        <w:spacing w:before="0" w:after="0"/>
      </w:pPr>
    </w:p>
    <w:p>
      <w:pPr>
        <w:spacing w:before="0" w:after="0"/>
      </w:pPr>
      <w:r>
        <w:rPr>
          <w:rFonts w:ascii="Times New Roman" w:hAnsi="Times New Roman"/>
          <w:b/>
          <w:i w:val="0"/>
          <w:sz w:val="24"/>
        </w:rPr>
        <w:t>Re: Submission of Original Article</w:t>
      </w:r>
    </w:p>
    <w:p>
      <w:pPr>
        <w:spacing w:before="0" w:after="0"/>
      </w:pPr>
      <w:r>
        <w:rPr>
          <w:rFonts w:ascii="Times New Roman" w:hAnsi="Times New Roman"/>
          <w:b/>
          <w:i w:val="0"/>
          <w:sz w:val="24"/>
        </w:rPr>
        <w:t>“How Outcome Definition Changes Ecological Pharmacoepidemiological Inference: A Natural Experiment on Outcome Misclassification”</w:t>
      </w:r>
    </w:p>
    <w:p>
      <w:pPr>
        <w:spacing w:before="0" w:after="0"/>
      </w:pPr>
    </w:p>
    <w:p>
      <w:pPr>
        <w:spacing w:before="0" w:after="0"/>
      </w:pPr>
      <w:r>
        <w:rPr>
          <w:rFonts w:ascii="Times New Roman" w:hAnsi="Times New Roman"/>
          <w:b w:val="0"/>
          <w:i w:val="0"/>
          <w:sz w:val="24"/>
        </w:rPr>
        <w:t>Dear Editor-in-Chief,</w:t>
      </w:r>
    </w:p>
    <w:p>
      <w:pPr>
        <w:spacing w:before="0" w:after="0"/>
      </w:pPr>
    </w:p>
    <w:p>
      <w:pPr>
        <w:spacing w:before="0" w:after="0"/>
      </w:pPr>
      <w:r>
        <w:rPr>
          <w:rFonts w:ascii="Times New Roman" w:hAnsi="Times New Roman"/>
          <w:b w:val="0"/>
          <w:i w:val="0"/>
          <w:sz w:val="24"/>
        </w:rPr>
        <w:t>I am pleased to submit the above-titled manuscript for consideration for publication in Air Quality, Atmosphere &amp; Health as an Original Article.</w:t>
      </w:r>
    </w:p>
    <w:p>
      <w:pPr>
        <w:spacing w:before="0" w:after="0"/>
      </w:pPr>
    </w:p>
    <w:p>
      <w:pPr>
        <w:spacing w:before="0" w:after="0"/>
      </w:pPr>
      <w:r>
        <w:rPr>
          <w:rFonts w:ascii="Times New Roman" w:hAnsi="Times New Roman"/>
          <w:b w:val="0"/>
          <w:i w:val="0"/>
          <w:sz w:val="24"/>
        </w:rPr>
        <w:t>Airborne pollen is one of the most prevalent and potent environmental air-quality exposures driving population-level medication demand across seasons. Epidemiological studies linking pollen and other atmospheric exposures to health outcomes increasingly rely on prescription or administrative claims databases as health proxies, yet the choice of medication-based outcome—held constant against exposure, covariates, and model structure—has rarely been quantified as an independent source of inferential bias. Our study addresses this gap using a natural-experiment design across all 47 Japanese prefectures.</w:t>
      </w:r>
    </w:p>
    <w:p>
      <w:pPr>
        <w:spacing w:before="0" w:after="0"/>
      </w:pPr>
    </w:p>
    <w:p>
      <w:pPr>
        <w:spacing w:before="0" w:after="0"/>
      </w:pPr>
      <w:r>
        <w:rPr>
          <w:rFonts w:ascii="Times New Roman" w:hAnsi="Times New Roman"/>
          <w:b w:val="0"/>
          <w:i w:val="0"/>
          <w:sz w:val="24"/>
        </w:rPr>
        <w:t>We compare three parallel ecological analyses using Japan's National Database (NDB) Open Data: an allergy-specific outcome (antihistamines, ophthalmic and nasal preparations), a pharmacologically heterogeneous comparator (topical anti-inflammatory agents), and a pharmacologically unrelated negative control (oral hypoglycaemic agents). The allergy-specific outcome recovered a robust seasonal pollen signal (R² = 0.469, pollen significant in 7/8 sensitivity analyses), whereas the heterogeneous comparator substantially attenuated the signal (R² = 0.272, 5/6 specifications), and the negative control showed no pollen association in any specification, confirming outcome specificity rather than generic confounding.</w:t>
      </w:r>
    </w:p>
    <w:p>
      <w:pPr>
        <w:spacing w:before="0" w:after="0"/>
      </w:pPr>
    </w:p>
    <w:p>
      <w:pPr>
        <w:spacing w:before="0" w:after="0"/>
      </w:pPr>
      <w:r>
        <w:rPr>
          <w:rFonts w:ascii="Times New Roman" w:hAnsi="Times New Roman"/>
          <w:b w:val="0"/>
          <w:i w:val="0"/>
          <w:sz w:val="24"/>
        </w:rPr>
        <w:t>This study makes three contributions relevant to the readership of Air Quality, Atmosphere &amp; Health: (1) it provides direct empirical evidence that outcome definition is a primary design determinant when using prescription aggregates to study atmospheric exposures such as pollen, not a downstream analytic choice; (2) it introduces a replicable three-arm comparison framework—disease-aligned outcome, heterogeneous comparator, and pharmacologically unrelated negative control—directly applicable to researchers linking air pollutants, allergens, and climate variables to claims-based health outcomes; and (3) it uses Japan's NDB Open Data, a large publicly available national prescription resource, as a template for open and reproducible air-quality-health research.</w:t>
      </w:r>
    </w:p>
    <w:p>
      <w:pPr>
        <w:spacing w:before="0" w:after="0"/>
      </w:pPr>
    </w:p>
    <w:p>
      <w:pPr>
        <w:spacing w:before="0" w:after="0"/>
      </w:pPr>
      <w:r>
        <w:rPr>
          <w:rFonts w:ascii="Times New Roman" w:hAnsi="Times New Roman"/>
          <w:b w:val="0"/>
          <w:i w:val="0"/>
          <w:sz w:val="24"/>
        </w:rPr>
        <w:t>The analysis plan was preregistered on the Open Science Framework prior to submission (https://osf.io/yuc4a; registered 18 June 2026). All data used are publicly available and the analysis code is openly available on GitHub (https://github.com/haruki00430/NDB_pollen_allergy) and archived on Zenodo (https://doi.org/10.5281/zenodo.20747801). This manuscript follows the STROBE and RECORD reporting guidelines.</w:t>
      </w:r>
    </w:p>
    <w:p>
      <w:pPr>
        <w:spacing w:before="0" w:after="0"/>
      </w:pPr>
    </w:p>
    <w:p>
      <w:pPr>
        <w:spacing w:before="0" w:after="0"/>
      </w:pPr>
      <w:r>
        <w:rPr>
          <w:rFonts w:ascii="Times New Roman" w:hAnsi="Times New Roman"/>
          <w:b w:val="0"/>
          <w:i w:val="0"/>
          <w:sz w:val="24"/>
        </w:rPr>
        <w:t>This work has not been published previously and is not under consideration elsewhere. Earlier versions were submitted to the Journal of Clinical Epidemiology (JCEPI-D-26-00998; desk decision indicating the topic was more appropriate for a specialist journal) and to Pharmacoepidemiology and Drug Safety (desk decision indicating the topic was better suited to an environmental epidemiology venue). We believe that Air Quality, Atmosphere &amp; Health is the most appropriate venue for this work, given the journal's explicit focus on air-quality exposures, atmospheric science, and population health.</w:t>
      </w:r>
    </w:p>
    <w:p>
      <w:pPr>
        <w:spacing w:before="0" w:after="0"/>
      </w:pPr>
    </w:p>
    <w:p>
      <w:pPr>
        <w:spacing w:before="0" w:after="0"/>
      </w:pPr>
      <w:r>
        <w:rPr>
          <w:rFonts w:ascii="Times New Roman" w:hAnsi="Times New Roman"/>
          <w:b w:val="0"/>
          <w:i w:val="0"/>
          <w:sz w:val="24"/>
        </w:rPr>
        <w:t>Neither author has any relevant financial or non-financial interests to disclose. This study did not receive specific external funding.</w:t>
      </w:r>
    </w:p>
    <w:p>
      <w:pPr>
        <w:spacing w:before="0" w:after="0"/>
      </w:pPr>
    </w:p>
    <w:p>
      <w:pPr>
        <w:spacing w:before="0" w:after="0"/>
      </w:pPr>
      <w:r>
        <w:rPr>
          <w:rFonts w:ascii="Times New Roman" w:hAnsi="Times New Roman"/>
          <w:b w:val="0"/>
          <w:i w:val="0"/>
          <w:sz w:val="24"/>
        </w:rPr>
        <w:t>We hope that this manuscript will be of interest to the readers of Air Quality, Atmosphere &amp; Health, and we look forward to your consideration.</w:t>
      </w:r>
    </w:p>
    <w:p>
      <w:pPr>
        <w:spacing w:before="0" w:after="0"/>
      </w:pPr>
    </w:p>
    <w:p>
      <w:pPr>
        <w:spacing w:before="0" w:after="0"/>
      </w:pPr>
      <w:r>
        <w:rPr>
          <w:rFonts w:ascii="Times New Roman" w:hAnsi="Times New Roman"/>
          <w:b w:val="0"/>
          <w:i w:val="0"/>
          <w:sz w:val="24"/>
        </w:rPr>
        <w:t>Sincerely,</w:t>
      </w:r>
    </w:p>
    <w:p>
      <w:pPr>
        <w:spacing w:before="0" w:after="0"/>
      </w:pPr>
    </w:p>
    <w:p>
      <w:pPr>
        <w:spacing w:before="0" w:after="0"/>
      </w:pPr>
    </w:p>
    <w:p>
      <w:pPr>
        <w:spacing w:before="0" w:after="0"/>
      </w:pPr>
      <w:r>
        <w:rPr>
          <w:rFonts w:ascii="Times New Roman" w:hAnsi="Times New Roman"/>
          <w:b w:val="0"/>
          <w:i w:val="0"/>
          <w:sz w:val="24"/>
        </w:rPr>
        <w:t>Haruki Saito</w:t>
      </w:r>
    </w:p>
    <w:p>
      <w:pPr>
        <w:spacing w:before="0" w:after="0"/>
      </w:pPr>
      <w:r>
        <w:rPr>
          <w:rFonts w:ascii="Times New Roman" w:hAnsi="Times New Roman"/>
          <w:b w:val="0"/>
          <w:i w:val="0"/>
          <w:sz w:val="24"/>
        </w:rPr>
        <w:t>Department of Epidemiology</w:t>
      </w:r>
    </w:p>
    <w:p>
      <w:pPr>
        <w:spacing w:before="0" w:after="0"/>
      </w:pPr>
      <w:r>
        <w:rPr>
          <w:rFonts w:ascii="Times New Roman" w:hAnsi="Times New Roman"/>
          <w:b w:val="0"/>
          <w:i w:val="0"/>
          <w:sz w:val="24"/>
        </w:rPr>
        <w:t>Fukushima Medical University School of Medicine</w:t>
      </w:r>
    </w:p>
    <w:p>
      <w:pPr>
        <w:spacing w:before="0" w:after="0"/>
      </w:pPr>
      <w:r>
        <w:rPr>
          <w:rFonts w:ascii="Times New Roman" w:hAnsi="Times New Roman"/>
          <w:b w:val="0"/>
          <w:i w:val="0"/>
          <w:sz w:val="24"/>
        </w:rPr>
        <w:t>1 Hikarigaoka, Fukushima-shi, Fukushima 960-1295, Japan</w:t>
      </w:r>
    </w:p>
    <w:p>
      <w:pPr>
        <w:spacing w:before="0" w:after="0"/>
      </w:pPr>
      <w:r>
        <w:rPr>
          <w:rFonts w:ascii="Times New Roman" w:hAnsi="Times New Roman"/>
          <w:b w:val="0"/>
          <w:i w:val="0"/>
          <w:sz w:val="24"/>
        </w:rPr>
        <w:t>Email: m211039@fmu.ac.jp</w:t>
      </w:r>
    </w:p>
    <w:p>
      <w:pPr>
        <w:spacing w:before="0" w:after="0"/>
      </w:pPr>
    </w:p>
    <w:p>
      <w:pPr>
        <w:spacing w:before="0" w:after="0"/>
      </w:pPr>
      <w:r>
        <w:rPr>
          <w:rFonts w:ascii="Times New Roman" w:hAnsi="Times New Roman"/>
          <w:b w:val="0"/>
          <w:i w:val="0"/>
          <w:sz w:val="24"/>
        </w:rPr>
        <w:t>On behalf of all authors:</w:t>
      </w:r>
    </w:p>
    <w:p>
      <w:pPr>
        <w:spacing w:before="0" w:after="0"/>
      </w:pPr>
      <w:r>
        <w:rPr>
          <w:rFonts w:ascii="Times New Roman" w:hAnsi="Times New Roman"/>
          <w:b w:val="0"/>
          <w:i w:val="0"/>
          <w:sz w:val="24"/>
        </w:rPr>
        <w:t>Haruki Saito and Tetsuya Ohira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