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30FF" w14:textId="77777777" w:rsidR="008928F8" w:rsidRDefault="00000000">
      <w:pPr>
        <w:pStyle w:val="a4"/>
      </w:pPr>
      <w:r>
        <w:t>Particle-Size-Dependent Modeling of Pollen and Airborne Particulate Matter Associations with Allergy Medication Prescriptions: A Prefecture-Level Ecological Study Using Japan’s National Database</w:t>
      </w:r>
    </w:p>
    <w:p w14:paraId="48EBA86A" w14:textId="77777777" w:rsidR="008928F8" w:rsidRDefault="00000000">
      <w:pPr>
        <w:pStyle w:val="Author"/>
      </w:pPr>
      <w:r>
        <w:lastRenderedPageBreak/>
        <w:t>[Author Name]</w:t>
      </w:r>
    </w:p>
    <w:p w14:paraId="13A8B511" w14:textId="0A050CD2" w:rsidR="008928F8" w:rsidRDefault="00000000">
      <w:pPr>
        <w:pStyle w:val="a8"/>
        <w:rPr>
          <w:rFonts w:hint="eastAsia"/>
          <w:lang w:eastAsia="ja-JP"/>
        </w:rPr>
      </w:pPr>
      <w:r>
        <w:t>2026-03-</w:t>
      </w:r>
      <w:r w:rsidR="00A17687">
        <w:rPr>
          <w:rFonts w:hint="eastAsia"/>
          <w:lang w:eastAsia="ja-JP"/>
        </w:rPr>
        <w:t>22</w:t>
      </w:r>
    </w:p>
    <w:p w14:paraId="4A36F663" w14:textId="77777777" w:rsidR="008928F8" w:rsidRDefault="00000000">
      <w:pPr>
        <w:pStyle w:val="AbstractTitle"/>
      </w:pPr>
      <w:r>
        <w:t>Abstract</w:t>
      </w:r>
    </w:p>
    <w:p w14:paraId="39970A0F" w14:textId="77777777" w:rsidR="008928F8" w:rsidRDefault="00000000">
      <w:pPr>
        <w:pStyle w:val="Abstract"/>
      </w:pPr>
      <w:r>
        <w:rPr>
          <w:b/>
          <w:bCs/>
        </w:rPr>
        <w:t>Background:</w:t>
      </w:r>
      <w:r>
        <w:t xml:space="preserve"> Airborne pollen and particulate matter independently exacerbate allergic diseases, yet optimal modeling of their joint ecological effects on population-level medication utilization remains unclear. Particle size may be a critical but overlooked factor: suspended particulate matter (SPM, </w:t>
      </w:r>
      <m:oMath>
        <m:r>
          <m:rPr>
            <m:sty m:val="p"/>
          </m:rPr>
          <w:rPr>
            <w:rFonts w:ascii="Cambria Math" w:hAnsi="Cambria Math"/>
          </w:rPr>
          <m:t>≤</m:t>
        </m:r>
      </m:oMath>
      <w:r>
        <w:t xml:space="preserve"> 10 </w:t>
      </w:r>
      <m:oMath>
        <m:r>
          <w:rPr>
            <w:rFonts w:ascii="Cambria Math" w:hAnsi="Cambria Math"/>
          </w:rPr>
          <m:t>μ</m:t>
        </m:r>
      </m:oMath>
      <w:r>
        <w:t>m) overlaps with pollen fragment sizes, while PM</w:t>
      </w:r>
      <w:r>
        <w:rPr>
          <w:vertAlign w:val="subscript"/>
        </w:rPr>
        <w:t>2.5</w:t>
      </w:r>
      <w:r>
        <w:t xml:space="preserve"> (</w:t>
      </w:r>
      <m:oMath>
        <m:r>
          <m:rPr>
            <m:sty m:val="p"/>
          </m:rPr>
          <w:rPr>
            <w:rFonts w:ascii="Cambria Math" w:hAnsi="Cambria Math"/>
          </w:rPr>
          <m:t>≤</m:t>
        </m:r>
      </m:oMath>
      <w:r>
        <w:t xml:space="preserve"> 2.5 </w:t>
      </w:r>
      <m:oMath>
        <m:r>
          <w:rPr>
            <w:rFonts w:ascii="Cambria Math" w:hAnsi="Cambria Math"/>
          </w:rPr>
          <m:t>μ</m:t>
        </m:r>
      </m:oMath>
      <w:r>
        <w:t>m) does not. We hypothesized that specifying particulate matter as SPM rather than PM</w:t>
      </w:r>
      <w:r>
        <w:rPr>
          <w:vertAlign w:val="subscript"/>
        </w:rPr>
        <w:t>2.5</w:t>
      </w:r>
      <w:r>
        <w:t xml:space="preserve"> would yield more accurate estimation of pollen–prescription associations.</w:t>
      </w:r>
    </w:p>
    <w:p w14:paraId="7269AFF9" w14:textId="77777777" w:rsidR="008928F8" w:rsidRDefault="00000000">
      <w:pPr>
        <w:pStyle w:val="Abstract"/>
      </w:pPr>
      <w:r>
        <w:rPr>
          <w:b/>
          <w:bCs/>
        </w:rPr>
        <w:t>Methods:</w:t>
      </w:r>
      <w:r>
        <w:t xml:space="preserve"> We conducted a prefecture-level ecological study (N = 47) using Japan’s National Database of Health Insurance Claims (NDB Open Data, 10th edition, FY2023). Allergy-specific medication prescriptions (antihistamines, ophthalmic and nasal preparations; codes 441, 449, 131, 132) served as the outcome. Pollen dispersal counts (Weather News, 2023 season), PM</w:t>
      </w:r>
      <w:r>
        <w:rPr>
          <w:vertAlign w:val="subscript"/>
        </w:rPr>
        <w:t>2.5</w:t>
      </w:r>
      <w:r>
        <w:t xml:space="preserve"> and SPM concentrations (3-year mean, 2021–2023), aging rate, and population density were explanatory variables. Parallel OLS regression models were fit with PM</w:t>
      </w:r>
      <w:r>
        <w:rPr>
          <w:vertAlign w:val="subscript"/>
        </w:rPr>
        <w:t>2.5</w:t>
      </w:r>
      <w:r>
        <w:t xml:space="preserve"> (Model 5) and SPM (Model 6), each including a pollen </w:t>
      </w:r>
      <m:oMath>
        <m:r>
          <m:rPr>
            <m:sty m:val="p"/>
          </m:rPr>
          <w:rPr>
            <w:rFonts w:ascii="Cambria Math" w:hAnsi="Cambria Math"/>
          </w:rPr>
          <m:t>×</m:t>
        </m:r>
      </m:oMath>
      <w:r>
        <w:t xml:space="preserve"> particulate interaction term. Robustness was assessed via heteroscedasticity-consistent standard errors (HC3) and five additional sensitivity specifications. As a secondary methodological analysis, actual pollen observation data were compared with forest area ratio as exposure indicators.</w:t>
      </w:r>
    </w:p>
    <w:p w14:paraId="5B90CB15" w14:textId="77777777" w:rsidR="008928F8" w:rsidRDefault="00000000">
      <w:pPr>
        <w:pStyle w:val="Abstract"/>
      </w:pPr>
      <w:r>
        <w:rPr>
          <w:b/>
          <w:bCs/>
        </w:rPr>
        <w:t>Results:</w:t>
      </w:r>
      <w:r>
        <w:t xml:space="preserve"> The SPM-based model (Model 6) outperformed the PM</w:t>
      </w:r>
      <w:r>
        <w:rPr>
          <w:vertAlign w:val="subscript"/>
        </w:rPr>
        <w:t>2.5</w:t>
      </w:r>
      <w:r>
        <w:t>-based model (Model 5) in overall fit (R</w:t>
      </w:r>
      <w:r>
        <w:rPr>
          <w:vertAlign w:val="superscript"/>
        </w:rPr>
        <w:t>2</w:t>
      </w:r>
      <w:r>
        <w:t xml:space="preserve"> = 0.469 vs. 0.357; </w:t>
      </w:r>
      <m:oMath>
        <m:r>
          <w:rPr>
            <w:rFonts w:ascii="Cambria Math" w:hAnsi="Cambria Math"/>
          </w:rPr>
          <m:t>Δ</m:t>
        </m:r>
      </m:oMath>
      <w:r>
        <w:t xml:space="preserve">AIC = –9.0) and in the robustness of the pollen main effect under HC3 standard errors (p = 0.033 vs. 0.082). Pollen count was significant across all six Model 6 sensitivity specifications (p = 0.006–0.045), whereas it lost significance in the Model 5 HC3 specification (p = 0.082). Population density was consistently significant (Model 6 HC3: p = 0.006). A pollen </w:t>
      </w:r>
      <m:oMath>
        <m:r>
          <m:rPr>
            <m:sty m:val="p"/>
          </m:rPr>
          <w:rPr>
            <w:rFonts w:ascii="Cambria Math" w:hAnsi="Cambria Math"/>
          </w:rPr>
          <m:t>×</m:t>
        </m:r>
      </m:oMath>
      <w:r>
        <w:t xml:space="preserve"> SPM interaction was significant under standard errors (p = 0.020) but attenuated under HC3 (p = 0.066), suggesting possible synergy that requires confirmation in larger samples. By contrast, no pollen </w:t>
      </w:r>
      <m:oMath>
        <m:r>
          <m:rPr>
            <m:sty m:val="p"/>
          </m:rPr>
          <w:rPr>
            <w:rFonts w:ascii="Cambria Math" w:hAnsi="Cambria Math"/>
          </w:rPr>
          <m:t>×</m:t>
        </m:r>
      </m:oMath>
      <w:r>
        <w:t xml:space="preserve"> PM</w:t>
      </w:r>
      <w:r>
        <w:rPr>
          <w:vertAlign w:val="subscript"/>
        </w:rPr>
        <w:t>2.5</w:t>
      </w:r>
      <w:r>
        <w:t xml:space="preserve"> interaction was detected (p = 0.985). Actual pollen observation data substantially outperformed forest area ratio (R</w:t>
      </w:r>
      <w:r>
        <w:rPr>
          <w:vertAlign w:val="superscript"/>
        </w:rPr>
        <w:t>2</w:t>
      </w:r>
      <w:r>
        <w:t xml:space="preserve"> = 0.357 vs. 0.242; </w:t>
      </w:r>
      <m:oMath>
        <m:r>
          <w:rPr>
            <w:rFonts w:ascii="Cambria Math" w:hAnsi="Cambria Math"/>
          </w:rPr>
          <m:t>Δ</m:t>
        </m:r>
      </m:oMath>
      <w:r>
        <w:t>AIC = 7.7), despite the two indicators being uncorrelated (r = –0.009). Spatial autocorrelation was non-significant for all outcomes and residuals.</w:t>
      </w:r>
    </w:p>
    <w:p w14:paraId="5CCBC68F" w14:textId="77777777" w:rsidR="008928F8" w:rsidRDefault="00000000">
      <w:pPr>
        <w:pStyle w:val="Abstract"/>
      </w:pPr>
      <w:r>
        <w:rPr>
          <w:b/>
          <w:bCs/>
        </w:rPr>
        <w:t>Conclusions:</w:t>
      </w:r>
      <w:r>
        <w:t xml:space="preserve"> SPM-based models provide more robust estimation of pollen–prescription associations than PM</w:t>
      </w:r>
      <w:r>
        <w:rPr>
          <w:vertAlign w:val="subscript"/>
        </w:rPr>
        <w:t>2.5</w:t>
      </w:r>
      <w:r>
        <w:t xml:space="preserve">-based models, consistent with the hypothesis that the coarser particulate fraction interacts more effectively with pollen-derived fragments. Actual pollen observation data should replace forest area ratio as the standard exposure indicator in ecological allergy research. The suggestive pollen </w:t>
      </w:r>
      <m:oMath>
        <m:r>
          <m:rPr>
            <m:sty m:val="p"/>
          </m:rPr>
          <w:rPr>
            <w:rFonts w:ascii="Cambria Math" w:hAnsi="Cambria Math"/>
          </w:rPr>
          <m:t>×</m:t>
        </m:r>
      </m:oMath>
      <w:r>
        <w:t xml:space="preserve"> SPM synergy warrants investigation in individual-level and time-series designs.</w:t>
      </w:r>
    </w:p>
    <w:p w14:paraId="108D454D" w14:textId="77777777" w:rsidR="008928F8" w:rsidRDefault="00000000">
      <w:pPr>
        <w:pStyle w:val="Abstract"/>
      </w:pPr>
      <w:r>
        <w:rPr>
          <w:b/>
          <w:bCs/>
        </w:rPr>
        <w:t>Keywords:</w:t>
      </w:r>
      <w:r>
        <w:t xml:space="preserve"> pollen; suspended particulate matter; PM</w:t>
      </w:r>
      <w:r>
        <w:rPr>
          <w:vertAlign w:val="subscript"/>
        </w:rPr>
        <w:t>2.5</w:t>
      </w:r>
      <w:r>
        <w:t>; particle size; allergic rhinitis; NDB Open Data; ecological study; allergy medication; Japan</w:t>
      </w:r>
    </w:p>
    <w:p w14:paraId="16A85D49" w14:textId="77777777" w:rsidR="008928F8" w:rsidRDefault="00000000">
      <w:pPr>
        <w:pStyle w:val="1"/>
      </w:pPr>
      <w:bookmarkStart w:id="0" w:name="introduction"/>
      <w:r>
        <w:t>Introduction</w:t>
      </w:r>
    </w:p>
    <w:p w14:paraId="540F89D7" w14:textId="77777777" w:rsidR="008928F8" w:rsidRDefault="00000000">
      <w:pPr>
        <w:pStyle w:val="FirstParagraph"/>
      </w:pPr>
      <w:r>
        <w:t xml:space="preserve">Allergic rhinitis is one of the most prevalent chronic conditions worldwide, affecting an estimated 10–30% of the global population (1). In Japan, the prevalence is notably </w:t>
      </w:r>
      <w:r>
        <w:lastRenderedPageBreak/>
        <w:t>higher, with approximately 50% of the population experiencing seasonal or perennial allergic rhinitis (2). Japanese cedar (</w:t>
      </w:r>
      <w:r>
        <w:rPr>
          <w:i/>
          <w:iCs/>
        </w:rPr>
        <w:t>Cryptomeria japonica</w:t>
      </w:r>
      <w:r>
        <w:t>) and Japanese cypress (</w:t>
      </w:r>
      <w:r>
        <w:rPr>
          <w:i/>
          <w:iCs/>
        </w:rPr>
        <w:t>Chamaecyparis obtusa</w:t>
      </w:r>
      <w:r>
        <w:t>) pollinosis constitutes the dominant form of seasonal allergic disease, with pollen dispersal occurring primarily between February and May (3).</w:t>
      </w:r>
    </w:p>
    <w:p w14:paraId="7327F284" w14:textId="77777777" w:rsidR="008928F8" w:rsidRDefault="00000000">
      <w:pPr>
        <w:pStyle w:val="a0"/>
      </w:pPr>
      <w:r>
        <w:t>Airborne particulate matter has been implicated in the exacerbation of allergic respiratory diseases through multiple biological mechanisms (4,5). These include adjuvant enhancement of allergic sensitization, epithelial barrier damage that increases allergen penetration, and transport of pollen fragments into the lower airways (6,7). However, most epidemiological studies have focused exclusively on fine particles (PM</w:t>
      </w:r>
      <w:r>
        <w:rPr>
          <w:vertAlign w:val="subscript"/>
        </w:rPr>
        <w:t>2.5</w:t>
      </w:r>
      <w:r>
        <w:t xml:space="preserve">, aerodynamic diameter </w:t>
      </w:r>
      <m:oMath>
        <m:r>
          <m:rPr>
            <m:sty m:val="p"/>
          </m:rPr>
          <w:rPr>
            <w:rFonts w:ascii="Cambria Math" w:hAnsi="Cambria Math"/>
          </w:rPr>
          <m:t>≤</m:t>
        </m:r>
      </m:oMath>
      <w:r>
        <w:t xml:space="preserve"> 2.5 </w:t>
      </w:r>
      <m:oMath>
        <m:r>
          <w:rPr>
            <w:rFonts w:ascii="Cambria Math" w:hAnsi="Cambria Math"/>
          </w:rPr>
          <m:t>μ</m:t>
        </m:r>
      </m:oMath>
      <w:r>
        <w:t xml:space="preserve">m) when modeling pollen–particulate interactions. This focus may be suboptimal: pollen grains (20–40 </w:t>
      </w:r>
      <m:oMath>
        <m:r>
          <w:rPr>
            <w:rFonts w:ascii="Cambria Math" w:hAnsi="Cambria Math"/>
          </w:rPr>
          <m:t>μ</m:t>
        </m:r>
      </m:oMath>
      <w:r>
        <w:t xml:space="preserve">m) undergo osmotic rupture, releasing sub-pollen particles (SPP) ranging from 0.5 to 10 </w:t>
      </w:r>
      <m:oMath>
        <m:r>
          <w:rPr>
            <w:rFonts w:ascii="Cambria Math" w:hAnsi="Cambria Math"/>
          </w:rPr>
          <m:t>μ</m:t>
        </m:r>
      </m:oMath>
      <w:r>
        <w:t xml:space="preserve">m (8). These allergenic fragments overlap in size with suspended particulate matter (SPM, </w:t>
      </w:r>
      <m:oMath>
        <m:r>
          <m:rPr>
            <m:sty m:val="p"/>
          </m:rPr>
          <w:rPr>
            <w:rFonts w:ascii="Cambria Math" w:hAnsi="Cambria Math"/>
          </w:rPr>
          <m:t>≤</m:t>
        </m:r>
      </m:oMath>
      <w:r>
        <w:t xml:space="preserve"> 10 </w:t>
      </w:r>
      <m:oMath>
        <m:r>
          <w:rPr>
            <w:rFonts w:ascii="Cambria Math" w:hAnsi="Cambria Math"/>
          </w:rPr>
          <m:t>μ</m:t>
        </m:r>
      </m:oMath>
      <w:r>
        <w:t>m) but largely exceed the PM</w:t>
      </w:r>
      <w:r>
        <w:rPr>
          <w:vertAlign w:val="subscript"/>
        </w:rPr>
        <w:t>2.5</w:t>
      </w:r>
      <w:r>
        <w:t xml:space="preserve"> fraction. If particulate matter serves as a carrier or co-dispersal agent for pollen-derived allergens, SPM-based models should capture pollen–particulate co-variation more accurately than PM</w:t>
      </w:r>
      <w:r>
        <w:rPr>
          <w:vertAlign w:val="subscript"/>
        </w:rPr>
        <w:t>2.5</w:t>
      </w:r>
      <w:r>
        <w:t>-based models.</w:t>
      </w:r>
    </w:p>
    <w:p w14:paraId="5E8FA3FE" w14:textId="77777777" w:rsidR="008928F8" w:rsidRDefault="00000000">
      <w:pPr>
        <w:pStyle w:val="a0"/>
      </w:pPr>
      <w:r>
        <w:t>Japan’s National Database of Health Insurance Claims (NDB) provides a unique opportunity to test this hypothesis at scale. The NDB Open Data aggregates health insurance claims covering approximately 98% of Japan’s population, enabling prefecture-level analyses of medication prescription patterns (9). Simultaneously, the Weather News automated observation network provides prefecture-level pollen dispersal data that may offer substantial improvements over traditional proxy indicators such as forest area ratio (10).</w:t>
      </w:r>
    </w:p>
    <w:p w14:paraId="479332CC" w14:textId="77777777" w:rsidR="008928F8" w:rsidRDefault="00000000">
      <w:pPr>
        <w:pStyle w:val="a0"/>
      </w:pPr>
      <w:r>
        <w:t>This study aimed to: (1) compare PM</w:t>
      </w:r>
      <w:r>
        <w:rPr>
          <w:vertAlign w:val="subscript"/>
        </w:rPr>
        <w:t>2.5</w:t>
      </w:r>
      <w:r>
        <w:t xml:space="preserve">-based and SPM-based regression models to determine which particulate matter specification yields more robust estimation of pollen–prescription associations; (2) test whether a pollen </w:t>
      </w:r>
      <m:oMath>
        <m:r>
          <m:rPr>
            <m:sty m:val="p"/>
          </m:rPr>
          <w:rPr>
            <w:rFonts w:ascii="Cambria Math" w:hAnsi="Cambria Math"/>
          </w:rPr>
          <m:t>×</m:t>
        </m:r>
      </m:oMath>
      <w:r>
        <w:t xml:space="preserve"> particulate matter interaction is particle-size-dependent; and (3) compare the performance of actual pollen observation data versus forest area ratio as ecological exposure indicators.</w:t>
      </w:r>
    </w:p>
    <w:p w14:paraId="751088AF" w14:textId="77777777" w:rsidR="008928F8" w:rsidRDefault="00000000">
      <w:pPr>
        <w:pStyle w:val="1"/>
      </w:pPr>
      <w:bookmarkStart w:id="1" w:name="methods"/>
      <w:bookmarkEnd w:id="0"/>
      <w:r>
        <w:t>Methods</w:t>
      </w:r>
    </w:p>
    <w:p w14:paraId="165893D8" w14:textId="77777777" w:rsidR="008928F8" w:rsidRDefault="00000000">
      <w:pPr>
        <w:pStyle w:val="2"/>
      </w:pPr>
      <w:bookmarkStart w:id="2" w:name="study-design-and-unit-of-analysis"/>
      <w:r>
        <w:t>Study Design and Unit of Analysis</w:t>
      </w:r>
    </w:p>
    <w:p w14:paraId="5F2C7918" w14:textId="77777777" w:rsidR="008928F8" w:rsidRDefault="00000000">
      <w:pPr>
        <w:pStyle w:val="FirstParagraph"/>
      </w:pPr>
      <w:r>
        <w:t>We conducted a cross-sectional ecological study using 47 Japanese prefectures as the unit of analysis. All data were aggregated at the prefecture level, corresponding to the administrative divisions used in Japan’s national statistics.</w:t>
      </w:r>
    </w:p>
    <w:p w14:paraId="482E6D54" w14:textId="77777777" w:rsidR="008928F8" w:rsidRDefault="00000000">
      <w:pPr>
        <w:pStyle w:val="2"/>
      </w:pPr>
      <w:bookmarkStart w:id="3" w:name="data-sources"/>
      <w:bookmarkEnd w:id="2"/>
      <w:r>
        <w:lastRenderedPageBreak/>
        <w:t>Data Sources</w:t>
      </w:r>
    </w:p>
    <w:p w14:paraId="382500AA" w14:textId="77777777" w:rsidR="008928F8" w:rsidRDefault="00000000">
      <w:pPr>
        <w:pStyle w:val="3"/>
      </w:pPr>
      <w:bookmarkStart w:id="4" w:name="Xc70ce19f58249f058e517b12323a5a4f6441ebf"/>
      <w:r>
        <w:t>Outcome Variable: Allergy-Specific Medication Prescriptions</w:t>
      </w:r>
    </w:p>
    <w:p w14:paraId="7E9748BB" w14:textId="77777777" w:rsidR="008928F8" w:rsidRDefault="00000000">
      <w:pPr>
        <w:pStyle w:val="FirstParagraph"/>
      </w:pPr>
      <w:r>
        <w:t>Prescription data were obtained from the NDB Open Data (10th edition), covering FY2023 (April 2023 – March 2024) for health insurance claims (9). We extracted allergy-specific medications from three pharmacological categories:</w:t>
      </w:r>
    </w:p>
    <w:p w14:paraId="0CCE1902" w14:textId="77777777" w:rsidR="008928F8" w:rsidRDefault="00000000">
      <w:pPr>
        <w:pStyle w:val="Compact"/>
        <w:numPr>
          <w:ilvl w:val="0"/>
          <w:numId w:val="2"/>
        </w:numPr>
      </w:pPr>
      <w:r>
        <w:rPr>
          <w:b/>
          <w:bCs/>
        </w:rPr>
        <w:t>Antihistamines and anti-allergy agents</w:t>
      </w:r>
      <w:r>
        <w:t xml:space="preserve"> (drug classification codes 441 + 449): oral formulations, representing first-line treatment for allergic rhinitis</w:t>
      </w:r>
    </w:p>
    <w:p w14:paraId="59A22AEE" w14:textId="77777777" w:rsidR="008928F8" w:rsidRDefault="00000000">
      <w:pPr>
        <w:pStyle w:val="Compact"/>
        <w:numPr>
          <w:ilvl w:val="0"/>
          <w:numId w:val="2"/>
        </w:numPr>
      </w:pPr>
      <w:r>
        <w:rPr>
          <w:b/>
          <w:bCs/>
        </w:rPr>
        <w:t>Ophthalmic preparations</w:t>
      </w:r>
      <w:r>
        <w:t xml:space="preserve"> (code 131): topical formulations for allergic conjunctivitis</w:t>
      </w:r>
    </w:p>
    <w:p w14:paraId="3D55D80F" w14:textId="77777777" w:rsidR="008928F8" w:rsidRDefault="00000000">
      <w:pPr>
        <w:pStyle w:val="Compact"/>
        <w:numPr>
          <w:ilvl w:val="0"/>
          <w:numId w:val="2"/>
        </w:numPr>
      </w:pPr>
      <w:r>
        <w:rPr>
          <w:b/>
          <w:bCs/>
        </w:rPr>
        <w:t>Nasal preparations</w:t>
      </w:r>
      <w:r>
        <w:t xml:space="preserve"> (code 132): topical formulations for nasal allergy symptoms</w:t>
      </w:r>
    </w:p>
    <w:p w14:paraId="214E8AFF" w14:textId="77777777" w:rsidR="008928F8" w:rsidRDefault="00000000">
      <w:pPr>
        <w:pStyle w:val="FirstParagraph"/>
      </w:pPr>
      <w:r>
        <w:t>Non-specific anti-inflammatory agents (code 264) were excluded as they treat conditions unrelated to allergic disease. Total allergy-specific prescriptions were calculated as the sum of these three categories and standardized per 100,000 population.</w:t>
      </w:r>
    </w:p>
    <w:p w14:paraId="5D37206B" w14:textId="77777777" w:rsidR="008928F8" w:rsidRDefault="00000000">
      <w:pPr>
        <w:pStyle w:val="a0"/>
      </w:pPr>
      <w:r>
        <w:t>The NDB Excel files contain drug products organized by pharmacological classification, where classification codes appear only on the first row of each group. Forward-fill (ffill) was applied to propagate classification labels before filtering — a critical step validated against an earlier analysis in which omission of this procedure led to entirely null results.</w:t>
      </w:r>
    </w:p>
    <w:p w14:paraId="26E38329" w14:textId="77777777" w:rsidR="008928F8" w:rsidRDefault="00000000">
      <w:pPr>
        <w:pStyle w:val="3"/>
      </w:pPr>
      <w:bookmarkStart w:id="5" w:name="exposure-variables"/>
      <w:bookmarkEnd w:id="4"/>
      <w:r>
        <w:t>Exposure Variables</w:t>
      </w:r>
    </w:p>
    <w:p w14:paraId="012B9104" w14:textId="77777777" w:rsidR="008928F8" w:rsidRDefault="00000000">
      <w:pPr>
        <w:pStyle w:val="FirstParagraph"/>
      </w:pPr>
      <w:r>
        <w:rPr>
          <w:b/>
          <w:bCs/>
        </w:rPr>
        <w:t>Pollen dispersal counts</w:t>
      </w:r>
      <w:r>
        <w:t xml:space="preserve"> were obtained from the Weather News Open Data API for the 2023 pollen season (February–July 2023) (11), representing seasonal cumulative counts (grains/cm</w:t>
      </w:r>
      <w:r>
        <w:rPr>
          <w:vertAlign w:val="superscript"/>
        </w:rPr>
        <w:t>2</w:t>
      </w:r>
      <w:r>
        <w:t>/season) at each prefecture capital city. This automated observation network provides standardized measurements temporally aligned with the NDB prescription year.</w:t>
      </w:r>
    </w:p>
    <w:p w14:paraId="7F67071D" w14:textId="77777777" w:rsidR="008928F8" w:rsidRDefault="00000000">
      <w:pPr>
        <w:pStyle w:val="a0"/>
      </w:pPr>
      <w:r>
        <w:rPr>
          <w:b/>
          <w:bCs/>
        </w:rPr>
        <w:t>Forest area ratio</w:t>
      </w:r>
      <w:r>
        <w:t xml:space="preserve"> (%) was obtained from the Forestry Agency (10) for comparison as a traditional proxy indicator of pollen production potential.</w:t>
      </w:r>
    </w:p>
    <w:p w14:paraId="2E88DA60" w14:textId="77777777" w:rsidR="008928F8" w:rsidRDefault="00000000">
      <w:pPr>
        <w:pStyle w:val="a0"/>
      </w:pPr>
      <w:r>
        <w:rPr>
          <w:b/>
          <w:bCs/>
        </w:rPr>
        <w:t>PM</w:t>
      </w:r>
      <w:r>
        <w:rPr>
          <w:b/>
          <w:bCs/>
          <w:vertAlign w:val="subscript"/>
        </w:rPr>
        <w:t>2.5</w:t>
      </w:r>
      <w:r>
        <w:rPr>
          <w:b/>
          <w:bCs/>
        </w:rPr>
        <w:t xml:space="preserve"> concentrations</w:t>
      </w:r>
      <w:r>
        <w:t xml:space="preserve"> (</w:t>
      </w:r>
      <m:oMath>
        <m:r>
          <w:rPr>
            <w:rFonts w:ascii="Cambria Math" w:hAnsi="Cambria Math"/>
          </w:rPr>
          <m:t>μ</m:t>
        </m:r>
      </m:oMath>
      <w:r>
        <w:t>g/m</w:t>
      </w:r>
      <w:r>
        <w:rPr>
          <w:vertAlign w:val="superscript"/>
        </w:rPr>
        <w:t>3</w:t>
      </w:r>
      <w:r>
        <w:t xml:space="preserve">) and </w:t>
      </w:r>
      <w:r>
        <w:rPr>
          <w:b/>
          <w:bCs/>
        </w:rPr>
        <w:t>SPM concentrations</w:t>
      </w:r>
      <w:r>
        <w:t xml:space="preserve"> (mg/m</w:t>
      </w:r>
      <w:r>
        <w:rPr>
          <w:vertAlign w:val="superscript"/>
        </w:rPr>
        <w:t>3</w:t>
      </w:r>
      <w:r>
        <w:t xml:space="preserve">) were derived from Japan’s Atmospheric Environmental Regional Observation System (12). Annual means from general monitoring stations (station type code = 1) with </w:t>
      </w:r>
      <m:oMath>
        <m:r>
          <m:rPr>
            <m:sty m:val="p"/>
          </m:rPr>
          <w:rPr>
            <w:rFonts w:ascii="Cambria Math" w:hAnsi="Cambria Math"/>
          </w:rPr>
          <m:t>≥</m:t>
        </m:r>
      </m:oMath>
      <w:r>
        <w:t xml:space="preserve"> 250 valid measurement days were averaged across 2021–2023 for each prefecture. PM</w:t>
      </w:r>
      <w:r>
        <w:rPr>
          <w:vertAlign w:val="subscript"/>
        </w:rPr>
        <w:t>2.5</w:t>
      </w:r>
      <w:r>
        <w:t xml:space="preserve"> and SPM were assessed in separate models due to their high correlation (r = 0.789), which precludes simultaneous inclusion.</w:t>
      </w:r>
    </w:p>
    <w:p w14:paraId="532E5709" w14:textId="77777777" w:rsidR="008928F8" w:rsidRDefault="00000000">
      <w:pPr>
        <w:pStyle w:val="3"/>
      </w:pPr>
      <w:bookmarkStart w:id="6" w:name="covariates"/>
      <w:bookmarkEnd w:id="5"/>
      <w:r>
        <w:lastRenderedPageBreak/>
        <w:t>Covariates</w:t>
      </w:r>
    </w:p>
    <w:p w14:paraId="33CDDD05" w14:textId="77777777" w:rsidR="008928F8" w:rsidRDefault="00000000">
      <w:pPr>
        <w:pStyle w:val="FirstParagraph"/>
      </w:pPr>
      <w:r>
        <w:rPr>
          <w:b/>
          <w:bCs/>
        </w:rPr>
        <w:t>Aging rate</w:t>
      </w:r>
      <w:r>
        <w:t xml:space="preserve"> (proportion of population aged </w:t>
      </w:r>
      <m:oMath>
        <m:r>
          <m:rPr>
            <m:sty m:val="p"/>
          </m:rPr>
          <w:rPr>
            <w:rFonts w:ascii="Cambria Math" w:hAnsi="Cambria Math"/>
          </w:rPr>
          <m:t>≥</m:t>
        </m:r>
      </m:oMath>
      <w:r>
        <w:t xml:space="preserve"> 65 years) and </w:t>
      </w:r>
      <w:r>
        <w:rPr>
          <w:b/>
          <w:bCs/>
        </w:rPr>
        <w:t>population density</w:t>
      </w:r>
      <w:r>
        <w:t xml:space="preserve"> (persons/km</w:t>
      </w:r>
      <w:r>
        <w:rPr>
          <w:vertAlign w:val="superscript"/>
        </w:rPr>
        <w:t>2</w:t>
      </w:r>
      <w:r>
        <w:t>) were included as potential confounders, reflecting demographic composition and urbanization-related healthcare access.</w:t>
      </w:r>
    </w:p>
    <w:p w14:paraId="7BA4E01B" w14:textId="77777777" w:rsidR="008928F8" w:rsidRDefault="00000000">
      <w:pPr>
        <w:pStyle w:val="2"/>
      </w:pPr>
      <w:bookmarkStart w:id="7" w:name="statistical-analysis"/>
      <w:bookmarkEnd w:id="3"/>
      <w:bookmarkEnd w:id="6"/>
      <w:r>
        <w:t>Statistical Analysis</w:t>
      </w:r>
    </w:p>
    <w:p w14:paraId="7F365D19" w14:textId="77777777" w:rsidR="008928F8" w:rsidRDefault="00000000">
      <w:pPr>
        <w:pStyle w:val="3"/>
      </w:pPr>
      <w:bookmarkStart w:id="8" w:name="Xbe48b5361a66aa8c5af72ac90303938e2930049"/>
      <w:r>
        <w:t>Parallel OLS Regression: PM</w:t>
      </w:r>
      <w:r>
        <w:rPr>
          <w:vertAlign w:val="subscript"/>
        </w:rPr>
        <w:t>2.5</w:t>
      </w:r>
      <w:r>
        <w:t xml:space="preserve"> Versus SPM Specifications</w:t>
      </w:r>
    </w:p>
    <w:p w14:paraId="639E7A7F" w14:textId="77777777" w:rsidR="008928F8" w:rsidRDefault="00000000">
      <w:pPr>
        <w:pStyle w:val="FirstParagraph"/>
      </w:pPr>
      <w:r>
        <w:t>We fit two parallel series of OLS regression models to determine which particulate matter specification yields better estimation of pollen–prescription associations:</w:t>
      </w:r>
    </w:p>
    <w:p w14:paraId="51CE4210" w14:textId="77777777" w:rsidR="008928F8" w:rsidRDefault="00000000">
      <w:pPr>
        <w:pStyle w:val="a0"/>
      </w:pPr>
      <w:r>
        <w:rPr>
          <w:b/>
          <w:bCs/>
        </w:rPr>
        <w:t>PM</w:t>
      </w:r>
      <w:r>
        <w:rPr>
          <w:b/>
          <w:bCs/>
          <w:vertAlign w:val="subscript"/>
        </w:rPr>
        <w:t>2.5</w:t>
      </w:r>
      <w:r>
        <w:rPr>
          <w:b/>
          <w:bCs/>
        </w:rPr>
        <w:t xml:space="preserve"> series</w:t>
      </w:r>
      <w:r>
        <w:t xml:space="preserve"> (Models 1–5):</w:t>
      </w:r>
    </w:p>
    <w:p w14:paraId="70C9372D" w14:textId="77777777" w:rsidR="008928F8" w:rsidRDefault="00000000">
      <w:pPr>
        <w:pStyle w:val="Compact"/>
        <w:numPr>
          <w:ilvl w:val="0"/>
          <w:numId w:val="3"/>
        </w:numPr>
      </w:pPr>
      <w:r>
        <w:rPr>
          <w:b/>
          <w:bCs/>
        </w:rPr>
        <w:t>Model 1</w:t>
      </w:r>
      <w:r>
        <w:t>: total Rx ~ pollen count (pollen alone)</w:t>
      </w:r>
    </w:p>
    <w:p w14:paraId="7256B19B" w14:textId="77777777" w:rsidR="008928F8" w:rsidRDefault="00000000">
      <w:pPr>
        <w:pStyle w:val="Compact"/>
        <w:numPr>
          <w:ilvl w:val="0"/>
          <w:numId w:val="3"/>
        </w:numPr>
      </w:pPr>
      <w:r>
        <w:rPr>
          <w:b/>
          <w:bCs/>
        </w:rPr>
        <w:t>Model 2</w:t>
      </w:r>
      <w:r>
        <w:t>: total Rx ~ PM</w:t>
      </w:r>
      <w:r>
        <w:rPr>
          <w:vertAlign w:val="subscript"/>
        </w:rPr>
        <w:t>2.5</w:t>
      </w:r>
      <w:r>
        <w:t xml:space="preserve"> (PM</w:t>
      </w:r>
      <w:r>
        <w:rPr>
          <w:vertAlign w:val="subscript"/>
        </w:rPr>
        <w:t>2.5</w:t>
      </w:r>
      <w:r>
        <w:t xml:space="preserve"> alone)</w:t>
      </w:r>
    </w:p>
    <w:p w14:paraId="02E875AF" w14:textId="77777777" w:rsidR="008928F8" w:rsidRDefault="00000000">
      <w:pPr>
        <w:pStyle w:val="Compact"/>
        <w:numPr>
          <w:ilvl w:val="0"/>
          <w:numId w:val="3"/>
        </w:numPr>
      </w:pPr>
      <w:r>
        <w:rPr>
          <w:b/>
          <w:bCs/>
        </w:rPr>
        <w:t>Model 3</w:t>
      </w:r>
      <w:r>
        <w:t>: total Rx ~ pollen + PM</w:t>
      </w:r>
      <w:r>
        <w:rPr>
          <w:vertAlign w:val="subscript"/>
        </w:rPr>
        <w:t>2.5</w:t>
      </w:r>
      <w:r>
        <w:t xml:space="preserve"> (additive)</w:t>
      </w:r>
    </w:p>
    <w:p w14:paraId="2AF75D1E" w14:textId="77777777" w:rsidR="008928F8" w:rsidRDefault="00000000">
      <w:pPr>
        <w:pStyle w:val="Compact"/>
        <w:numPr>
          <w:ilvl w:val="0"/>
          <w:numId w:val="3"/>
        </w:numPr>
      </w:pPr>
      <w:r>
        <w:rPr>
          <w:b/>
          <w:bCs/>
        </w:rPr>
        <w:t>Model 4</w:t>
      </w:r>
      <w:r>
        <w:t>: total Rx ~ pollen + PM</w:t>
      </w:r>
      <w:r>
        <w:rPr>
          <w:vertAlign w:val="subscript"/>
        </w:rPr>
        <w:t>2.5</w:t>
      </w:r>
      <w:r>
        <w:t xml:space="preserve"> + pollen </w:t>
      </w:r>
      <m:oMath>
        <m:r>
          <m:rPr>
            <m:sty m:val="p"/>
          </m:rPr>
          <w:rPr>
            <w:rFonts w:ascii="Cambria Math" w:hAnsi="Cambria Math"/>
          </w:rPr>
          <m:t>×</m:t>
        </m:r>
      </m:oMath>
      <w:r>
        <w:t xml:space="preserve"> PM</w:t>
      </w:r>
      <w:r>
        <w:rPr>
          <w:vertAlign w:val="subscript"/>
        </w:rPr>
        <w:t>2.5</w:t>
      </w:r>
      <w:r>
        <w:t xml:space="preserve"> (interaction)</w:t>
      </w:r>
    </w:p>
    <w:p w14:paraId="6EBC179F" w14:textId="77777777" w:rsidR="008928F8" w:rsidRDefault="00000000">
      <w:pPr>
        <w:pStyle w:val="Compact"/>
        <w:numPr>
          <w:ilvl w:val="0"/>
          <w:numId w:val="3"/>
        </w:numPr>
      </w:pPr>
      <w:r>
        <w:rPr>
          <w:b/>
          <w:bCs/>
        </w:rPr>
        <w:t>Model 5</w:t>
      </w:r>
      <w:r>
        <w:t>: Model 4 + aging rate + population density (full PM</w:t>
      </w:r>
      <w:r>
        <w:rPr>
          <w:vertAlign w:val="subscript"/>
        </w:rPr>
        <w:t>2.5</w:t>
      </w:r>
      <w:r>
        <w:t xml:space="preserve"> model)</w:t>
      </w:r>
    </w:p>
    <w:p w14:paraId="40E329CB" w14:textId="77777777" w:rsidR="008928F8" w:rsidRDefault="00000000">
      <w:pPr>
        <w:pStyle w:val="FirstParagraph"/>
      </w:pPr>
      <w:r>
        <w:rPr>
          <w:b/>
          <w:bCs/>
        </w:rPr>
        <w:t>SPM specification</w:t>
      </w:r>
      <w:r>
        <w:t xml:space="preserve"> (Model 6):</w:t>
      </w:r>
    </w:p>
    <w:p w14:paraId="65C73479" w14:textId="77777777" w:rsidR="008928F8" w:rsidRDefault="00000000">
      <w:pPr>
        <w:pStyle w:val="Compact"/>
        <w:numPr>
          <w:ilvl w:val="0"/>
          <w:numId w:val="4"/>
        </w:numPr>
      </w:pPr>
      <w:r>
        <w:rPr>
          <w:b/>
          <w:bCs/>
        </w:rPr>
        <w:t>Model 6</w:t>
      </w:r>
      <w:r>
        <w:t xml:space="preserve">: total Rx ~ pollen + SPM + pollen </w:t>
      </w:r>
      <m:oMath>
        <m:r>
          <m:rPr>
            <m:sty m:val="p"/>
          </m:rPr>
          <w:rPr>
            <w:rFonts w:ascii="Cambria Math" w:hAnsi="Cambria Math"/>
          </w:rPr>
          <m:t>×</m:t>
        </m:r>
      </m:oMath>
      <w:r>
        <w:t xml:space="preserve"> SPM + aging rate + population density (full SPM model)</w:t>
      </w:r>
    </w:p>
    <w:p w14:paraId="2634FD18" w14:textId="77777777" w:rsidR="008928F8" w:rsidRDefault="00000000">
      <w:pPr>
        <w:pStyle w:val="FirstParagraph"/>
      </w:pPr>
      <w:r>
        <w:t>Interaction terms were computed from mean-centered variables to reduce multicollinearity. Variance inflation factors (VIF &gt; 10) were used to detect problematic multicollinearity. Model comparison was based on R</w:t>
      </w:r>
      <w:r>
        <w:rPr>
          <w:vertAlign w:val="superscript"/>
        </w:rPr>
        <w:t>2</w:t>
      </w:r>
      <w:r>
        <w:t>, adjusted R</w:t>
      </w:r>
      <w:r>
        <w:rPr>
          <w:vertAlign w:val="superscript"/>
        </w:rPr>
        <w:t>2</w:t>
      </w:r>
      <w:r>
        <w:t>, AIC, and the behavior of the pollen coefficient under heteroscedasticity-consistent standard errors (HC3).</w:t>
      </w:r>
    </w:p>
    <w:p w14:paraId="59DE5437" w14:textId="77777777" w:rsidR="008928F8" w:rsidRDefault="00000000">
      <w:pPr>
        <w:pStyle w:val="3"/>
      </w:pPr>
      <w:bookmarkStart w:id="9" w:name="robustness-assessment"/>
      <w:bookmarkEnd w:id="8"/>
      <w:r>
        <w:t>Robustness Assessment</w:t>
      </w:r>
    </w:p>
    <w:p w14:paraId="41519B4C" w14:textId="77777777" w:rsidR="008928F8" w:rsidRDefault="00000000">
      <w:pPr>
        <w:pStyle w:val="FirstParagraph"/>
      </w:pPr>
      <w:r>
        <w:t>Robustness of findings was assessed through six sensitivity specifications applied to both Model 5 and Model 6: (a) baseline OLS; (b) HC3 robust standard errors; (c) Cook’s distance outlier exclusion (threshold: 4/n); (d) exclusion of Tokyo and Osaka (extreme population density); (e) removal of the interaction term; and (f) log-transformation of the outcome. A variable was considered robust if it maintained p &lt; 0.05 across all or nearly all specifications.</w:t>
      </w:r>
    </w:p>
    <w:p w14:paraId="72BF79DD" w14:textId="77777777" w:rsidR="008928F8" w:rsidRDefault="00000000">
      <w:pPr>
        <w:pStyle w:val="3"/>
      </w:pPr>
      <w:bookmarkStart w:id="10" w:name="pollen-indicator-comparison"/>
      <w:bookmarkEnd w:id="9"/>
      <w:r>
        <w:lastRenderedPageBreak/>
        <w:t>Pollen Indicator Comparison</w:t>
      </w:r>
    </w:p>
    <w:p w14:paraId="36B30986" w14:textId="77777777" w:rsidR="008928F8" w:rsidRDefault="00000000">
      <w:pPr>
        <w:pStyle w:val="FirstParagraph"/>
      </w:pPr>
      <w:r>
        <w:t>Equivalent covariate-adjusted models (without interaction terms) were fit using actual pollen counts versus forest area ratio, with R</w:t>
      </w:r>
      <w:r>
        <w:rPr>
          <w:vertAlign w:val="superscript"/>
        </w:rPr>
        <w:t>2</w:t>
      </w:r>
      <w:r>
        <w:t xml:space="preserve"> and AIC used for comparison.</w:t>
      </w:r>
    </w:p>
    <w:p w14:paraId="0D812570" w14:textId="77777777" w:rsidR="008928F8" w:rsidRDefault="00000000">
      <w:pPr>
        <w:pStyle w:val="3"/>
      </w:pPr>
      <w:bookmarkStart w:id="11" w:name="subgroup-analysis"/>
      <w:bookmarkEnd w:id="10"/>
      <w:r>
        <w:t>Subgroup Analysis</w:t>
      </w:r>
    </w:p>
    <w:p w14:paraId="2E85DF4E" w14:textId="77777777" w:rsidR="008928F8" w:rsidRDefault="00000000">
      <w:pPr>
        <w:pStyle w:val="FirstParagraph"/>
      </w:pPr>
      <w:r>
        <w:t>Drug category-specific regressions were fit for antihistamines, ophthalmic preparations, and nasal preparations separately.</w:t>
      </w:r>
    </w:p>
    <w:p w14:paraId="60D46DDA" w14:textId="77777777" w:rsidR="008928F8" w:rsidRDefault="00000000">
      <w:pPr>
        <w:pStyle w:val="3"/>
      </w:pPr>
      <w:bookmarkStart w:id="12" w:name="spatial-autocorrelation"/>
      <w:bookmarkEnd w:id="11"/>
      <w:r>
        <w:t>Spatial Autocorrelation</w:t>
      </w:r>
    </w:p>
    <w:p w14:paraId="50873F14" w14:textId="77777777" w:rsidR="008928F8" w:rsidRDefault="00000000">
      <w:pPr>
        <w:pStyle w:val="FirstParagraph"/>
      </w:pPr>
      <w:r>
        <w:t>Global Moran’s I was computed using a queen contiguity spatial weights matrix with k-nearest neighbor (k = 1) supplementation for disconnected island prefectures (13,14).</w:t>
      </w:r>
    </w:p>
    <w:p w14:paraId="6F8BB7E8" w14:textId="77777777" w:rsidR="008928F8" w:rsidRDefault="00000000">
      <w:pPr>
        <w:pStyle w:val="3"/>
      </w:pPr>
      <w:bookmarkStart w:id="13" w:name="software"/>
      <w:bookmarkEnd w:id="12"/>
      <w:r>
        <w:t>Software</w:t>
      </w:r>
    </w:p>
    <w:p w14:paraId="5E1B30B9" w14:textId="77777777" w:rsidR="008928F8" w:rsidRDefault="00000000">
      <w:pPr>
        <w:pStyle w:val="FirstParagraph"/>
      </w:pPr>
      <w:r>
        <w:t xml:space="preserve">All analyses were performed using Python 3.x with statsmodels, scipy, scikit-learn, libpysal, and esda. Statistical significance was set at </w:t>
      </w:r>
      <m:oMath>
        <m:r>
          <w:rPr>
            <w:rFonts w:ascii="Cambria Math" w:hAnsi="Cambria Math"/>
          </w:rPr>
          <m:t>α</m:t>
        </m:r>
      </m:oMath>
      <w:r>
        <w:t xml:space="preserve"> = 0.05.</w:t>
      </w:r>
    </w:p>
    <w:p w14:paraId="54290358" w14:textId="77777777" w:rsidR="008928F8" w:rsidRDefault="00000000">
      <w:pPr>
        <w:pStyle w:val="1"/>
      </w:pPr>
      <w:bookmarkStart w:id="14" w:name="results"/>
      <w:bookmarkEnd w:id="1"/>
      <w:bookmarkEnd w:id="7"/>
      <w:bookmarkEnd w:id="13"/>
      <w:r>
        <w:t>Results</w:t>
      </w:r>
    </w:p>
    <w:p w14:paraId="44723484" w14:textId="77777777" w:rsidR="008928F8" w:rsidRDefault="00000000">
      <w:pPr>
        <w:pStyle w:val="2"/>
      </w:pPr>
      <w:bookmarkStart w:id="15" w:name="descriptive-statistics"/>
      <w:r>
        <w:t>Descriptive Statistics</w:t>
      </w:r>
    </w:p>
    <w:p w14:paraId="6C5574DB" w14:textId="77777777" w:rsidR="008928F8" w:rsidRDefault="00000000">
      <w:pPr>
        <w:pStyle w:val="FirstParagraph"/>
      </w:pPr>
      <w:hyperlink w:anchor="tbl-descriptive">
        <w:r>
          <w:rPr>
            <w:rStyle w:val="af"/>
          </w:rPr>
          <w:t>Table 1</w:t>
        </w:r>
      </w:hyperlink>
      <w:r>
        <w:t xml:space="preserve"> presents the descriptive statistics for all study variables.</w:t>
      </w:r>
    </w:p>
    <w:p w14:paraId="2570EBA6" w14:textId="77777777" w:rsidR="008928F8" w:rsidRDefault="00000000">
      <w:pPr>
        <w:pStyle w:val="a0"/>
      </w:pPr>
      <w:r>
        <w:t>Allergy-specific prescriptions ranged from 3.99 to 6.87 million per 100,000 population. Antihistamines constituted 94.5% of total prescriptions. Pollen counts (2023 season) ranged from 0 grains/cm</w:t>
      </w:r>
      <w:r>
        <w:rPr>
          <w:vertAlign w:val="superscript"/>
        </w:rPr>
        <w:t>2</w:t>
      </w:r>
      <w:r>
        <w:t xml:space="preserve"> (Okinawa) to 17,827 grains/cm</w:t>
      </w:r>
      <w:r>
        <w:rPr>
          <w:vertAlign w:val="superscript"/>
        </w:rPr>
        <w:t>2</w:t>
      </w:r>
      <w:r>
        <w:t xml:space="preserve"> (Gunma). PM</w:t>
      </w:r>
      <w:r>
        <w:rPr>
          <w:vertAlign w:val="subscript"/>
        </w:rPr>
        <w:t>2.5</w:t>
      </w:r>
      <w:r>
        <w:t xml:space="preserve"> and SPM were strongly correlated (r = 0.789, p &lt; 0.001), justifying their specification in separate models. Pollen count and forest area ratio were essentially uncorrelated (r = –0.009, p = 0.952).</w:t>
      </w:r>
    </w:p>
    <w:p w14:paraId="780CFCF8" w14:textId="77777777" w:rsidR="008928F8" w:rsidRDefault="00000000">
      <w:pPr>
        <w:pStyle w:val="2"/>
      </w:pPr>
      <w:bookmarkStart w:id="16" w:name="X1e5c6ee07d3a0b953201154df18b15085d50948"/>
      <w:bookmarkEnd w:id="15"/>
      <w:r>
        <w:t>Model Comparison: PM</w:t>
      </w:r>
      <w:r>
        <w:rPr>
          <w:vertAlign w:val="subscript"/>
        </w:rPr>
        <w:t>2.5</w:t>
      </w:r>
      <w:r>
        <w:t xml:space="preserve"> Versus SPM Specifications</w:t>
      </w:r>
    </w:p>
    <w:p w14:paraId="2551A2BE" w14:textId="77777777" w:rsidR="008928F8" w:rsidRDefault="00000000">
      <w:pPr>
        <w:pStyle w:val="FirstParagraph"/>
      </w:pPr>
      <w:hyperlink w:anchor="tbl-regression">
        <w:r>
          <w:rPr>
            <w:rStyle w:val="af"/>
          </w:rPr>
          <w:t>Table 2</w:t>
        </w:r>
      </w:hyperlink>
      <w:r>
        <w:t xml:space="preserve"> presents the model hierarchy.</w:t>
      </w:r>
    </w:p>
    <w:p w14:paraId="47DD152F" w14:textId="77777777" w:rsidR="008928F8" w:rsidRDefault="00000000">
      <w:pPr>
        <w:pStyle w:val="3"/>
      </w:pPr>
      <w:bookmarkStart w:id="17" w:name="pm2.5-series-models-15"/>
      <w:r>
        <w:t>PM</w:t>
      </w:r>
      <w:r>
        <w:rPr>
          <w:vertAlign w:val="subscript"/>
        </w:rPr>
        <w:t>2.5</w:t>
      </w:r>
      <w:r>
        <w:t xml:space="preserve"> series (Models 1–5)</w:t>
      </w:r>
    </w:p>
    <w:p w14:paraId="078294D4" w14:textId="77777777" w:rsidR="008928F8" w:rsidRDefault="00000000">
      <w:pPr>
        <w:pStyle w:val="FirstParagraph"/>
      </w:pPr>
      <w:r>
        <w:t xml:space="preserve">Pollen count alone explained 11.0% of variance (Model 1: </w:t>
      </w:r>
      <m:oMath>
        <m:r>
          <w:rPr>
            <w:rFonts w:ascii="Cambria Math" w:hAnsi="Cambria Math"/>
          </w:rPr>
          <m:t>β</m:t>
        </m:r>
      </m:oMath>
      <w:r>
        <w:t xml:space="preserve"> = 61.3 per grain/cm</w:t>
      </w:r>
      <w:r>
        <w:rPr>
          <w:vertAlign w:val="superscript"/>
        </w:rPr>
        <w:t>2</w:t>
      </w:r>
      <w:r>
        <w:t>; p = 0.023). PM</w:t>
      </w:r>
      <w:r>
        <w:rPr>
          <w:vertAlign w:val="subscript"/>
        </w:rPr>
        <w:t>2.5</w:t>
      </w:r>
      <w:r>
        <w:t xml:space="preserve"> alone was non-significant (Model 2: R</w:t>
      </w:r>
      <w:r>
        <w:rPr>
          <w:vertAlign w:val="superscript"/>
        </w:rPr>
        <w:t>2</w:t>
      </w:r>
      <w:r>
        <w:t xml:space="preserve"> = 0.022, p = 0.316). The full PM</w:t>
      </w:r>
      <w:r>
        <w:rPr>
          <w:vertAlign w:val="subscript"/>
        </w:rPr>
        <w:t>2.5</w:t>
      </w:r>
      <w:r>
        <w:t xml:space="preserve"> model (Model 5) yielded R</w:t>
      </w:r>
      <w:r>
        <w:rPr>
          <w:vertAlign w:val="superscript"/>
        </w:rPr>
        <w:t>2</w:t>
      </w:r>
      <w:r>
        <w:t xml:space="preserve"> = 0.357 (adjusted R</w:t>
      </w:r>
      <w:r>
        <w:rPr>
          <w:vertAlign w:val="superscript"/>
        </w:rPr>
        <w:t>2</w:t>
      </w:r>
      <w:r>
        <w:t xml:space="preserve"> = 0.279), with pollen (</w:t>
      </w:r>
      <m:oMath>
        <m:r>
          <w:rPr>
            <w:rFonts w:ascii="Cambria Math" w:hAnsi="Cambria Math"/>
          </w:rPr>
          <m:t>β</m:t>
        </m:r>
      </m:oMath>
      <w:r>
        <w:t xml:space="preserve"> = 63.2; p = </w:t>
      </w:r>
      <w:r>
        <w:lastRenderedPageBreak/>
        <w:t>0.014) and population density (</w:t>
      </w:r>
      <m:oMath>
        <m:r>
          <w:rPr>
            <w:rFonts w:ascii="Cambria Math" w:hAnsi="Cambria Math"/>
          </w:rPr>
          <m:t>β</m:t>
        </m:r>
      </m:oMath>
      <w:r>
        <w:t xml:space="preserve"> = 251.2; p = 0.004) as significant predictors. The pollen </w:t>
      </w:r>
      <m:oMath>
        <m:r>
          <m:rPr>
            <m:sty m:val="p"/>
          </m:rPr>
          <w:rPr>
            <w:rFonts w:ascii="Cambria Math" w:hAnsi="Cambria Math"/>
          </w:rPr>
          <m:t>×</m:t>
        </m:r>
      </m:oMath>
      <w:r>
        <w:t xml:space="preserve"> PM</w:t>
      </w:r>
      <w:r>
        <w:rPr>
          <w:vertAlign w:val="subscript"/>
        </w:rPr>
        <w:t>2.5</w:t>
      </w:r>
      <w:r>
        <w:t xml:space="preserve"> interaction was non-significant (p = 0.985).</w:t>
      </w:r>
    </w:p>
    <w:p w14:paraId="379439F2" w14:textId="77777777" w:rsidR="008928F8" w:rsidRDefault="00000000">
      <w:pPr>
        <w:pStyle w:val="3"/>
      </w:pPr>
      <w:bookmarkStart w:id="18" w:name="X27a85832f0ac9cf41f2cfee9f43088647e454c8"/>
      <w:bookmarkEnd w:id="17"/>
      <w:r>
        <w:t>SPM specification (Model 6): the best-fitting model</w:t>
      </w:r>
    </w:p>
    <w:p w14:paraId="4C7FC3D8" w14:textId="77777777" w:rsidR="008928F8" w:rsidRDefault="00000000">
      <w:pPr>
        <w:pStyle w:val="FirstParagraph"/>
      </w:pPr>
      <w:r>
        <w:t>Model 6 achieved substantially higher explanatory power (R</w:t>
      </w:r>
      <w:r>
        <w:rPr>
          <w:vertAlign w:val="superscript"/>
        </w:rPr>
        <w:t>2</w:t>
      </w:r>
      <w:r>
        <w:t xml:space="preserve"> = 0.469, adjusted R</w:t>
      </w:r>
      <w:r>
        <w:rPr>
          <w:vertAlign w:val="superscript"/>
        </w:rPr>
        <w:t>2</w:t>
      </w:r>
      <w:r>
        <w:t xml:space="preserve"> = 0.404, F = 7.25, p &lt; 0.001) with </w:t>
      </w:r>
      <m:oMath>
        <m:r>
          <w:rPr>
            <w:rFonts w:ascii="Cambria Math" w:hAnsi="Cambria Math"/>
          </w:rPr>
          <m:t>Δ</m:t>
        </m:r>
      </m:oMath>
      <w:r>
        <w:t xml:space="preserve">AIC = –9.0 relative to Model 5. </w:t>
      </w:r>
      <w:hyperlink w:anchor="tbl-model6">
        <w:r>
          <w:rPr>
            <w:rStyle w:val="af"/>
          </w:rPr>
          <w:t>Table 3</w:t>
        </w:r>
      </w:hyperlink>
      <w:r>
        <w:t xml:space="preserve"> presents the full coefficient table.</w:t>
      </w:r>
    </w:p>
    <w:p w14:paraId="5C890185" w14:textId="77777777" w:rsidR="008928F8" w:rsidRDefault="00000000">
      <w:pPr>
        <w:pStyle w:val="a0"/>
      </w:pPr>
      <w:r>
        <w:t xml:space="preserve">The pollen </w:t>
      </w:r>
      <m:oMath>
        <m:r>
          <m:rPr>
            <m:sty m:val="p"/>
          </m:rPr>
          <w:rPr>
            <w:rFonts w:ascii="Cambria Math" w:hAnsi="Cambria Math"/>
          </w:rPr>
          <m:t>×</m:t>
        </m:r>
      </m:oMath>
      <w:r>
        <w:t xml:space="preserve"> SPM interaction was significant under standard errors (</w:t>
      </w:r>
      <m:oMath>
        <m:r>
          <w:rPr>
            <w:rFonts w:ascii="Cambria Math" w:hAnsi="Cambria Math"/>
          </w:rPr>
          <m:t>β</m:t>
        </m:r>
      </m:oMath>
      <w:r>
        <w:t xml:space="preserve"> = 33,247; p = 0.020), suggesting that pollen–prescription associations may be amplified in prefectures with higher SPM concentrations. This pattern was absent for PM</w:t>
      </w:r>
      <w:r>
        <w:rPr>
          <w:vertAlign w:val="subscript"/>
        </w:rPr>
        <w:t>2.5</w:t>
      </w:r>
      <w:r>
        <w:t xml:space="preserve"> (interaction p = 0.985 in Model 5).</w:t>
      </w:r>
    </w:p>
    <w:p w14:paraId="0F0C332C" w14:textId="77777777" w:rsidR="008928F8" w:rsidRDefault="00000000">
      <w:pPr>
        <w:pStyle w:val="a0"/>
      </w:pPr>
      <w:r>
        <w:t>VIF values for Model 5 were all below 1.74, and residuals satisfied normality (Shapiro-Wilk W = 0.974, p = 0.362).</w:t>
      </w:r>
    </w:p>
    <w:p w14:paraId="6213C904" w14:textId="77777777" w:rsidR="008928F8" w:rsidRDefault="00000000">
      <w:pPr>
        <w:pStyle w:val="2"/>
      </w:pPr>
      <w:bookmarkStart w:id="19" w:name="robustness-hc3-comparison-across-models"/>
      <w:bookmarkEnd w:id="16"/>
      <w:bookmarkEnd w:id="18"/>
      <w:r>
        <w:t>Robustness: HC3 Comparison Across Models</w:t>
      </w:r>
    </w:p>
    <w:p w14:paraId="2C139AD6" w14:textId="77777777" w:rsidR="008928F8" w:rsidRDefault="00000000">
      <w:pPr>
        <w:pStyle w:val="FirstParagraph"/>
      </w:pPr>
      <w:hyperlink w:anchor="tbl-hc3">
        <w:r>
          <w:rPr>
            <w:rStyle w:val="af"/>
          </w:rPr>
          <w:t>Table 4</w:t>
        </w:r>
      </w:hyperlink>
      <w:r>
        <w:t xml:space="preserve"> presents the critical comparison of pollen coefficient robustness between the two model specifications.</w:t>
      </w:r>
    </w:p>
    <w:p w14:paraId="0727CB4D" w14:textId="77777777" w:rsidR="008928F8" w:rsidRDefault="00000000">
      <w:pPr>
        <w:pStyle w:val="a0"/>
      </w:pPr>
      <w:r>
        <w:t xml:space="preserve">The pollen main effect was significant under HC3 in Model 6 (p = 0.033) but not in Model 5 (p = 0.082). This demonstrates that the SPM specification provides a more robust platform for estimating pollen effects. Population density was similarly more robust in Model 6 (HC3: p = 0.006 vs. 0.029). The pollen </w:t>
      </w:r>
      <m:oMath>
        <m:r>
          <m:rPr>
            <m:sty m:val="p"/>
          </m:rPr>
          <w:rPr>
            <w:rFonts w:ascii="Cambria Math" w:hAnsi="Cambria Math"/>
          </w:rPr>
          <m:t>×</m:t>
        </m:r>
      </m:oMath>
      <w:r>
        <w:t xml:space="preserve"> SPM interaction, while significant under standard errors (p = 0.020), was attenuated under HC3 (p = 0.066) and should be considered suggestive pending confirmation in larger samples.</w:t>
      </w:r>
    </w:p>
    <w:p w14:paraId="1CAF0E5C" w14:textId="77777777" w:rsidR="008928F8" w:rsidRDefault="00000000">
      <w:pPr>
        <w:pStyle w:val="2"/>
      </w:pPr>
      <w:bookmarkStart w:id="20" w:name="full-sensitivity-analysis"/>
      <w:bookmarkEnd w:id="19"/>
      <w:r>
        <w:t>Full Sensitivity Analysis</w:t>
      </w:r>
    </w:p>
    <w:p w14:paraId="02C69A8B" w14:textId="77777777" w:rsidR="008928F8" w:rsidRDefault="00000000">
      <w:pPr>
        <w:pStyle w:val="FirstParagraph"/>
      </w:pPr>
      <w:hyperlink w:anchor="tbl-sensitivity-m6">
        <w:r>
          <w:rPr>
            <w:rStyle w:val="af"/>
          </w:rPr>
          <w:t>Table 5</w:t>
        </w:r>
      </w:hyperlink>
      <w:r>
        <w:t xml:space="preserve"> presents the full sensitivity analysis for Model 6.</w:t>
      </w:r>
    </w:p>
    <w:p w14:paraId="1823860A" w14:textId="77777777" w:rsidR="008928F8" w:rsidRDefault="00000000">
      <w:pPr>
        <w:pStyle w:val="a0"/>
      </w:pPr>
      <w:r>
        <w:t xml:space="preserve">Pollen count maintained significance (p &lt; 0.05) in </w:t>
      </w:r>
      <w:r>
        <w:rPr>
          <w:b/>
          <w:bCs/>
        </w:rPr>
        <w:t>all six</w:t>
      </w:r>
      <w:r>
        <w:t xml:space="preserve"> Model 6 sensitivity specifications (p range: 0.006–0.045). By contrast, in the corresponding Model 5 analysis, pollen lost significance under HC3 (p = 0.082). The pollen </w:t>
      </w:r>
      <m:oMath>
        <m:r>
          <m:rPr>
            <m:sty m:val="p"/>
          </m:rPr>
          <w:rPr>
            <w:rFonts w:ascii="Cambria Math" w:hAnsi="Cambria Math"/>
          </w:rPr>
          <m:t>×</m:t>
        </m:r>
      </m:oMath>
      <w:r>
        <w:t xml:space="preserve"> SPM interaction was significant in three of five applicable specifications (baseline, Tokyo/Osaka exclusion, log-transformed) and marginally non-significant under HC3 (p = 0.066) and outlier exclusion (p = 0.142).</w:t>
      </w:r>
    </w:p>
    <w:p w14:paraId="25D9E250" w14:textId="77777777" w:rsidR="008928F8" w:rsidRDefault="00000000">
      <w:pPr>
        <w:pStyle w:val="a0"/>
      </w:pPr>
      <w:hyperlink w:anchor="tbl-sensitivity-m5">
        <w:r>
          <w:rPr>
            <w:rStyle w:val="af"/>
          </w:rPr>
          <w:t>Table 6</w:t>
        </w:r>
      </w:hyperlink>
      <w:r>
        <w:t xml:space="preserve"> presents the Model 5 sensitivity analysis for comparison.</w:t>
      </w:r>
    </w:p>
    <w:p w14:paraId="32CBD5C7" w14:textId="77777777" w:rsidR="008928F8" w:rsidRDefault="00000000">
      <w:pPr>
        <w:pStyle w:val="2"/>
      </w:pPr>
      <w:bookmarkStart w:id="21" w:name="pollen-indicator-comparison-1"/>
      <w:bookmarkEnd w:id="20"/>
      <w:r>
        <w:lastRenderedPageBreak/>
        <w:t>Pollen Indicator Comparison</w:t>
      </w:r>
    </w:p>
    <w:p w14:paraId="50D50E68" w14:textId="77777777" w:rsidR="008928F8" w:rsidRDefault="00000000">
      <w:pPr>
        <w:pStyle w:val="FirstParagraph"/>
      </w:pPr>
      <w:r>
        <w:t>Actual pollen counts outperformed forest area ratio in otherwise equivalent covariate-adjusted models (</w:t>
      </w:r>
      <w:hyperlink w:anchor="tbl-comparison">
        <w:r>
          <w:rPr>
            <w:rStyle w:val="af"/>
          </w:rPr>
          <w:t>Table 7</w:t>
        </w:r>
      </w:hyperlink>
      <w:r>
        <w:t>). The near-zero correlation between the two indicators (r = –0.009) confirms they measure fundamentally different constructs.</w:t>
      </w:r>
    </w:p>
    <w:p w14:paraId="189680D4" w14:textId="77777777" w:rsidR="008928F8" w:rsidRDefault="00000000">
      <w:pPr>
        <w:pStyle w:val="2"/>
      </w:pPr>
      <w:bookmarkStart w:id="22" w:name="subgroup-analysis-by-drug-category"/>
      <w:bookmarkEnd w:id="21"/>
      <w:r>
        <w:t>Subgroup Analysis by Drug Category</w:t>
      </w:r>
    </w:p>
    <w:p w14:paraId="60D8FEB5" w14:textId="77777777" w:rsidR="008928F8" w:rsidRDefault="00000000">
      <w:pPr>
        <w:pStyle w:val="FirstParagraph"/>
      </w:pPr>
      <w:hyperlink w:anchor="tbl-subgroup">
        <w:r>
          <w:rPr>
            <w:rStyle w:val="af"/>
          </w:rPr>
          <w:t>Table 8</w:t>
        </w:r>
      </w:hyperlink>
      <w:r>
        <w:t xml:space="preserve"> presents drug category-specific OLS regression results.</w:t>
      </w:r>
    </w:p>
    <w:p w14:paraId="7FB060B5" w14:textId="77777777" w:rsidR="008928F8" w:rsidRDefault="00000000">
      <w:pPr>
        <w:pStyle w:val="a0"/>
      </w:pPr>
      <w:r>
        <w:t>The pollen–prescription association was driven by antihistamines (p = 0.035), which constitute 94.5% of total prescriptions. Ophthalmic and nasal preparations showed no significant association.</w:t>
      </w:r>
    </w:p>
    <w:p w14:paraId="2C7B02BB" w14:textId="77777777" w:rsidR="008928F8" w:rsidRDefault="00000000">
      <w:pPr>
        <w:pStyle w:val="2"/>
      </w:pPr>
      <w:bookmarkStart w:id="23" w:name="spatial-autocorrelation-1"/>
      <w:bookmarkEnd w:id="22"/>
      <w:r>
        <w:t>Spatial Autocorrelation</w:t>
      </w:r>
    </w:p>
    <w:p w14:paraId="062486E5" w14:textId="77777777" w:rsidR="008928F8" w:rsidRDefault="00000000">
      <w:pPr>
        <w:pStyle w:val="FirstParagraph"/>
      </w:pPr>
      <w:r>
        <w:t>Global Moran’s I was non-significant for all outcomes (total: I = –0.008, p = 0.436; antihistamines: I = 0.013, p = 0.351; ophthalmic: I = 0.020, p = 0.327; nasal: I = –0.164, p = 0.056) and for OLS residuals (I = 0.096, p = 0.116), confirming the appropriateness of non-spatial regression.</w:t>
      </w:r>
    </w:p>
    <w:p w14:paraId="4257B331" w14:textId="77777777" w:rsidR="008928F8" w:rsidRDefault="00000000">
      <w:pPr>
        <w:pStyle w:val="1"/>
      </w:pPr>
      <w:bookmarkStart w:id="24" w:name="discussion"/>
      <w:bookmarkEnd w:id="14"/>
      <w:bookmarkEnd w:id="23"/>
      <w:r>
        <w:t>Discussion</w:t>
      </w:r>
    </w:p>
    <w:p w14:paraId="39823AE3" w14:textId="77777777" w:rsidR="008928F8" w:rsidRDefault="00000000">
      <w:pPr>
        <w:pStyle w:val="2"/>
      </w:pPr>
      <w:bookmarkStart w:id="25" w:name="main-findings-and-their-implications"/>
      <w:r>
        <w:t>Main Findings and Their Implications</w:t>
      </w:r>
    </w:p>
    <w:p w14:paraId="5419F95F" w14:textId="77777777" w:rsidR="008928F8" w:rsidRDefault="00000000">
      <w:pPr>
        <w:pStyle w:val="FirstParagraph"/>
      </w:pPr>
      <w:r>
        <w:t>This study provides three integrated findings. First, particulate matter specification materially changed inference on pollen effects: the SPM-based full model (Model 6) outperformed the PM</w:t>
      </w:r>
      <w:r>
        <w:rPr>
          <w:vertAlign w:val="subscript"/>
        </w:rPr>
        <w:t>2.5</w:t>
      </w:r>
      <w:r>
        <w:t>-based full model (Model 5) in fit (R</w:t>
      </w:r>
      <w:r>
        <w:rPr>
          <w:vertAlign w:val="superscript"/>
        </w:rPr>
        <w:t>2</w:t>
      </w:r>
      <w:r>
        <w:t xml:space="preserve"> 0.469 vs. 0.357; </w:t>
      </w:r>
      <m:oMath>
        <m:r>
          <w:rPr>
            <w:rFonts w:ascii="Cambria Math" w:hAnsi="Cambria Math"/>
          </w:rPr>
          <m:t>Δ</m:t>
        </m:r>
      </m:oMath>
      <w:r>
        <w:t xml:space="preserve">AIC = –9.0) and in robustness of the pollen coefficient under HC3 (p = 0.033 vs. 0.082). Second, a positive pollen </w:t>
      </w:r>
      <m:oMath>
        <m:r>
          <m:rPr>
            <m:sty m:val="p"/>
          </m:rPr>
          <w:rPr>
            <w:rFonts w:ascii="Cambria Math" w:hAnsi="Cambria Math"/>
          </w:rPr>
          <m:t>×</m:t>
        </m:r>
      </m:oMath>
      <w:r>
        <w:t xml:space="preserve"> SPM interaction was detected in OLS (p = 0.020) and in multiple sensitivity settings, while no interaction was observed for pollen </w:t>
      </w:r>
      <m:oMath>
        <m:r>
          <m:rPr>
            <m:sty m:val="p"/>
          </m:rPr>
          <w:rPr>
            <w:rFonts w:ascii="Cambria Math" w:hAnsi="Cambria Math"/>
          </w:rPr>
          <m:t>×</m:t>
        </m:r>
      </m:oMath>
      <w:r>
        <w:t xml:space="preserve"> PM</w:t>
      </w:r>
      <w:r>
        <w:rPr>
          <w:vertAlign w:val="subscript"/>
        </w:rPr>
        <w:t>2.5</w:t>
      </w:r>
      <w:r>
        <w:t>. Third, actual pollen observations were clearly superior to forest area ratio as an exposure indicator (</w:t>
      </w:r>
      <m:oMath>
        <m:r>
          <w:rPr>
            <w:rFonts w:ascii="Cambria Math" w:hAnsi="Cambria Math"/>
          </w:rPr>
          <m:t>Δ</m:t>
        </m:r>
      </m:oMath>
      <w:r>
        <w:t>AIC = 7.7), and the two indicators were essentially uncorrelated.</w:t>
      </w:r>
    </w:p>
    <w:p w14:paraId="0380825D" w14:textId="77777777" w:rsidR="008928F8" w:rsidRDefault="00000000">
      <w:pPr>
        <w:pStyle w:val="a0"/>
      </w:pPr>
      <w:r>
        <w:t>Taken together, these findings suggest that the coarse particle fraction is not a peripheral modeling choice but a central determinant of whether pollen-related prescription signals are detectable and robust in ecological analyses. The observed pattern is not explained by a generic “air pollution effect” alone; rather, it is consistent with biologically and physically specific pathways linking pollen fragmentation, coarse aerosol dynamics, and healthcare utilization (4,5,15).</w:t>
      </w:r>
    </w:p>
    <w:p w14:paraId="7415DCE2" w14:textId="77777777" w:rsidR="008928F8" w:rsidRDefault="00000000">
      <w:pPr>
        <w:pStyle w:val="2"/>
      </w:pPr>
      <w:bookmarkStart w:id="26" w:name="X9e22f7929375d5ed717d7a1460ba4503994f9fe"/>
      <w:bookmarkEnd w:id="25"/>
      <w:r>
        <w:lastRenderedPageBreak/>
        <w:t>Particle-Size-Dependent Mechanism: Why SPM Outperformed PM</w:t>
      </w:r>
      <w:r>
        <w:rPr>
          <w:vertAlign w:val="subscript"/>
        </w:rPr>
        <w:t>2.5</w:t>
      </w:r>
    </w:p>
    <w:p w14:paraId="05C7C5AA" w14:textId="77777777" w:rsidR="008928F8" w:rsidRDefault="00000000">
      <w:pPr>
        <w:pStyle w:val="FirstParagraph"/>
      </w:pPr>
      <w:r>
        <w:t xml:space="preserve">The superiority of the SPM specification is biologically plausible based on pollen aerobiology. Intact pollen grains are relatively large (typically 20–40 </w:t>
      </w:r>
      <m:oMath>
        <m:r>
          <w:rPr>
            <w:rFonts w:ascii="Cambria Math" w:hAnsi="Cambria Math"/>
          </w:rPr>
          <m:t>μ</m:t>
        </m:r>
      </m:oMath>
      <w:r>
        <w:t xml:space="preserve">m), but after hydration or rain-related osmotic shock they can rupture and release sub-pollen particles (SPP) that span approximately 0.5–10 </w:t>
      </w:r>
      <m:oMath>
        <m:r>
          <w:rPr>
            <w:rFonts w:ascii="Cambria Math" w:hAnsi="Cambria Math"/>
          </w:rPr>
          <m:t>μ</m:t>
        </m:r>
      </m:oMath>
      <w:r>
        <w:t>m (8,16,17). This range overlaps substantially with SPM, whereas PM</w:t>
      </w:r>
      <w:r>
        <w:rPr>
          <w:vertAlign w:val="subscript"/>
        </w:rPr>
        <w:t>2.5</w:t>
      </w:r>
      <w:r>
        <w:t xml:space="preserve"> captures only the lower tail of that distribution.</w:t>
      </w:r>
    </w:p>
    <w:p w14:paraId="5BF6AC19" w14:textId="77777777" w:rsidR="008928F8" w:rsidRDefault="00000000">
      <w:pPr>
        <w:pStyle w:val="a0"/>
      </w:pPr>
      <w:r>
        <w:t>Size-resolved aerosol studies further support this interpretation: allergen-bearing particles are not confined to the fine fraction and are frequently detected in coarse fractions where fragmented pollen material, biological debris, and mixed particles accumulate (18–20). From a model-specification perspective, using PM</w:t>
      </w:r>
      <w:r>
        <w:rPr>
          <w:vertAlign w:val="subscript"/>
        </w:rPr>
        <w:t>2.5</w:t>
      </w:r>
      <w:r>
        <w:t xml:space="preserve"> alone may induce systematic exposure misclassification for pollen-related particulate burden, whereas SPM is more aligned with the relevant allergen-carrying size spectrum.</w:t>
      </w:r>
    </w:p>
    <w:p w14:paraId="213534C5" w14:textId="77777777" w:rsidR="008928F8" w:rsidRDefault="00000000">
      <w:pPr>
        <w:pStyle w:val="2"/>
      </w:pPr>
      <w:bookmarkStart w:id="27" w:name="X47ecfbc93bdbe42726861efbf1e6e414d5a8298"/>
      <w:bookmarkEnd w:id="26"/>
      <w:r>
        <w:t xml:space="preserve">Interpreting the Suggestive Pollen </w:t>
      </w:r>
      <m:oMath>
        <m:r>
          <m:rPr>
            <m:sty m:val="p"/>
          </m:rPr>
          <w:rPr>
            <w:rFonts w:ascii="Cambria Math" w:hAnsi="Cambria Math"/>
          </w:rPr>
          <m:t>×</m:t>
        </m:r>
      </m:oMath>
      <w:r>
        <w:t xml:space="preserve"> SPM Interaction</w:t>
      </w:r>
    </w:p>
    <w:p w14:paraId="11361C72" w14:textId="77777777" w:rsidR="008928F8" w:rsidRDefault="00000000">
      <w:pPr>
        <w:pStyle w:val="FirstParagraph"/>
      </w:pPr>
      <w:r>
        <w:t xml:space="preserve">The positive pollen </w:t>
      </w:r>
      <m:oMath>
        <m:r>
          <m:rPr>
            <m:sty m:val="p"/>
          </m:rPr>
          <w:rPr>
            <w:rFonts w:ascii="Cambria Math" w:hAnsi="Cambria Math"/>
          </w:rPr>
          <m:t>×</m:t>
        </m:r>
      </m:oMath>
      <w:r>
        <w:t xml:space="preserve"> SPM interaction in Model 6 (OLS p = 0.020; HC3 p = 0.066) should be interpreted as suggestive but mechanistically coherent. Experimental and epidemiological literature indicates that particulate matter can act as an adjuvant, enhancing inflammatory or IgE-mediated responses to inhaled allergens (21–23). Compared with PM</w:t>
      </w:r>
      <w:r>
        <w:rPr>
          <w:vertAlign w:val="subscript"/>
        </w:rPr>
        <w:t>2.5</w:t>
      </w:r>
      <w:r>
        <w:t>, the coarse fraction more strongly reflects road dust resuspension and mixed crustal/traffic particles, which can co-occur with allergen fragments during high-dispersion periods.</w:t>
      </w:r>
    </w:p>
    <w:p w14:paraId="63EE01B3" w14:textId="77777777" w:rsidR="008928F8" w:rsidRDefault="00000000">
      <w:pPr>
        <w:pStyle w:val="a0"/>
      </w:pPr>
      <w:r>
        <w:t>Evidence from Japanese urban settings also indicates that particulate burden can modify pollen-health associations at short timescales, supporting effect-modification frameworks rather than purely additive models (24,25). The attenuation of interaction significance under HC3 in our data is therefore best viewed as a power/precision issue in a 47-prefecture ecological setting, not as definitive evidence against interaction.</w:t>
      </w:r>
    </w:p>
    <w:p w14:paraId="3CC42A63" w14:textId="77777777" w:rsidR="008928F8" w:rsidRDefault="00000000">
      <w:pPr>
        <w:pStyle w:val="2"/>
      </w:pPr>
      <w:bookmarkStart w:id="28" w:name="X8b2d14ff7918fee8dd4c57682bbbd08f979de00"/>
      <w:bookmarkEnd w:id="27"/>
      <w:r>
        <w:t>Exposure Indicator Validity: Observed Pollen Versus Forest Proxy</w:t>
      </w:r>
    </w:p>
    <w:p w14:paraId="4C9AE331" w14:textId="77777777" w:rsidR="008928F8" w:rsidRDefault="00000000">
      <w:pPr>
        <w:pStyle w:val="FirstParagraph"/>
      </w:pPr>
      <w:r>
        <w:t>One of the most methodologically important results is that observed pollen counts substantially outperformed forest area ratio despite no correlation between them (r = –0.009). Forest ratio represents static source potential, while observed pollen integrates dynamic processes including release timing, long-range transport, meteorological modulation, and local resuspension (26–28).</w:t>
      </w:r>
    </w:p>
    <w:p w14:paraId="6D0AB6B9" w14:textId="77777777" w:rsidR="008928F8" w:rsidRDefault="00000000">
      <w:pPr>
        <w:pStyle w:val="a0"/>
      </w:pPr>
      <w:r>
        <w:t xml:space="preserve">This distinction matters because ecological inference is highly sensitive to exposure definition. If a proxy does not track what populations actually inhale, coefficient estimates may be biased toward the null or may represent a different construct </w:t>
      </w:r>
      <w:r>
        <w:lastRenderedPageBreak/>
        <w:t>entirely. Our results therefore support a practical recommendation: for ecological allergy models, direct observation-based pollen indicators should be prioritized whenever available, and land-cover proxies should be treated as secondary sensitivity variables rather than primary exposures.</w:t>
      </w:r>
    </w:p>
    <w:p w14:paraId="4F10D4F0" w14:textId="77777777" w:rsidR="008928F8" w:rsidRDefault="00000000">
      <w:pPr>
        <w:pStyle w:val="2"/>
      </w:pPr>
      <w:bookmarkStart w:id="29" w:name="X225ad6fdedf55681dcb455dc915705b3b6b84f3"/>
      <w:bookmarkEnd w:id="28"/>
      <w:r>
        <w:t>Population Density, Urbanization, and Immunologic Susceptibility</w:t>
      </w:r>
    </w:p>
    <w:p w14:paraId="53C5CD3C" w14:textId="77777777" w:rsidR="008928F8" w:rsidRDefault="00000000">
      <w:pPr>
        <w:pStyle w:val="FirstParagraph"/>
      </w:pPr>
      <w:r>
        <w:t>Population density remained robustly associated with prescriptions (Model 6 HC3 p = 0.006). A straightforward interpretation is differential healthcare access and prescribing opportunity in urban areas. However, this epidemiologic signal may also reflect biological susceptibility patterns associated with urbanization. The original hygiene hypothesis and its modern biodiversity-oriented extension propose that reduced environmental microbial diversity may impair immune tolerance and increase allergic sensitization propensity (29–31).</w:t>
      </w:r>
    </w:p>
    <w:p w14:paraId="665F4CAA" w14:textId="77777777" w:rsidR="008928F8" w:rsidRDefault="00000000">
      <w:pPr>
        <w:pStyle w:val="a0"/>
      </w:pPr>
      <w:r>
        <w:t>Built environments and highly urbanized indoor ecosystems tend to have lower environmental microbiome diversity than less urban settings, potentially contributing to population-level differences in allergy vulnerability (32,33). In parallel, Japanese cohort evidence links reduced gut microbial diversity to inhalant sensitization patterns, underscoring that immune tolerance may be shaped by multiple microbial compartments beyond the respiratory tract (34). Our ecological design cannot resolve these pathways directly, but the consistency of the population-density signal across specifications suggests that urban context should be treated as more than a generic covariate in future causal models.</w:t>
      </w:r>
    </w:p>
    <w:p w14:paraId="710CF5BD" w14:textId="77777777" w:rsidR="008928F8" w:rsidRDefault="00000000">
      <w:pPr>
        <w:pStyle w:val="2"/>
      </w:pPr>
      <w:bookmarkStart w:id="30" w:name="X20da69b663d6abbd3179a712de9bc1316645ad8"/>
      <w:bookmarkEnd w:id="29"/>
      <w:r>
        <w:t>Subgroup Pattern and the OTC Data-Capture Gap</w:t>
      </w:r>
    </w:p>
    <w:p w14:paraId="193C47A7" w14:textId="77777777" w:rsidR="008928F8" w:rsidRDefault="00000000">
      <w:pPr>
        <w:pStyle w:val="FirstParagraph"/>
      </w:pPr>
      <w:r>
        <w:t>The subgroup pattern was dominated by antihistamine prescriptions (94.5% of total), while ophthalmic and nasal categories were non-significant. This does not necessarily indicate absence of ocular or nasal symptom burden. Instead, it may reflect differential observability in claims data: physician-prescribed oral antihistamines are comprehensively captured in NDB, whereas self-medicated over-the-counter (OTC) topical products are not (35,36).</w:t>
      </w:r>
    </w:p>
    <w:p w14:paraId="38958C0A" w14:textId="77777777" w:rsidR="008928F8" w:rsidRDefault="00000000">
      <w:pPr>
        <w:pStyle w:val="a0"/>
      </w:pPr>
      <w:r>
        <w:t>Recent Japanese infodemiology work has shown that allergy symptom dynamics in social media can closely track OTC sales, implying substantial demand occurring outside insurance claims (37). Accordingly, null associations for topical prescriptions should be interpreted with caution as potentially shaped by market structure and care-seeking behavior, not only by pathophysiology.</w:t>
      </w:r>
    </w:p>
    <w:p w14:paraId="5C2A2237" w14:textId="77777777" w:rsidR="008928F8" w:rsidRDefault="00000000">
      <w:pPr>
        <w:pStyle w:val="2"/>
      </w:pPr>
      <w:bookmarkStart w:id="31" w:name="X12e1e079eda5fb07d7b02033501152ce4b38fec"/>
      <w:bookmarkEnd w:id="30"/>
      <w:r>
        <w:lastRenderedPageBreak/>
        <w:t>Comparison with Prior Epidemiology and Policy Implications</w:t>
      </w:r>
    </w:p>
    <w:p w14:paraId="576F75DD" w14:textId="77777777" w:rsidR="008928F8" w:rsidRDefault="00000000">
      <w:pPr>
        <w:pStyle w:val="FirstParagraph"/>
      </w:pPr>
      <w:r>
        <w:t>International evidence consistently links air pollution, aeroallergens, and allergic outcomes, but many models prioritize PM</w:t>
      </w:r>
      <w:r>
        <w:rPr>
          <w:vertAlign w:val="subscript"/>
        </w:rPr>
        <w:t>2.5</w:t>
      </w:r>
      <w:r>
        <w:t xml:space="preserve"> by convention (7,38,39). Our findings suggest that for pollen-related endpoints, Japanese SPM may provide a more etiologically aligned indicator than PM</w:t>
      </w:r>
      <w:r>
        <w:rPr>
          <w:vertAlign w:val="subscript"/>
        </w:rPr>
        <w:t>2.5</w:t>
      </w:r>
      <w:r>
        <w:t>, particularly when interaction mechanisms are plausible.</w:t>
      </w:r>
    </w:p>
    <w:p w14:paraId="6A098FFA" w14:textId="77777777" w:rsidR="008928F8" w:rsidRDefault="00000000">
      <w:pPr>
        <w:pStyle w:val="a0"/>
      </w:pPr>
      <w:r>
        <w:t>From a public-health perspective, this supports three actions: (1) integrate pollen and coarse-particle surveillance in seasonal risk communication; (2) avoid substituting static forestry metrics for measured pollen in burden estimation; and (3) interpret prefectural prescription trends with explicit awareness of OTC leakage. These steps are low-cost methodological upgrades that can improve ecological monitoring quality before individual-level linked datasets become available.</w:t>
      </w:r>
    </w:p>
    <w:p w14:paraId="0BE54ADB" w14:textId="77777777" w:rsidR="008928F8" w:rsidRDefault="00000000">
      <w:pPr>
        <w:pStyle w:val="2"/>
      </w:pPr>
      <w:bookmarkStart w:id="32" w:name="strengths-and-limitations"/>
      <w:bookmarkEnd w:id="31"/>
      <w:r>
        <w:t>Strengths and Limitations</w:t>
      </w:r>
    </w:p>
    <w:p w14:paraId="76756FA6" w14:textId="77777777" w:rsidR="008928F8" w:rsidRDefault="00000000">
      <w:pPr>
        <w:pStyle w:val="FirstParagraph"/>
      </w:pPr>
      <w:r>
        <w:t>This study has several strengths: nationwide coverage across all 47 prefectures, explicit head-to-head model comparison of PM specifications, robustness checks under six sensitivity settings, and spatial autocorrelation diagnostics confirming that non-spatial OLS residual dependence was not a major concern.</w:t>
      </w:r>
    </w:p>
    <w:p w14:paraId="12492712" w14:textId="77777777" w:rsidR="008928F8" w:rsidRDefault="00000000">
      <w:pPr>
        <w:pStyle w:val="a0"/>
      </w:pPr>
      <w:r>
        <w:t>Several limitations remain. First, ecological design precludes individual-level causal inference and is vulnerable to ecological fallacy (14,40). Second, pollen was represented by one observation point per prefecture capital, which may not capture within-prefecture microclimatic heterogeneity. Third, time alignment is imperfect between fiscal-year prescriptions and seasonal pollen dispersal. Fourth, unmeasured confounding (socioeconomic context, specialist distribution, climate, and behavioral avoidance) may persist. Fifth, PM</w:t>
      </w:r>
      <w:r>
        <w:rPr>
          <w:vertAlign w:val="subscript"/>
        </w:rPr>
        <w:t>2.5</w:t>
      </w:r>
      <w:r>
        <w:t xml:space="preserve"> and SPM were highly correlated and therefore modeled separately, preventing direct decomposition of independent effects. Sixth, interaction inference is sample-size sensitive in N = 47 settings, so the pollen </w:t>
      </w:r>
      <m:oMath>
        <m:r>
          <m:rPr>
            <m:sty m:val="p"/>
          </m:rPr>
          <w:rPr>
            <w:rFonts w:ascii="Cambria Math" w:hAnsi="Cambria Math"/>
          </w:rPr>
          <m:t>×</m:t>
        </m:r>
      </m:oMath>
      <w:r>
        <w:t xml:space="preserve"> SPM signal should be treated as provisional pending confirmation in higher-resolution time-series or individual-level designs.</w:t>
      </w:r>
    </w:p>
    <w:p w14:paraId="1B6CA972" w14:textId="77777777" w:rsidR="008928F8" w:rsidRDefault="00000000">
      <w:pPr>
        <w:pStyle w:val="1"/>
      </w:pPr>
      <w:bookmarkStart w:id="33" w:name="conclusions"/>
      <w:bookmarkEnd w:id="24"/>
      <w:bookmarkEnd w:id="32"/>
      <w:r>
        <w:t>Conclusions</w:t>
      </w:r>
    </w:p>
    <w:p w14:paraId="32AD2DF7" w14:textId="77777777" w:rsidR="008928F8" w:rsidRDefault="00000000">
      <w:pPr>
        <w:pStyle w:val="FirstParagraph"/>
      </w:pPr>
      <w:r>
        <w:t>This prefecture-level ecological study demonstrates that SPM-based models provide more robust and better-fitting estimation of pollen–allergy medication associations than PM</w:t>
      </w:r>
      <w:r>
        <w:rPr>
          <w:vertAlign w:val="subscript"/>
        </w:rPr>
        <w:t>2.5</w:t>
      </w:r>
      <w:r>
        <w:t>-based models across 47 Japanese prefectures. The pollen main effect maintained significance across all six sensitivity specifications in the SPM model (p = 0.006–0.045) but was attenuated in the PM</w:t>
      </w:r>
      <w:r>
        <w:rPr>
          <w:vertAlign w:val="subscript"/>
        </w:rPr>
        <w:t>2.5</w:t>
      </w:r>
      <w:r>
        <w:t xml:space="preserve"> model under robust standard errors (p = 0.082). This particle-size-dependent model performance is consistent with the </w:t>
      </w:r>
      <w:r>
        <w:lastRenderedPageBreak/>
        <w:t>biological hypothesis that the coarser particulate fraction (</w:t>
      </w:r>
      <m:oMath>
        <m:r>
          <m:rPr>
            <m:sty m:val="p"/>
          </m:rPr>
          <w:rPr>
            <w:rFonts w:ascii="Cambria Math" w:hAnsi="Cambria Math"/>
          </w:rPr>
          <m:t>≤</m:t>
        </m:r>
      </m:oMath>
      <w:r>
        <w:t xml:space="preserve"> 10 </w:t>
      </w:r>
      <m:oMath>
        <m:r>
          <w:rPr>
            <w:rFonts w:ascii="Cambria Math" w:hAnsi="Cambria Math"/>
          </w:rPr>
          <m:t>μ</m:t>
        </m:r>
      </m:oMath>
      <w:r>
        <w:t>m) covaries more closely with pollen-derived allergenic fragments than the fine fraction (</w:t>
      </w:r>
      <m:oMath>
        <m:r>
          <m:rPr>
            <m:sty m:val="p"/>
          </m:rPr>
          <w:rPr>
            <w:rFonts w:ascii="Cambria Math" w:hAnsi="Cambria Math"/>
          </w:rPr>
          <m:t>≤</m:t>
        </m:r>
      </m:oMath>
      <w:r>
        <w:t xml:space="preserve"> 2.5 </w:t>
      </w:r>
      <m:oMath>
        <m:r>
          <w:rPr>
            <w:rFonts w:ascii="Cambria Math" w:hAnsi="Cambria Math"/>
          </w:rPr>
          <m:t>μ</m:t>
        </m:r>
      </m:oMath>
      <w:r>
        <w:t xml:space="preserve">m). A suggestive pollen </w:t>
      </w:r>
      <m:oMath>
        <m:r>
          <m:rPr>
            <m:sty m:val="p"/>
          </m:rPr>
          <w:rPr>
            <w:rFonts w:ascii="Cambria Math" w:hAnsi="Cambria Math"/>
          </w:rPr>
          <m:t>×</m:t>
        </m:r>
      </m:oMath>
      <w:r>
        <w:t xml:space="preserve"> SPM synergy (OLS p = 0.020, HC3 p = 0.066) warrants investigation in individual-level and time-series designs with greater statistical power. Additionally, actual pollen observation data substantially outperforms forest area ratio as an exposure indicator (</w:t>
      </w:r>
      <m:oMath>
        <m:r>
          <w:rPr>
            <w:rFonts w:ascii="Cambria Math" w:hAnsi="Cambria Math"/>
          </w:rPr>
          <m:t>Δ</m:t>
        </m:r>
      </m:oMath>
      <w:r>
        <w:t>AIC = 7.7), despite the two being uncorrelated — underscoring the importance of direct pollen monitoring in ecological allergy research.</w:t>
      </w:r>
    </w:p>
    <w:p w14:paraId="38C9355F" w14:textId="77777777" w:rsidR="008928F8" w:rsidRDefault="00000000">
      <w:pPr>
        <w:pStyle w:val="1"/>
      </w:pPr>
      <w:bookmarkStart w:id="34" w:name="references"/>
      <w:bookmarkEnd w:id="33"/>
      <w:r>
        <w:t>References</w:t>
      </w:r>
    </w:p>
    <w:p w14:paraId="1A1152C8" w14:textId="77777777" w:rsidR="008928F8" w:rsidRDefault="00000000">
      <w:pPr>
        <w:pStyle w:val="a9"/>
      </w:pPr>
      <w:bookmarkStart w:id="35" w:name="ref-bousquet2008allergic"/>
      <w:bookmarkStart w:id="36" w:name="refs"/>
      <w:r>
        <w:t xml:space="preserve">1. </w:t>
      </w:r>
      <w:r>
        <w:tab/>
        <w:t xml:space="preserve">Bousquet J, Khaltaev N, Cruz AA, et al. </w:t>
      </w:r>
      <w:hyperlink r:id="rId5">
        <w:r>
          <w:rPr>
            <w:rStyle w:val="af"/>
          </w:rPr>
          <w:t>Allergic rhinitis and its impact on asthma (ARIA) 2008 update (in collaboration with the World Health Organization, GA(2)LEN and AllerGen)</w:t>
        </w:r>
      </w:hyperlink>
      <w:r>
        <w:t xml:space="preserve">. Allergy. 2008;63(Suppl 86):8–160. </w:t>
      </w:r>
    </w:p>
    <w:p w14:paraId="25A19142" w14:textId="77777777" w:rsidR="008928F8" w:rsidRDefault="00000000">
      <w:pPr>
        <w:pStyle w:val="a9"/>
      </w:pPr>
      <w:bookmarkStart w:id="37" w:name="ref-okano2023guideline"/>
      <w:bookmarkEnd w:id="35"/>
      <w:r>
        <w:t xml:space="preserve">2. </w:t>
      </w:r>
      <w:r>
        <w:tab/>
        <w:t xml:space="preserve">Okano M, Fujieda S, Gotoh M, Kurono Y, Matsubara A, Ohta N, et al. </w:t>
      </w:r>
      <w:hyperlink r:id="rId6">
        <w:r>
          <w:rPr>
            <w:rStyle w:val="af"/>
          </w:rPr>
          <w:t>Executive summary: Japanese guidelines for allergic rhinitis 2020</w:t>
        </w:r>
      </w:hyperlink>
      <w:r>
        <w:t xml:space="preserve">. Allergology International. 2023;72(1):41–53. </w:t>
      </w:r>
    </w:p>
    <w:p w14:paraId="424E5935" w14:textId="77777777" w:rsidR="008928F8" w:rsidRDefault="00000000">
      <w:pPr>
        <w:pStyle w:val="a9"/>
      </w:pPr>
      <w:bookmarkStart w:id="38" w:name="ref-saito2014jcp"/>
      <w:bookmarkEnd w:id="37"/>
      <w:r>
        <w:t xml:space="preserve">3. </w:t>
      </w:r>
      <w:r>
        <w:tab/>
        <w:t xml:space="preserve">Saito Y. </w:t>
      </w:r>
      <w:hyperlink r:id="rId7">
        <w:r>
          <w:rPr>
            <w:rStyle w:val="af"/>
          </w:rPr>
          <w:t>Japanese cedar pollinosis: Discovery, nomenclature, and epidemiological trends</w:t>
        </w:r>
      </w:hyperlink>
      <w:r>
        <w:t xml:space="preserve">. Proceedings of the Japan Academy, Series B, Physical and Biological Sciences. 2014;90(6):203–10. </w:t>
      </w:r>
    </w:p>
    <w:p w14:paraId="52C123FD" w14:textId="77777777" w:rsidR="008928F8" w:rsidRDefault="00000000">
      <w:pPr>
        <w:pStyle w:val="a9"/>
      </w:pPr>
      <w:bookmarkStart w:id="39" w:name="ref-d2015effects"/>
      <w:bookmarkEnd w:id="38"/>
      <w:r>
        <w:t xml:space="preserve">4. </w:t>
      </w:r>
      <w:r>
        <w:tab/>
        <w:t xml:space="preserve">D’Amato G, Holgate ST, Pawankar R, et al. </w:t>
      </w:r>
      <w:hyperlink r:id="rId8">
        <w:r>
          <w:rPr>
            <w:rStyle w:val="af"/>
          </w:rPr>
          <w:t>Meteorological conditions, climate change, new emerging factors, and asthma and related allergic disorders. A statement of the World Allergy Organization</w:t>
        </w:r>
      </w:hyperlink>
      <w:r>
        <w:t xml:space="preserve">. The World Allergy Organization Journal. 2015;8(1):25. </w:t>
      </w:r>
    </w:p>
    <w:p w14:paraId="568E83AA" w14:textId="77777777" w:rsidR="008928F8" w:rsidRDefault="00000000">
      <w:pPr>
        <w:pStyle w:val="a9"/>
      </w:pPr>
      <w:bookmarkStart w:id="40" w:name="ref-burbank2017environmental"/>
      <w:bookmarkEnd w:id="39"/>
      <w:r>
        <w:t xml:space="preserve">5. </w:t>
      </w:r>
      <w:r>
        <w:tab/>
        <w:t xml:space="preserve">Burbank AJ, Sood A, Kesic MJ, Peden DB, Hernandez ML. </w:t>
      </w:r>
      <w:hyperlink r:id="rId9">
        <w:r>
          <w:rPr>
            <w:rStyle w:val="af"/>
          </w:rPr>
          <w:t>Environmental determinants of allergy and asthma in early life</w:t>
        </w:r>
      </w:hyperlink>
      <w:r>
        <w:t xml:space="preserve">. Journal of Allergy and Clinical Immunology. 2017;140(1):1–12. </w:t>
      </w:r>
    </w:p>
    <w:p w14:paraId="345DFA08" w14:textId="77777777" w:rsidR="008928F8" w:rsidRDefault="00000000">
      <w:pPr>
        <w:pStyle w:val="a9"/>
      </w:pPr>
      <w:bookmarkStart w:id="41" w:name="ref-cecchi2010projections"/>
      <w:bookmarkEnd w:id="40"/>
      <w:r>
        <w:t xml:space="preserve">6. </w:t>
      </w:r>
      <w:r>
        <w:tab/>
        <w:t xml:space="preserve">Cecchi L, D’Amato G, Ayres JG, et al. </w:t>
      </w:r>
      <w:hyperlink r:id="rId10">
        <w:r>
          <w:rPr>
            <w:rStyle w:val="af"/>
          </w:rPr>
          <w:t>Projections of the effects of climate change on allergic asthma: The contribution of aerobiology</w:t>
        </w:r>
      </w:hyperlink>
      <w:r>
        <w:t xml:space="preserve">. Allergy. 2010;65(9):1073–81. </w:t>
      </w:r>
    </w:p>
    <w:p w14:paraId="144DE69E" w14:textId="77777777" w:rsidR="008928F8" w:rsidRDefault="00000000">
      <w:pPr>
        <w:pStyle w:val="a9"/>
      </w:pPr>
      <w:bookmarkStart w:id="42" w:name="ref-andersen2012long"/>
      <w:bookmarkEnd w:id="41"/>
      <w:r>
        <w:t xml:space="preserve">7. </w:t>
      </w:r>
      <w:r>
        <w:tab/>
        <w:t xml:space="preserve">Andersen ZJ, Bønnelykke K, Hvidberg M, Jensen SS, Ketzel M, Loft S, et al. </w:t>
      </w:r>
      <w:hyperlink r:id="rId11">
        <w:r>
          <w:rPr>
            <w:rStyle w:val="af"/>
          </w:rPr>
          <w:t>Long-term exposure to air pollution and asthma hospitalisations in older adults: A cohort study</w:t>
        </w:r>
      </w:hyperlink>
      <w:r>
        <w:t xml:space="preserve">. Thorax. 2012;67(1):6–11. </w:t>
      </w:r>
    </w:p>
    <w:p w14:paraId="0B94E97C" w14:textId="77777777" w:rsidR="008928F8" w:rsidRDefault="00000000">
      <w:pPr>
        <w:pStyle w:val="a9"/>
      </w:pPr>
      <w:bookmarkStart w:id="43" w:name="ref-taylor2002release"/>
      <w:bookmarkEnd w:id="42"/>
      <w:r>
        <w:t xml:space="preserve">8. </w:t>
      </w:r>
      <w:r>
        <w:tab/>
        <w:t xml:space="preserve">Taylor PE, Flagan RC, Valenta R, Glovsky MM. </w:t>
      </w:r>
      <w:hyperlink r:id="rId12">
        <w:r>
          <w:rPr>
            <w:rStyle w:val="af"/>
          </w:rPr>
          <w:t>Release of allergens as respirable aerosols: A link between grass pollen and asthma</w:t>
        </w:r>
      </w:hyperlink>
      <w:r>
        <w:t xml:space="preserve">. Journal of Allergy and Clinical Immunology. 2002;109(1):51–6. </w:t>
      </w:r>
    </w:p>
    <w:p w14:paraId="6ACDE25B" w14:textId="77777777" w:rsidR="008928F8" w:rsidRDefault="00000000">
      <w:pPr>
        <w:pStyle w:val="a9"/>
      </w:pPr>
      <w:bookmarkStart w:id="44" w:name="ref-mhlw2023ndb"/>
      <w:bookmarkEnd w:id="43"/>
      <w:r>
        <w:lastRenderedPageBreak/>
        <w:t xml:space="preserve">9. </w:t>
      </w:r>
      <w:r>
        <w:tab/>
        <w:t xml:space="preserve">Ministry of Health, Labour and Welfare. NDB Open Data (10th edition). https://www.mhlw.go.jp/stf/seisakunitsuite/bunya/0000177221_00016.html; 2023. </w:t>
      </w:r>
    </w:p>
    <w:p w14:paraId="7771B29E" w14:textId="77777777" w:rsidR="008928F8" w:rsidRDefault="00000000">
      <w:pPr>
        <w:pStyle w:val="a9"/>
      </w:pPr>
      <w:bookmarkStart w:id="45" w:name="ref-forestry2022"/>
      <w:bookmarkEnd w:id="44"/>
      <w:r>
        <w:t xml:space="preserve">10. </w:t>
      </w:r>
      <w:r>
        <w:tab/>
        <w:t xml:space="preserve">Forestry Agency, Ministry of Agriculture, Forestry and Fisheries. Current state of forest resources (as of march 31, 2022). https://www.rinya.maff.go.jp/j/keikaku/genkyou/r4/1.html; 2022. </w:t>
      </w:r>
    </w:p>
    <w:p w14:paraId="5FDE5773" w14:textId="77777777" w:rsidR="008928F8" w:rsidRDefault="00000000">
      <w:pPr>
        <w:pStyle w:val="a9"/>
      </w:pPr>
      <w:bookmarkStart w:id="46" w:name="ref-weathernews2023pollen"/>
      <w:bookmarkEnd w:id="45"/>
      <w:r>
        <w:t xml:space="preserve">11. </w:t>
      </w:r>
      <w:r>
        <w:tab/>
        <w:t xml:space="preserve">Weathernews Inc. Pollen observation data. </w:t>
      </w:r>
      <w:hyperlink r:id="rId13">
        <w:r>
          <w:rPr>
            <w:rStyle w:val="af"/>
          </w:rPr>
          <w:t>https://wxtech.weathernews.com/pollen/index.html</w:t>
        </w:r>
      </w:hyperlink>
      <w:r>
        <w:t xml:space="preserve">; 2023. </w:t>
      </w:r>
    </w:p>
    <w:p w14:paraId="6FCDC0F3" w14:textId="77777777" w:rsidR="008928F8" w:rsidRDefault="00000000">
      <w:pPr>
        <w:pStyle w:val="a9"/>
      </w:pPr>
      <w:bookmarkStart w:id="47" w:name="ref-nies2023air"/>
      <w:bookmarkEnd w:id="46"/>
      <w:r>
        <w:t xml:space="preserve">12. </w:t>
      </w:r>
      <w:r>
        <w:tab/>
        <w:t xml:space="preserve">National Institute for Environmental Studies. Atmospheric environmental regional observation system. https://tenbou.nies.go.jp/download/; 2023. </w:t>
      </w:r>
    </w:p>
    <w:p w14:paraId="437012E1" w14:textId="77777777" w:rsidR="008928F8" w:rsidRDefault="00000000">
      <w:pPr>
        <w:pStyle w:val="a9"/>
      </w:pPr>
      <w:bookmarkStart w:id="48" w:name="ref-moran1950notes"/>
      <w:bookmarkEnd w:id="47"/>
      <w:r>
        <w:t xml:space="preserve">13. </w:t>
      </w:r>
      <w:r>
        <w:tab/>
        <w:t xml:space="preserve">Moran PA. </w:t>
      </w:r>
      <w:hyperlink r:id="rId14">
        <w:r>
          <w:rPr>
            <w:rStyle w:val="af"/>
          </w:rPr>
          <w:t>Notes on continuous stochastic phenomena</w:t>
        </w:r>
      </w:hyperlink>
      <w:r>
        <w:t xml:space="preserve">. Biometrika. 1950;37(1-2):17–23. </w:t>
      </w:r>
    </w:p>
    <w:p w14:paraId="3D910B18" w14:textId="77777777" w:rsidR="008928F8" w:rsidRDefault="00000000">
      <w:pPr>
        <w:pStyle w:val="a9"/>
      </w:pPr>
      <w:bookmarkStart w:id="49" w:name="ref-elliott2004spatial"/>
      <w:bookmarkEnd w:id="48"/>
      <w:r>
        <w:t xml:space="preserve">14. </w:t>
      </w:r>
      <w:r>
        <w:tab/>
        <w:t xml:space="preserve">Elliott P, Wartenberg D. </w:t>
      </w:r>
      <w:hyperlink r:id="rId15">
        <w:r>
          <w:rPr>
            <w:rStyle w:val="af"/>
          </w:rPr>
          <w:t>Spatial epidemiology: Current approaches and future challenges</w:t>
        </w:r>
      </w:hyperlink>
      <w:r>
        <w:t xml:space="preserve">. Environmental Health Perspectives. 2004;112(9):998–1006. </w:t>
      </w:r>
    </w:p>
    <w:p w14:paraId="00636AE5" w14:textId="77777777" w:rsidR="008928F8" w:rsidRDefault="00000000">
      <w:pPr>
        <w:pStyle w:val="a9"/>
      </w:pPr>
      <w:bookmarkStart w:id="50" w:name="ref-demain2018climate"/>
      <w:bookmarkEnd w:id="49"/>
      <w:r>
        <w:t xml:space="preserve">15. </w:t>
      </w:r>
      <w:r>
        <w:tab/>
        <w:t xml:space="preserve">Demain JG. </w:t>
      </w:r>
      <w:hyperlink r:id="rId16">
        <w:r>
          <w:rPr>
            <w:rStyle w:val="af"/>
          </w:rPr>
          <w:t>Climate change and the impact on respiratory and allergic disease: 2018</w:t>
        </w:r>
      </w:hyperlink>
      <w:r>
        <w:t xml:space="preserve">. Current Allergy and Asthma Reports. 2018;18(4):22. </w:t>
      </w:r>
    </w:p>
    <w:p w14:paraId="01087823" w14:textId="77777777" w:rsidR="008928F8" w:rsidRDefault="00000000">
      <w:pPr>
        <w:pStyle w:val="a9"/>
      </w:pPr>
      <w:bookmarkStart w:id="51" w:name="ref-suphioglu1998thunderstorm"/>
      <w:bookmarkEnd w:id="50"/>
      <w:r>
        <w:t xml:space="preserve">16. </w:t>
      </w:r>
      <w:r>
        <w:tab/>
        <w:t xml:space="preserve">Suphioglu C. </w:t>
      </w:r>
      <w:hyperlink r:id="rId17">
        <w:r>
          <w:rPr>
            <w:rStyle w:val="af"/>
          </w:rPr>
          <w:t>Thunderstorm asthma due to grass pollen</w:t>
        </w:r>
      </w:hyperlink>
      <w:r>
        <w:t xml:space="preserve">. International Archives of Allergy and Immunology. 1998;116(4):253–60. </w:t>
      </w:r>
    </w:p>
    <w:p w14:paraId="3CF578E2" w14:textId="77777777" w:rsidR="008928F8" w:rsidRDefault="00000000">
      <w:pPr>
        <w:pStyle w:val="a9"/>
      </w:pPr>
      <w:bookmarkStart w:id="52" w:name="ref-bacsi2006pollen"/>
      <w:bookmarkEnd w:id="51"/>
      <w:r>
        <w:t xml:space="preserve">17. </w:t>
      </w:r>
      <w:r>
        <w:tab/>
        <w:t xml:space="preserve">Bácsi A, Choudhury BK, Dharajiya N, Sur S, Boldogh I. </w:t>
      </w:r>
      <w:hyperlink r:id="rId18">
        <w:r>
          <w:rPr>
            <w:rStyle w:val="af"/>
          </w:rPr>
          <w:t>Subpollen particles: Carriers of allergenic proteins and oxidases</w:t>
        </w:r>
      </w:hyperlink>
      <w:r>
        <w:t xml:space="preserve">. Journal of Allergy and Clinical Immunology. 2006;118(4):844–50. </w:t>
      </w:r>
    </w:p>
    <w:p w14:paraId="302B57B9" w14:textId="77777777" w:rsidR="008928F8" w:rsidRDefault="00000000">
      <w:pPr>
        <w:pStyle w:val="a9"/>
      </w:pPr>
      <w:bookmarkStart w:id="53" w:name="ref-schappi1999grassgroup5"/>
      <w:bookmarkEnd w:id="52"/>
      <w:r>
        <w:t xml:space="preserve">18. </w:t>
      </w:r>
      <w:r>
        <w:tab/>
        <w:t xml:space="preserve">Schäppi GF, Taylor PE, Pain MC, Cameron PA, Dent AW, Staff IA, et al. </w:t>
      </w:r>
      <w:hyperlink r:id="rId19">
        <w:r>
          <w:rPr>
            <w:rStyle w:val="af"/>
          </w:rPr>
          <w:t>Concentrations of major grass group 5 allergens in pollen grains and atmospheric particles: Implications for hay fever and allergic asthma sufferers sensitized to grass pollen allergens</w:t>
        </w:r>
      </w:hyperlink>
      <w:r>
        <w:t xml:space="preserve">. Clinical &amp; Experimental Allergy. 1999;29(5):633–41. </w:t>
      </w:r>
    </w:p>
    <w:p w14:paraId="09D1164C" w14:textId="77777777" w:rsidR="008928F8" w:rsidRDefault="00000000">
      <w:pPr>
        <w:pStyle w:val="a9"/>
      </w:pPr>
      <w:bookmarkStart w:id="54" w:name="ref-mampage2022subpollen"/>
      <w:bookmarkEnd w:id="53"/>
      <w:r>
        <w:t xml:space="preserve">19. </w:t>
      </w:r>
      <w:r>
        <w:tab/>
        <w:t xml:space="preserve">Mampage CBA, Hughes DD, Jones LM, Metwali N, Thorne PS, Stone EA. </w:t>
      </w:r>
      <w:hyperlink r:id="rId20">
        <w:r>
          <w:rPr>
            <w:rStyle w:val="af"/>
          </w:rPr>
          <w:t>Characterization of sub-pollen particles in size-resolved atmospheric aerosol using chemical tracers</w:t>
        </w:r>
      </w:hyperlink>
      <w:r>
        <w:t xml:space="preserve">. Atmospheric Environment: X. 2022;15:100177. </w:t>
      </w:r>
    </w:p>
    <w:p w14:paraId="35511D07" w14:textId="77777777" w:rsidR="008928F8" w:rsidRDefault="00000000">
      <w:pPr>
        <w:pStyle w:val="a9"/>
      </w:pPr>
      <w:bookmarkStart w:id="55" w:name="ref-takahashi1991cedarallergen"/>
      <w:bookmarkEnd w:id="54"/>
      <w:r>
        <w:t xml:space="preserve">20. </w:t>
      </w:r>
      <w:r>
        <w:tab/>
        <w:t xml:space="preserve">Takahashi Y, Sakaguchi M, Inouye S, Miyazawa H, Imaoka K, Katagiri S. </w:t>
      </w:r>
      <w:hyperlink r:id="rId21">
        <w:r>
          <w:rPr>
            <w:rStyle w:val="af"/>
          </w:rPr>
          <w:t>Existence of exine-free airborne allergen particles of Japanese cedar (Cryptomeria japonica) pollen</w:t>
        </w:r>
      </w:hyperlink>
      <w:r>
        <w:t xml:space="preserve">. Allergy. 1991;46(8):588–93. </w:t>
      </w:r>
    </w:p>
    <w:p w14:paraId="03D370F6" w14:textId="77777777" w:rsidR="008928F8" w:rsidRDefault="00000000">
      <w:pPr>
        <w:pStyle w:val="a9"/>
      </w:pPr>
      <w:bookmarkStart w:id="56" w:name="ref-diaz-sanchez1997diesel"/>
      <w:bookmarkEnd w:id="55"/>
      <w:r>
        <w:t xml:space="preserve">21. </w:t>
      </w:r>
      <w:r>
        <w:tab/>
        <w:t xml:space="preserve">Diaz-Sanchez D, Tsien A, Fleming J, Saxon A. </w:t>
      </w:r>
      <w:hyperlink r:id="rId22">
        <w:r>
          <w:rPr>
            <w:rStyle w:val="af"/>
          </w:rPr>
          <w:t xml:space="preserve">Combined diesel exhaust particulate and ragweed allergen challenge markedly enhances human in vivo nasal </w:t>
        </w:r>
        <w:r>
          <w:rPr>
            <w:rStyle w:val="af"/>
          </w:rPr>
          <w:lastRenderedPageBreak/>
          <w:t>ragweed-specific IgE and skews cytokine production to a T helper cell 2-type pattern</w:t>
        </w:r>
      </w:hyperlink>
      <w:r>
        <w:t xml:space="preserve">. Journal of Immunology. 1997;158(5):2406–13. </w:t>
      </w:r>
    </w:p>
    <w:p w14:paraId="61A1318E" w14:textId="77777777" w:rsidR="008928F8" w:rsidRDefault="00000000">
      <w:pPr>
        <w:pStyle w:val="a9"/>
      </w:pPr>
      <w:bookmarkStart w:id="57" w:name="ref-devalia1997pollution"/>
      <w:bookmarkEnd w:id="56"/>
      <w:r>
        <w:t xml:space="preserve">22. </w:t>
      </w:r>
      <w:r>
        <w:tab/>
        <w:t xml:space="preserve">Devalia JL, Bayram H, Rusznak C, Calderón M, Sapsford RJ, Abdelaziz MA, et al. </w:t>
      </w:r>
      <w:hyperlink r:id="rId23">
        <w:r>
          <w:rPr>
            <w:rStyle w:val="af"/>
          </w:rPr>
          <w:t>Mechanisms of pollution-induced airway disease: In vitro studies in the upper and lower airways</w:t>
        </w:r>
      </w:hyperlink>
      <w:r>
        <w:t xml:space="preserve">. Allergy. 1997;52(38 Suppl):45–51. </w:t>
      </w:r>
    </w:p>
    <w:p w14:paraId="7FF70A85" w14:textId="77777777" w:rsidR="008928F8" w:rsidRDefault="00000000">
      <w:pPr>
        <w:pStyle w:val="a9"/>
      </w:pPr>
      <w:bookmarkStart w:id="58" w:name="ref-schultz2017allergic_air"/>
      <w:bookmarkEnd w:id="57"/>
      <w:r>
        <w:t xml:space="preserve">23. </w:t>
      </w:r>
      <w:r>
        <w:tab/>
        <w:t xml:space="preserve">Schultz AA, Schauer JJ, Malecki KM. </w:t>
      </w:r>
      <w:hyperlink r:id="rId24">
        <w:r>
          <w:rPr>
            <w:rStyle w:val="af"/>
          </w:rPr>
          <w:t>Allergic disease associations with regional and localized estimates of air pollution</w:t>
        </w:r>
      </w:hyperlink>
      <w:r>
        <w:t xml:space="preserve">. Environmental Research. 2017;155:77–85. </w:t>
      </w:r>
    </w:p>
    <w:p w14:paraId="435B8CC6" w14:textId="77777777" w:rsidR="008928F8" w:rsidRDefault="00000000">
      <w:pPr>
        <w:pStyle w:val="a9"/>
      </w:pPr>
      <w:bookmarkStart w:id="59" w:name="ref-phosri2017interactive"/>
      <w:bookmarkEnd w:id="58"/>
      <w:r>
        <w:t xml:space="preserve">24. </w:t>
      </w:r>
      <w:r>
        <w:tab/>
        <w:t xml:space="preserve">Phosri A, Ueda K, Tasmin S, Kishikawa R, Hayashi M, Hara K, et al. </w:t>
      </w:r>
      <w:hyperlink r:id="rId25">
        <w:r>
          <w:rPr>
            <w:rStyle w:val="af"/>
          </w:rPr>
          <w:t>Interactive effects of specific fine particulate matter compositions and airborne pollen on frequency of clinic visits for pollinosis in Fukuoka, Japan</w:t>
        </w:r>
      </w:hyperlink>
      <w:r>
        <w:t xml:space="preserve">. Environmental Research. 2017;156:411–9. </w:t>
      </w:r>
    </w:p>
    <w:p w14:paraId="2A345688" w14:textId="77777777" w:rsidR="008928F8" w:rsidRDefault="00000000">
      <w:pPr>
        <w:pStyle w:val="a9"/>
      </w:pPr>
      <w:bookmarkStart w:id="60" w:name="ref-konishi2014pollinosis"/>
      <w:bookmarkEnd w:id="59"/>
      <w:r>
        <w:t xml:space="preserve">25. </w:t>
      </w:r>
      <w:r>
        <w:tab/>
        <w:t xml:space="preserve">Konishi S, Ng CF, Stickley A, Nishihata S, Shinsugi C, Ueda K, et al. </w:t>
      </w:r>
      <w:hyperlink r:id="rId26">
        <w:r>
          <w:rPr>
            <w:rStyle w:val="af"/>
          </w:rPr>
          <w:t>Particulate matter modifies the association between airborne pollen and daily medical consultations for pollinosis in Tokyo</w:t>
        </w:r>
      </w:hyperlink>
      <w:r>
        <w:t xml:space="preserve">. The Science of the Total Environment. 2014;499:125–32. </w:t>
      </w:r>
    </w:p>
    <w:p w14:paraId="34E867A3" w14:textId="77777777" w:rsidR="008928F8" w:rsidRDefault="00000000">
      <w:pPr>
        <w:pStyle w:val="a9"/>
      </w:pPr>
      <w:bookmarkStart w:id="61" w:name="ref-damialis2017pollen_abundance"/>
      <w:bookmarkEnd w:id="60"/>
      <w:r>
        <w:t xml:space="preserve">26. </w:t>
      </w:r>
      <w:r>
        <w:tab/>
        <w:t xml:space="preserve">Damialis A, Kaimakamis E, Konoglou M, Akritidis I, Traidl-Hoffmann C, Gioulekas D. </w:t>
      </w:r>
      <w:hyperlink r:id="rId27">
        <w:r>
          <w:rPr>
            <w:rStyle w:val="af"/>
          </w:rPr>
          <w:t>Estimating the abundance of airborne pollen and fungal spores at variable elevations using an aircraft: How high can they fly?</w:t>
        </w:r>
      </w:hyperlink>
      <w:r>
        <w:t xml:space="preserve"> Scientific Reports. 2017;7:44535. </w:t>
      </w:r>
    </w:p>
    <w:p w14:paraId="52DCB5F3" w14:textId="77777777" w:rsidR="008928F8" w:rsidRDefault="00000000">
      <w:pPr>
        <w:pStyle w:val="a9"/>
      </w:pPr>
      <w:bookmarkStart w:id="62" w:name="ref-siljamo2013birch"/>
      <w:bookmarkEnd w:id="61"/>
      <w:r>
        <w:t xml:space="preserve">27. </w:t>
      </w:r>
      <w:r>
        <w:tab/>
        <w:t xml:space="preserve">Siljamo P, Sofiev M, Filatova E, Grewing Ł, Jäger S, Khoreva E, et al. </w:t>
      </w:r>
      <w:hyperlink r:id="rId28">
        <w:r>
          <w:rPr>
            <w:rStyle w:val="af"/>
          </w:rPr>
          <w:t>A numerical model of birch pollen emission and dispersion in the atmosphere. Model evaluation and sensitivity analysis</w:t>
        </w:r>
      </w:hyperlink>
      <w:r>
        <w:t xml:space="preserve">. International Journal of Biometeorology. 2013;57(1):125–36. </w:t>
      </w:r>
    </w:p>
    <w:p w14:paraId="783D0E08" w14:textId="77777777" w:rsidR="008928F8" w:rsidRDefault="00000000">
      <w:pPr>
        <w:pStyle w:val="a9"/>
      </w:pPr>
      <w:bookmarkStart w:id="63" w:name="ref-zaizen2014modification"/>
      <w:bookmarkEnd w:id="62"/>
      <w:r>
        <w:t xml:space="preserve">28. </w:t>
      </w:r>
      <w:r>
        <w:tab/>
        <w:t xml:space="preserve">Zaizen Y, Naoe H, Takahashi H, Okada K. </w:t>
      </w:r>
      <w:hyperlink r:id="rId29">
        <w:r>
          <w:rPr>
            <w:rStyle w:val="af"/>
          </w:rPr>
          <w:t>Modification of Asian-dust particles transported by different routes—a case study</w:t>
        </w:r>
      </w:hyperlink>
      <w:r>
        <w:t xml:space="preserve">. Atmospheric Environment. 2014;97:435–46. </w:t>
      </w:r>
    </w:p>
    <w:p w14:paraId="5950322E" w14:textId="77777777" w:rsidR="008928F8" w:rsidRDefault="00000000">
      <w:pPr>
        <w:pStyle w:val="a9"/>
      </w:pPr>
      <w:bookmarkStart w:id="64" w:name="ref-strachan1989hay"/>
      <w:bookmarkEnd w:id="63"/>
      <w:r>
        <w:t xml:space="preserve">29. </w:t>
      </w:r>
      <w:r>
        <w:tab/>
        <w:t xml:space="preserve">Strachan DP. </w:t>
      </w:r>
      <w:hyperlink r:id="rId30">
        <w:r>
          <w:rPr>
            <w:rStyle w:val="af"/>
          </w:rPr>
          <w:t>Hay fever, hygiene, and household size</w:t>
        </w:r>
      </w:hyperlink>
      <w:r>
        <w:t xml:space="preserve">. BMJ. 1989;299(6710):1259–60. </w:t>
      </w:r>
    </w:p>
    <w:p w14:paraId="74A1F07D" w14:textId="77777777" w:rsidR="008928F8" w:rsidRDefault="00000000">
      <w:pPr>
        <w:pStyle w:val="a9"/>
      </w:pPr>
      <w:bookmarkStart w:id="65" w:name="ref-perkin2022hygiene"/>
      <w:bookmarkEnd w:id="64"/>
      <w:r>
        <w:t xml:space="preserve">30. </w:t>
      </w:r>
      <w:r>
        <w:tab/>
        <w:t xml:space="preserve">Perkin MR, Strachan DP. </w:t>
      </w:r>
      <w:hyperlink r:id="rId31">
        <w:r>
          <w:rPr>
            <w:rStyle w:val="af"/>
          </w:rPr>
          <w:t>The hygiene hypothesis for allergy—conception and evolution</w:t>
        </w:r>
      </w:hyperlink>
      <w:r>
        <w:t xml:space="preserve">. Frontiers in Allergy. 2022;3:1051368. </w:t>
      </w:r>
    </w:p>
    <w:p w14:paraId="0393ED31" w14:textId="77777777" w:rsidR="008928F8" w:rsidRDefault="00000000">
      <w:pPr>
        <w:pStyle w:val="a9"/>
      </w:pPr>
      <w:bookmarkStart w:id="66" w:name="ref-haahtela2013biodiversity"/>
      <w:bookmarkEnd w:id="65"/>
      <w:r>
        <w:t xml:space="preserve">31. </w:t>
      </w:r>
      <w:r>
        <w:tab/>
        <w:t xml:space="preserve">Haahtela T, Holgate S, Pawankar R, et al. </w:t>
      </w:r>
      <w:hyperlink r:id="rId32">
        <w:r>
          <w:rPr>
            <w:rStyle w:val="af"/>
          </w:rPr>
          <w:t>The biodiversity hypothesis and allergic disease: World allergy organization position statement</w:t>
        </w:r>
      </w:hyperlink>
      <w:r>
        <w:t xml:space="preserve">. The World Allergy Organization Journal. 2013;6(1):3. </w:t>
      </w:r>
    </w:p>
    <w:p w14:paraId="5CFF14FD" w14:textId="77777777" w:rsidR="008928F8" w:rsidRDefault="00000000">
      <w:pPr>
        <w:pStyle w:val="a9"/>
      </w:pPr>
      <w:bookmarkStart w:id="67" w:name="ref-hanski2012biodiversity"/>
      <w:bookmarkEnd w:id="66"/>
      <w:r>
        <w:lastRenderedPageBreak/>
        <w:t xml:space="preserve">32. </w:t>
      </w:r>
      <w:r>
        <w:tab/>
        <w:t xml:space="preserve">Hanski I, Hertzen L von, Fyhrquist N, Koskinen K, Torppa K, Laatikainen T, et al. </w:t>
      </w:r>
      <w:hyperlink r:id="rId33">
        <w:r>
          <w:rPr>
            <w:rStyle w:val="af"/>
          </w:rPr>
          <w:t>Environmental biodiversity, human microbiota, and allergy are interrelated</w:t>
        </w:r>
      </w:hyperlink>
      <w:r>
        <w:t xml:space="preserve">. Proceedings of the National Academy of Sciences. 2012;109(21):8334–9. </w:t>
      </w:r>
    </w:p>
    <w:p w14:paraId="40D523D9" w14:textId="77777777" w:rsidR="008928F8" w:rsidRDefault="00000000">
      <w:pPr>
        <w:pStyle w:val="a9"/>
      </w:pPr>
      <w:bookmarkStart w:id="68" w:name="ref-fu2022indoor"/>
      <w:bookmarkEnd w:id="67"/>
      <w:r>
        <w:t xml:space="preserve">33. </w:t>
      </w:r>
      <w:r>
        <w:tab/>
        <w:t xml:space="preserve">Fu X, Ou Z, Sun Y. </w:t>
      </w:r>
      <w:hyperlink r:id="rId34">
        <w:r>
          <w:rPr>
            <w:rStyle w:val="af"/>
          </w:rPr>
          <w:t>Indoor microbiome and allergic diseases: From theoretical advances to prevention strategies</w:t>
        </w:r>
      </w:hyperlink>
      <w:r>
        <w:t xml:space="preserve">. Eco-Environment &amp; Health. 2022;1(3):133–46. </w:t>
      </w:r>
    </w:p>
    <w:p w14:paraId="4BCD11ED" w14:textId="77777777" w:rsidR="008928F8" w:rsidRDefault="00000000">
      <w:pPr>
        <w:pStyle w:val="a9"/>
      </w:pPr>
      <w:bookmarkStart w:id="69" w:name="ref-yamaguchi2023gut"/>
      <w:bookmarkEnd w:id="68"/>
      <w:r>
        <w:t xml:space="preserve">34. </w:t>
      </w:r>
      <w:r>
        <w:tab/>
        <w:t xml:space="preserve">Yamaguchi T, Nomura A, Matsubara A, et al. </w:t>
      </w:r>
      <w:hyperlink r:id="rId35">
        <w:r>
          <w:rPr>
            <w:rStyle w:val="af"/>
          </w:rPr>
          <w:t>Effect of gut microbial composition and diversity on major inhaled allergen sensitization and onset of allergic rhinitis</w:t>
        </w:r>
      </w:hyperlink>
      <w:r>
        <w:t xml:space="preserve">. Allergology International. 2023;72(1):135–42. </w:t>
      </w:r>
    </w:p>
    <w:p w14:paraId="15357FA0" w14:textId="77777777" w:rsidR="008928F8" w:rsidRDefault="00000000">
      <w:pPr>
        <w:pStyle w:val="a9"/>
      </w:pPr>
      <w:bookmarkStart w:id="70" w:name="ref-suto2024ndb"/>
      <w:bookmarkEnd w:id="69"/>
      <w:r>
        <w:t xml:space="preserve">35. </w:t>
      </w:r>
      <w:r>
        <w:tab/>
        <w:t xml:space="preserve">Suto M, Iba A, Sugiyama T, et al. </w:t>
      </w:r>
      <w:hyperlink r:id="rId36">
        <w:r>
          <w:rPr>
            <w:rStyle w:val="af"/>
          </w:rPr>
          <w:t>Literature review of studies using the national database of the health insurance claims of japan (NDB): Limitations and strategies in using the NDB for research</w:t>
        </w:r>
      </w:hyperlink>
      <w:r>
        <w:t xml:space="preserve">. JMA J. 2024;7(1):10–20. </w:t>
      </w:r>
    </w:p>
    <w:p w14:paraId="406DDE63" w14:textId="77777777" w:rsidR="008928F8" w:rsidRDefault="00000000">
      <w:pPr>
        <w:pStyle w:val="a9"/>
      </w:pPr>
      <w:bookmarkStart w:id="71" w:name="ref-mhlw2025switch_otc"/>
      <w:bookmarkEnd w:id="70"/>
      <w:r>
        <w:t xml:space="preserve">36. </w:t>
      </w:r>
      <w:r>
        <w:tab/>
        <w:t xml:space="preserve">Ministry of Health, Labour and Welfare. Switch OTC drug candidates and review outcomes. 2025. </w:t>
      </w:r>
    </w:p>
    <w:p w14:paraId="51F95DD2" w14:textId="77777777" w:rsidR="008928F8" w:rsidRDefault="00000000">
      <w:pPr>
        <w:pStyle w:val="a9"/>
      </w:pPr>
      <w:bookmarkStart w:id="72" w:name="ref-abe2022tweets"/>
      <w:bookmarkEnd w:id="71"/>
      <w:r>
        <w:t xml:space="preserve">37. </w:t>
      </w:r>
      <w:r>
        <w:tab/>
        <w:t xml:space="preserve">Wakamiya S, Morimoto O, Omichi K, Hara H, Kawase I, Koshiba R, et al. </w:t>
      </w:r>
      <w:hyperlink r:id="rId37">
        <w:r>
          <w:rPr>
            <w:rStyle w:val="af"/>
          </w:rPr>
          <w:t>Exploring relationships between tweet numbers and over-the-counter drug sales for allergic rhinitis: Retrospective analysis</w:t>
        </w:r>
      </w:hyperlink>
      <w:r>
        <w:t xml:space="preserve">. JMIR Formative Research. 2022;6(2):e33941. </w:t>
      </w:r>
    </w:p>
    <w:p w14:paraId="669123AB" w14:textId="77777777" w:rsidR="008928F8" w:rsidRDefault="00000000">
      <w:pPr>
        <w:pStyle w:val="a9"/>
      </w:pPr>
      <w:bookmarkStart w:id="73" w:name="ref-zheng2015association"/>
      <w:bookmarkEnd w:id="72"/>
      <w:r>
        <w:t xml:space="preserve">38. </w:t>
      </w:r>
      <w:r>
        <w:tab/>
        <w:t xml:space="preserve">Zheng XY, Ding H, Jiang LN, Chen SW, Zheng JP, Qiu M, et al. </w:t>
      </w:r>
      <w:hyperlink r:id="rId38">
        <w:r>
          <w:rPr>
            <w:rStyle w:val="af"/>
          </w:rPr>
          <w:t>Association between air pollutants and asthma emergency room visits and hospital admissions in time series studies: A systematic review and meta-analysis</w:t>
        </w:r>
      </w:hyperlink>
      <w:r>
        <w:t xml:space="preserve">. PLoS One. 2015;10(9):e0138146. </w:t>
      </w:r>
    </w:p>
    <w:p w14:paraId="691243EA" w14:textId="77777777" w:rsidR="008928F8" w:rsidRDefault="00000000">
      <w:pPr>
        <w:pStyle w:val="a9"/>
      </w:pPr>
      <w:bookmarkStart w:id="74" w:name="ref-guarnieri2014outdoor"/>
      <w:bookmarkEnd w:id="73"/>
      <w:r>
        <w:t xml:space="preserve">39. </w:t>
      </w:r>
      <w:r>
        <w:tab/>
        <w:t xml:space="preserve">Guarnieri M, Balmes JR. </w:t>
      </w:r>
      <w:hyperlink r:id="rId39">
        <w:r>
          <w:rPr>
            <w:rStyle w:val="af"/>
          </w:rPr>
          <w:t>Outdoor air pollution and asthma</w:t>
        </w:r>
      </w:hyperlink>
      <w:r>
        <w:t xml:space="preserve">. The Lancet. 2014;383(9928):1581–92. </w:t>
      </w:r>
    </w:p>
    <w:p w14:paraId="7CC45E51" w14:textId="77777777" w:rsidR="008928F8" w:rsidRDefault="00000000">
      <w:pPr>
        <w:pStyle w:val="a9"/>
      </w:pPr>
      <w:bookmarkStart w:id="75" w:name="ref-morgenstern1982ecologic"/>
      <w:bookmarkEnd w:id="74"/>
      <w:r>
        <w:t xml:space="preserve">40. </w:t>
      </w:r>
      <w:r>
        <w:tab/>
        <w:t xml:space="preserve">Morgenstern H. </w:t>
      </w:r>
      <w:hyperlink r:id="rId40">
        <w:r>
          <w:rPr>
            <w:rStyle w:val="af"/>
          </w:rPr>
          <w:t>Uses of ecologic analysis in epidemiologic research</w:t>
        </w:r>
      </w:hyperlink>
      <w:r>
        <w:t xml:space="preserve">. American Journal of Public Health. 1982;72(12):1336–44. </w:t>
      </w:r>
    </w:p>
    <w:p w14:paraId="1463425D" w14:textId="77777777" w:rsidR="008928F8" w:rsidRDefault="00000000">
      <w:pPr>
        <w:pStyle w:val="1"/>
      </w:pPr>
      <w:bookmarkStart w:id="76" w:name="tables"/>
      <w:bookmarkEnd w:id="34"/>
      <w:bookmarkEnd w:id="36"/>
      <w:bookmarkEnd w:id="75"/>
      <w:r>
        <w:t>Tables</w:t>
      </w:r>
    </w:p>
    <w:tbl>
      <w:tblPr>
        <w:tblStyle w:val="Table"/>
        <w:tblW w:w="5000" w:type="pct"/>
        <w:tblLayout w:type="fixed"/>
        <w:tblLook w:val="0000" w:firstRow="0" w:lastRow="0" w:firstColumn="0" w:lastColumn="0" w:noHBand="0" w:noVBand="0"/>
      </w:tblPr>
      <w:tblGrid>
        <w:gridCol w:w="9054"/>
      </w:tblGrid>
      <w:tr w:rsidR="008928F8" w14:paraId="7B826BD3" w14:textId="77777777">
        <w:tc>
          <w:tcPr>
            <w:tcW w:w="7920" w:type="dxa"/>
          </w:tcPr>
          <w:p w14:paraId="3EF5A3DB" w14:textId="77777777" w:rsidR="008928F8" w:rsidRDefault="00000000">
            <w:pPr>
              <w:pStyle w:val="ImageCaption"/>
              <w:spacing w:before="200"/>
            </w:pPr>
            <w:bookmarkStart w:id="77" w:name="tbl-descriptive"/>
            <w:r>
              <w:t>Table 1: Descriptive statistics of study variables (N = 47 prefectures) {#tbl-descriptive}</w:t>
            </w:r>
          </w:p>
          <w:tbl>
            <w:tblPr>
              <w:tblStyle w:val="Table"/>
              <w:tblW w:w="5000" w:type="pct"/>
              <w:tblLayout w:type="fixed"/>
              <w:tblLook w:val="0020" w:firstRow="1" w:lastRow="0" w:firstColumn="0" w:lastColumn="0" w:noHBand="0" w:noVBand="0"/>
            </w:tblPr>
            <w:tblGrid>
              <w:gridCol w:w="2850"/>
              <w:gridCol w:w="1710"/>
              <w:gridCol w:w="1426"/>
              <w:gridCol w:w="1426"/>
              <w:gridCol w:w="1426"/>
            </w:tblGrid>
            <w:tr w:rsidR="008928F8" w14:paraId="4BD33195" w14:textId="77777777" w:rsidTr="008928F8">
              <w:trPr>
                <w:cnfStyle w:val="100000000000" w:firstRow="1" w:lastRow="0" w:firstColumn="0" w:lastColumn="0" w:oddVBand="0" w:evenVBand="0" w:oddHBand="0" w:evenHBand="0" w:firstRowFirstColumn="0" w:firstRowLastColumn="0" w:lastRowFirstColumn="0" w:lastRowLastColumn="0"/>
                <w:tblHeader/>
              </w:trPr>
              <w:tc>
                <w:tcPr>
                  <w:tcW w:w="2554" w:type="dxa"/>
                </w:tcPr>
                <w:p w14:paraId="709BD9A1" w14:textId="77777777" w:rsidR="008928F8" w:rsidRDefault="00000000">
                  <w:pPr>
                    <w:pStyle w:val="Compact"/>
                    <w:jc w:val="center"/>
                  </w:pPr>
                  <w:r>
                    <w:t>Variable</w:t>
                  </w:r>
                </w:p>
              </w:tc>
              <w:tc>
                <w:tcPr>
                  <w:tcW w:w="1532" w:type="dxa"/>
                </w:tcPr>
                <w:p w14:paraId="25F8E3DC" w14:textId="77777777" w:rsidR="008928F8" w:rsidRDefault="00000000">
                  <w:pPr>
                    <w:pStyle w:val="Compact"/>
                    <w:jc w:val="center"/>
                  </w:pPr>
                  <w:r>
                    <w:t>Mean</w:t>
                  </w:r>
                </w:p>
              </w:tc>
              <w:tc>
                <w:tcPr>
                  <w:tcW w:w="1277" w:type="dxa"/>
                </w:tcPr>
                <w:p w14:paraId="584A37D3" w14:textId="77777777" w:rsidR="008928F8" w:rsidRDefault="00000000">
                  <w:pPr>
                    <w:pStyle w:val="Compact"/>
                    <w:jc w:val="center"/>
                  </w:pPr>
                  <w:r>
                    <w:t>SD</w:t>
                  </w:r>
                </w:p>
              </w:tc>
              <w:tc>
                <w:tcPr>
                  <w:tcW w:w="1277" w:type="dxa"/>
                </w:tcPr>
                <w:p w14:paraId="324C8FBE" w14:textId="77777777" w:rsidR="008928F8" w:rsidRDefault="00000000">
                  <w:pPr>
                    <w:pStyle w:val="Compact"/>
                    <w:jc w:val="center"/>
                  </w:pPr>
                  <w:r>
                    <w:t>Min</w:t>
                  </w:r>
                </w:p>
              </w:tc>
              <w:tc>
                <w:tcPr>
                  <w:tcW w:w="1277" w:type="dxa"/>
                </w:tcPr>
                <w:p w14:paraId="3E3329B1" w14:textId="77777777" w:rsidR="008928F8" w:rsidRDefault="00000000">
                  <w:pPr>
                    <w:pStyle w:val="Compact"/>
                    <w:jc w:val="center"/>
                  </w:pPr>
                  <w:r>
                    <w:t>Max</w:t>
                  </w:r>
                </w:p>
              </w:tc>
            </w:tr>
            <w:tr w:rsidR="008928F8" w14:paraId="0FFD8B75" w14:textId="77777777">
              <w:tc>
                <w:tcPr>
                  <w:tcW w:w="2554" w:type="dxa"/>
                </w:tcPr>
                <w:p w14:paraId="00220982" w14:textId="77777777" w:rsidR="008928F8" w:rsidRDefault="00000000">
                  <w:pPr>
                    <w:pStyle w:val="Compact"/>
                    <w:jc w:val="center"/>
                  </w:pPr>
                  <w:r>
                    <w:t>Total allergy Rx (per 100k)</w:t>
                  </w:r>
                </w:p>
              </w:tc>
              <w:tc>
                <w:tcPr>
                  <w:tcW w:w="1532" w:type="dxa"/>
                </w:tcPr>
                <w:p w14:paraId="34D374AD" w14:textId="77777777" w:rsidR="008928F8" w:rsidRDefault="00000000">
                  <w:pPr>
                    <w:pStyle w:val="Compact"/>
                    <w:jc w:val="center"/>
                  </w:pPr>
                  <w:r>
                    <w:t>5,513,772</w:t>
                  </w:r>
                </w:p>
              </w:tc>
              <w:tc>
                <w:tcPr>
                  <w:tcW w:w="1277" w:type="dxa"/>
                </w:tcPr>
                <w:p w14:paraId="2F2FF062" w14:textId="77777777" w:rsidR="008928F8" w:rsidRDefault="00000000">
                  <w:pPr>
                    <w:pStyle w:val="Compact"/>
                    <w:jc w:val="center"/>
                  </w:pPr>
                  <w:r>
                    <w:t>598,704</w:t>
                  </w:r>
                </w:p>
              </w:tc>
              <w:tc>
                <w:tcPr>
                  <w:tcW w:w="1277" w:type="dxa"/>
                </w:tcPr>
                <w:p w14:paraId="5D25B82A" w14:textId="77777777" w:rsidR="008928F8" w:rsidRDefault="00000000">
                  <w:pPr>
                    <w:pStyle w:val="Compact"/>
                    <w:jc w:val="center"/>
                  </w:pPr>
                  <w:r>
                    <w:t>3,988,207</w:t>
                  </w:r>
                </w:p>
              </w:tc>
              <w:tc>
                <w:tcPr>
                  <w:tcW w:w="1277" w:type="dxa"/>
                </w:tcPr>
                <w:p w14:paraId="0B1717ED" w14:textId="77777777" w:rsidR="008928F8" w:rsidRDefault="00000000">
                  <w:pPr>
                    <w:pStyle w:val="Compact"/>
                    <w:jc w:val="center"/>
                  </w:pPr>
                  <w:r>
                    <w:t>6,872,987</w:t>
                  </w:r>
                </w:p>
              </w:tc>
            </w:tr>
            <w:tr w:rsidR="008928F8" w14:paraId="605979ED" w14:textId="77777777">
              <w:tc>
                <w:tcPr>
                  <w:tcW w:w="2554" w:type="dxa"/>
                </w:tcPr>
                <w:p w14:paraId="0CDBCF5D" w14:textId="77777777" w:rsidR="008928F8" w:rsidRDefault="00000000">
                  <w:pPr>
                    <w:pStyle w:val="Compact"/>
                    <w:jc w:val="center"/>
                  </w:pPr>
                  <w:r>
                    <w:t>Antihistamines (per 100k)</w:t>
                  </w:r>
                </w:p>
              </w:tc>
              <w:tc>
                <w:tcPr>
                  <w:tcW w:w="1532" w:type="dxa"/>
                </w:tcPr>
                <w:p w14:paraId="67AEDDAD" w14:textId="77777777" w:rsidR="008928F8" w:rsidRDefault="00000000">
                  <w:pPr>
                    <w:pStyle w:val="Compact"/>
                    <w:jc w:val="center"/>
                  </w:pPr>
                  <w:r>
                    <w:t>5,210,378</w:t>
                  </w:r>
                </w:p>
              </w:tc>
              <w:tc>
                <w:tcPr>
                  <w:tcW w:w="1277" w:type="dxa"/>
                </w:tcPr>
                <w:p w14:paraId="3A7B2D36" w14:textId="77777777" w:rsidR="008928F8" w:rsidRDefault="00000000">
                  <w:pPr>
                    <w:pStyle w:val="Compact"/>
                    <w:jc w:val="center"/>
                  </w:pPr>
                  <w:r>
                    <w:t>599,237</w:t>
                  </w:r>
                </w:p>
              </w:tc>
              <w:tc>
                <w:tcPr>
                  <w:tcW w:w="1277" w:type="dxa"/>
                </w:tcPr>
                <w:p w14:paraId="228231A8" w14:textId="77777777" w:rsidR="008928F8" w:rsidRDefault="00000000">
                  <w:pPr>
                    <w:pStyle w:val="Compact"/>
                    <w:jc w:val="center"/>
                  </w:pPr>
                  <w:r>
                    <w:t>3,672,817</w:t>
                  </w:r>
                </w:p>
              </w:tc>
              <w:tc>
                <w:tcPr>
                  <w:tcW w:w="1277" w:type="dxa"/>
                </w:tcPr>
                <w:p w14:paraId="77B7C6FB" w14:textId="77777777" w:rsidR="008928F8" w:rsidRDefault="00000000">
                  <w:pPr>
                    <w:pStyle w:val="Compact"/>
                    <w:jc w:val="center"/>
                  </w:pPr>
                  <w:r>
                    <w:t>6,646,422</w:t>
                  </w:r>
                </w:p>
              </w:tc>
            </w:tr>
            <w:tr w:rsidR="008928F8" w14:paraId="2F2AB6BD" w14:textId="77777777">
              <w:tc>
                <w:tcPr>
                  <w:tcW w:w="2554" w:type="dxa"/>
                </w:tcPr>
                <w:p w14:paraId="63A764EB" w14:textId="77777777" w:rsidR="008928F8" w:rsidRDefault="00000000">
                  <w:pPr>
                    <w:pStyle w:val="Compact"/>
                    <w:jc w:val="center"/>
                  </w:pPr>
                  <w:r>
                    <w:t>Ophthalmic (per 100k)</w:t>
                  </w:r>
                </w:p>
              </w:tc>
              <w:tc>
                <w:tcPr>
                  <w:tcW w:w="1532" w:type="dxa"/>
                </w:tcPr>
                <w:p w14:paraId="27D773D3" w14:textId="77777777" w:rsidR="008928F8" w:rsidRDefault="00000000">
                  <w:pPr>
                    <w:pStyle w:val="Compact"/>
                    <w:jc w:val="center"/>
                  </w:pPr>
                  <w:r>
                    <w:t>272,074</w:t>
                  </w:r>
                </w:p>
              </w:tc>
              <w:tc>
                <w:tcPr>
                  <w:tcW w:w="1277" w:type="dxa"/>
                </w:tcPr>
                <w:p w14:paraId="0F832113" w14:textId="77777777" w:rsidR="008928F8" w:rsidRDefault="00000000">
                  <w:pPr>
                    <w:pStyle w:val="Compact"/>
                    <w:jc w:val="center"/>
                  </w:pPr>
                  <w:r>
                    <w:t>117,500</w:t>
                  </w:r>
                </w:p>
              </w:tc>
              <w:tc>
                <w:tcPr>
                  <w:tcW w:w="1277" w:type="dxa"/>
                </w:tcPr>
                <w:p w14:paraId="34988AF4" w14:textId="77777777" w:rsidR="008928F8" w:rsidRDefault="00000000">
                  <w:pPr>
                    <w:pStyle w:val="Compact"/>
                    <w:jc w:val="center"/>
                  </w:pPr>
                  <w:r>
                    <w:t>106,747</w:t>
                  </w:r>
                </w:p>
              </w:tc>
              <w:tc>
                <w:tcPr>
                  <w:tcW w:w="1277" w:type="dxa"/>
                </w:tcPr>
                <w:p w14:paraId="5B177D31" w14:textId="77777777" w:rsidR="008928F8" w:rsidRDefault="00000000">
                  <w:pPr>
                    <w:pStyle w:val="Compact"/>
                    <w:jc w:val="center"/>
                  </w:pPr>
                  <w:r>
                    <w:t>593,823</w:t>
                  </w:r>
                </w:p>
              </w:tc>
            </w:tr>
            <w:tr w:rsidR="008928F8" w14:paraId="25814614" w14:textId="77777777">
              <w:tc>
                <w:tcPr>
                  <w:tcW w:w="2554" w:type="dxa"/>
                </w:tcPr>
                <w:p w14:paraId="14B146C1" w14:textId="77777777" w:rsidR="008928F8" w:rsidRDefault="00000000">
                  <w:pPr>
                    <w:pStyle w:val="Compact"/>
                    <w:jc w:val="center"/>
                  </w:pPr>
                  <w:r>
                    <w:lastRenderedPageBreak/>
                    <w:t>Nasal sprays (per 100k)</w:t>
                  </w:r>
                </w:p>
              </w:tc>
              <w:tc>
                <w:tcPr>
                  <w:tcW w:w="1532" w:type="dxa"/>
                </w:tcPr>
                <w:p w14:paraId="6FF428A3" w14:textId="77777777" w:rsidR="008928F8" w:rsidRDefault="00000000">
                  <w:pPr>
                    <w:pStyle w:val="Compact"/>
                    <w:jc w:val="center"/>
                  </w:pPr>
                  <w:r>
                    <w:t>31,319</w:t>
                  </w:r>
                </w:p>
              </w:tc>
              <w:tc>
                <w:tcPr>
                  <w:tcW w:w="1277" w:type="dxa"/>
                </w:tcPr>
                <w:p w14:paraId="04C7DCD8" w14:textId="77777777" w:rsidR="008928F8" w:rsidRDefault="00000000">
                  <w:pPr>
                    <w:pStyle w:val="Compact"/>
                    <w:jc w:val="center"/>
                  </w:pPr>
                  <w:r>
                    <w:t>14,238</w:t>
                  </w:r>
                </w:p>
              </w:tc>
              <w:tc>
                <w:tcPr>
                  <w:tcW w:w="1277" w:type="dxa"/>
                </w:tcPr>
                <w:p w14:paraId="0270060A" w14:textId="77777777" w:rsidR="008928F8" w:rsidRDefault="00000000">
                  <w:pPr>
                    <w:pStyle w:val="Compact"/>
                    <w:jc w:val="center"/>
                  </w:pPr>
                  <w:r>
                    <w:t>10,144</w:t>
                  </w:r>
                </w:p>
              </w:tc>
              <w:tc>
                <w:tcPr>
                  <w:tcW w:w="1277" w:type="dxa"/>
                </w:tcPr>
                <w:p w14:paraId="1EA4709F" w14:textId="77777777" w:rsidR="008928F8" w:rsidRDefault="00000000">
                  <w:pPr>
                    <w:pStyle w:val="Compact"/>
                    <w:jc w:val="center"/>
                  </w:pPr>
                  <w:r>
                    <w:t>87,291</w:t>
                  </w:r>
                </w:p>
              </w:tc>
            </w:tr>
            <w:tr w:rsidR="008928F8" w14:paraId="2C4B7878" w14:textId="77777777">
              <w:tc>
                <w:tcPr>
                  <w:tcW w:w="2554" w:type="dxa"/>
                </w:tcPr>
                <w:p w14:paraId="6B6A2E3A" w14:textId="77777777" w:rsidR="008928F8" w:rsidRDefault="00000000">
                  <w:pPr>
                    <w:pStyle w:val="Compact"/>
                    <w:jc w:val="center"/>
                  </w:pPr>
                  <w:r>
                    <w:t>Pollen count (grains/cm</w:t>
                  </w:r>
                  <w:r>
                    <w:rPr>
                      <w:vertAlign w:val="superscript"/>
                    </w:rPr>
                    <w:t>2</w:t>
                  </w:r>
                  <w:r>
                    <w:t>)</w:t>
                  </w:r>
                </w:p>
              </w:tc>
              <w:tc>
                <w:tcPr>
                  <w:tcW w:w="1532" w:type="dxa"/>
                </w:tcPr>
                <w:p w14:paraId="637C536A" w14:textId="77777777" w:rsidR="008928F8" w:rsidRDefault="00000000">
                  <w:pPr>
                    <w:pStyle w:val="Compact"/>
                    <w:jc w:val="center"/>
                  </w:pPr>
                  <w:r>
                    <w:t>7,079</w:t>
                  </w:r>
                </w:p>
              </w:tc>
              <w:tc>
                <w:tcPr>
                  <w:tcW w:w="1277" w:type="dxa"/>
                </w:tcPr>
                <w:p w14:paraId="3398FC86" w14:textId="77777777" w:rsidR="008928F8" w:rsidRDefault="00000000">
                  <w:pPr>
                    <w:pStyle w:val="Compact"/>
                    <w:jc w:val="center"/>
                  </w:pPr>
                  <w:r>
                    <w:t>3,235</w:t>
                  </w:r>
                </w:p>
              </w:tc>
              <w:tc>
                <w:tcPr>
                  <w:tcW w:w="1277" w:type="dxa"/>
                </w:tcPr>
                <w:p w14:paraId="0F1C738E" w14:textId="77777777" w:rsidR="008928F8" w:rsidRDefault="00000000">
                  <w:pPr>
                    <w:pStyle w:val="Compact"/>
                    <w:jc w:val="center"/>
                  </w:pPr>
                  <w:r>
                    <w:t>0</w:t>
                  </w:r>
                </w:p>
              </w:tc>
              <w:tc>
                <w:tcPr>
                  <w:tcW w:w="1277" w:type="dxa"/>
                </w:tcPr>
                <w:p w14:paraId="5189BE04" w14:textId="77777777" w:rsidR="008928F8" w:rsidRDefault="00000000">
                  <w:pPr>
                    <w:pStyle w:val="Compact"/>
                    <w:jc w:val="center"/>
                  </w:pPr>
                  <w:r>
                    <w:t>17,827</w:t>
                  </w:r>
                </w:p>
              </w:tc>
            </w:tr>
            <w:tr w:rsidR="008928F8" w14:paraId="4FD1A5E0" w14:textId="77777777">
              <w:tc>
                <w:tcPr>
                  <w:tcW w:w="2554" w:type="dxa"/>
                </w:tcPr>
                <w:p w14:paraId="66596557" w14:textId="77777777" w:rsidR="008928F8" w:rsidRDefault="00000000">
                  <w:pPr>
                    <w:pStyle w:val="Compact"/>
                    <w:jc w:val="center"/>
                  </w:pPr>
                  <w:r>
                    <w:t>Forest ratio (%)</w:t>
                  </w:r>
                </w:p>
              </w:tc>
              <w:tc>
                <w:tcPr>
                  <w:tcW w:w="1532" w:type="dxa"/>
                </w:tcPr>
                <w:p w14:paraId="0E919AF7" w14:textId="77777777" w:rsidR="008928F8" w:rsidRDefault="00000000">
                  <w:pPr>
                    <w:pStyle w:val="Compact"/>
                    <w:jc w:val="center"/>
                  </w:pPr>
                  <w:r>
                    <w:t>62.5</w:t>
                  </w:r>
                </w:p>
              </w:tc>
              <w:tc>
                <w:tcPr>
                  <w:tcW w:w="1277" w:type="dxa"/>
                </w:tcPr>
                <w:p w14:paraId="02F2BFD7" w14:textId="77777777" w:rsidR="008928F8" w:rsidRDefault="00000000">
                  <w:pPr>
                    <w:pStyle w:val="Compact"/>
                    <w:jc w:val="center"/>
                  </w:pPr>
                  <w:r>
                    <w:t>15.4</w:t>
                  </w:r>
                </w:p>
              </w:tc>
              <w:tc>
                <w:tcPr>
                  <w:tcW w:w="1277" w:type="dxa"/>
                </w:tcPr>
                <w:p w14:paraId="35B640DF" w14:textId="77777777" w:rsidR="008928F8" w:rsidRDefault="00000000">
                  <w:pPr>
                    <w:pStyle w:val="Compact"/>
                    <w:jc w:val="center"/>
                  </w:pPr>
                  <w:r>
                    <w:t>28.8</w:t>
                  </w:r>
                </w:p>
              </w:tc>
              <w:tc>
                <w:tcPr>
                  <w:tcW w:w="1277" w:type="dxa"/>
                </w:tcPr>
                <w:p w14:paraId="2BE37379" w14:textId="77777777" w:rsidR="008928F8" w:rsidRDefault="00000000">
                  <w:pPr>
                    <w:pStyle w:val="Compact"/>
                    <w:jc w:val="center"/>
                  </w:pPr>
                  <w:r>
                    <w:t>83.6</w:t>
                  </w:r>
                </w:p>
              </w:tc>
            </w:tr>
            <w:tr w:rsidR="008928F8" w14:paraId="1447128D" w14:textId="77777777">
              <w:tc>
                <w:tcPr>
                  <w:tcW w:w="2554" w:type="dxa"/>
                </w:tcPr>
                <w:p w14:paraId="38D54FB4" w14:textId="77777777" w:rsidR="008928F8" w:rsidRDefault="00000000">
                  <w:pPr>
                    <w:pStyle w:val="Compact"/>
                    <w:jc w:val="center"/>
                  </w:pPr>
                  <w:r>
                    <w:t>PM</w:t>
                  </w:r>
                  <w:r>
                    <w:rPr>
                      <w:vertAlign w:val="subscript"/>
                    </w:rPr>
                    <w:t>2.5</w:t>
                  </w:r>
                  <w:r>
                    <w:t xml:space="preserve"> (</w:t>
                  </w:r>
                  <m:oMath>
                    <m:r>
                      <w:rPr>
                        <w:rFonts w:ascii="Cambria Math" w:hAnsi="Cambria Math"/>
                      </w:rPr>
                      <m:t>μ</m:t>
                    </m:r>
                  </m:oMath>
                  <w:r>
                    <w:t>g/m</w:t>
                  </w:r>
                  <w:r>
                    <w:rPr>
                      <w:vertAlign w:val="superscript"/>
                    </w:rPr>
                    <w:t>3</w:t>
                  </w:r>
                  <w:r>
                    <w:t>)</w:t>
                  </w:r>
                </w:p>
              </w:tc>
              <w:tc>
                <w:tcPr>
                  <w:tcW w:w="1532" w:type="dxa"/>
                </w:tcPr>
                <w:p w14:paraId="6A5F713F" w14:textId="77777777" w:rsidR="008928F8" w:rsidRDefault="00000000">
                  <w:pPr>
                    <w:pStyle w:val="Compact"/>
                    <w:jc w:val="center"/>
                  </w:pPr>
                  <w:r>
                    <w:t>8.34</w:t>
                  </w:r>
                </w:p>
              </w:tc>
              <w:tc>
                <w:tcPr>
                  <w:tcW w:w="1277" w:type="dxa"/>
                </w:tcPr>
                <w:p w14:paraId="6A887B50" w14:textId="77777777" w:rsidR="008928F8" w:rsidRDefault="00000000">
                  <w:pPr>
                    <w:pStyle w:val="Compact"/>
                    <w:jc w:val="center"/>
                  </w:pPr>
                  <w:r>
                    <w:t>1.20</w:t>
                  </w:r>
                </w:p>
              </w:tc>
              <w:tc>
                <w:tcPr>
                  <w:tcW w:w="1277" w:type="dxa"/>
                </w:tcPr>
                <w:p w14:paraId="10EFAED1" w14:textId="77777777" w:rsidR="008928F8" w:rsidRDefault="00000000">
                  <w:pPr>
                    <w:pStyle w:val="Compact"/>
                    <w:jc w:val="center"/>
                  </w:pPr>
                  <w:r>
                    <w:t>6.04</w:t>
                  </w:r>
                </w:p>
              </w:tc>
              <w:tc>
                <w:tcPr>
                  <w:tcW w:w="1277" w:type="dxa"/>
                </w:tcPr>
                <w:p w14:paraId="561239FA" w14:textId="77777777" w:rsidR="008928F8" w:rsidRDefault="00000000">
                  <w:pPr>
                    <w:pStyle w:val="Compact"/>
                    <w:jc w:val="center"/>
                  </w:pPr>
                  <w:r>
                    <w:t>10.93</w:t>
                  </w:r>
                </w:p>
              </w:tc>
            </w:tr>
            <w:tr w:rsidR="008928F8" w14:paraId="2A1A0051" w14:textId="77777777">
              <w:tc>
                <w:tcPr>
                  <w:tcW w:w="2554" w:type="dxa"/>
                </w:tcPr>
                <w:p w14:paraId="059F5FD4" w14:textId="77777777" w:rsidR="008928F8" w:rsidRDefault="00000000">
                  <w:pPr>
                    <w:pStyle w:val="Compact"/>
                    <w:jc w:val="center"/>
                  </w:pPr>
                  <w:r>
                    <w:t>SPM (mg/m</w:t>
                  </w:r>
                  <w:r>
                    <w:rPr>
                      <w:vertAlign w:val="superscript"/>
                    </w:rPr>
                    <w:t>3</w:t>
                  </w:r>
                  <w:r>
                    <w:t>)</w:t>
                  </w:r>
                </w:p>
              </w:tc>
              <w:tc>
                <w:tcPr>
                  <w:tcW w:w="1532" w:type="dxa"/>
                </w:tcPr>
                <w:p w14:paraId="4E2BE8C2" w14:textId="77777777" w:rsidR="008928F8" w:rsidRDefault="00000000">
                  <w:pPr>
                    <w:pStyle w:val="Compact"/>
                    <w:jc w:val="center"/>
                  </w:pPr>
                  <w:r>
                    <w:t>0.013</w:t>
                  </w:r>
                </w:p>
              </w:tc>
              <w:tc>
                <w:tcPr>
                  <w:tcW w:w="1277" w:type="dxa"/>
                </w:tcPr>
                <w:p w14:paraId="058D42C8" w14:textId="77777777" w:rsidR="008928F8" w:rsidRDefault="00000000">
                  <w:pPr>
                    <w:pStyle w:val="Compact"/>
                    <w:jc w:val="center"/>
                  </w:pPr>
                  <w:r>
                    <w:t>0.002</w:t>
                  </w:r>
                </w:p>
              </w:tc>
              <w:tc>
                <w:tcPr>
                  <w:tcW w:w="1277" w:type="dxa"/>
                </w:tcPr>
                <w:p w14:paraId="1747A024" w14:textId="77777777" w:rsidR="008928F8" w:rsidRDefault="00000000">
                  <w:pPr>
                    <w:pStyle w:val="Compact"/>
                    <w:jc w:val="center"/>
                  </w:pPr>
                  <w:r>
                    <w:t>0.008</w:t>
                  </w:r>
                </w:p>
              </w:tc>
              <w:tc>
                <w:tcPr>
                  <w:tcW w:w="1277" w:type="dxa"/>
                </w:tcPr>
                <w:p w14:paraId="31D7425F" w14:textId="77777777" w:rsidR="008928F8" w:rsidRDefault="00000000">
                  <w:pPr>
                    <w:pStyle w:val="Compact"/>
                    <w:jc w:val="center"/>
                  </w:pPr>
                  <w:r>
                    <w:t>0.016</w:t>
                  </w:r>
                </w:p>
              </w:tc>
            </w:tr>
            <w:tr w:rsidR="008928F8" w14:paraId="4913FFDA" w14:textId="77777777">
              <w:tc>
                <w:tcPr>
                  <w:tcW w:w="2554" w:type="dxa"/>
                </w:tcPr>
                <w:p w14:paraId="428AFA0B" w14:textId="77777777" w:rsidR="008928F8" w:rsidRDefault="00000000">
                  <w:pPr>
                    <w:pStyle w:val="Compact"/>
                    <w:jc w:val="center"/>
                  </w:pPr>
                  <w:r>
                    <w:t>Aging rate (%)</w:t>
                  </w:r>
                </w:p>
              </w:tc>
              <w:tc>
                <w:tcPr>
                  <w:tcW w:w="1532" w:type="dxa"/>
                </w:tcPr>
                <w:p w14:paraId="68A750EF" w14:textId="77777777" w:rsidR="008928F8" w:rsidRDefault="00000000">
                  <w:pPr>
                    <w:pStyle w:val="Compact"/>
                    <w:jc w:val="center"/>
                  </w:pPr>
                  <w:r>
                    <w:t>31.1</w:t>
                  </w:r>
                </w:p>
              </w:tc>
              <w:tc>
                <w:tcPr>
                  <w:tcW w:w="1277" w:type="dxa"/>
                </w:tcPr>
                <w:p w14:paraId="75D8D1F7" w14:textId="77777777" w:rsidR="008928F8" w:rsidRDefault="00000000">
                  <w:pPr>
                    <w:pStyle w:val="Compact"/>
                    <w:jc w:val="center"/>
                  </w:pPr>
                  <w:r>
                    <w:t>3.2</w:t>
                  </w:r>
                </w:p>
              </w:tc>
              <w:tc>
                <w:tcPr>
                  <w:tcW w:w="1277" w:type="dxa"/>
                </w:tcPr>
                <w:p w14:paraId="19FBD536" w14:textId="77777777" w:rsidR="008928F8" w:rsidRDefault="00000000">
                  <w:pPr>
                    <w:pStyle w:val="Compact"/>
                    <w:jc w:val="center"/>
                  </w:pPr>
                  <w:r>
                    <w:t>22.9</w:t>
                  </w:r>
                </w:p>
              </w:tc>
              <w:tc>
                <w:tcPr>
                  <w:tcW w:w="1277" w:type="dxa"/>
                </w:tcPr>
                <w:p w14:paraId="6D2F426B" w14:textId="77777777" w:rsidR="008928F8" w:rsidRDefault="00000000">
                  <w:pPr>
                    <w:pStyle w:val="Compact"/>
                    <w:jc w:val="center"/>
                  </w:pPr>
                  <w:r>
                    <w:t>38.1</w:t>
                  </w:r>
                </w:p>
              </w:tc>
            </w:tr>
            <w:tr w:rsidR="008928F8" w14:paraId="21A97E89" w14:textId="77777777">
              <w:tc>
                <w:tcPr>
                  <w:tcW w:w="2554" w:type="dxa"/>
                </w:tcPr>
                <w:p w14:paraId="1F4B2723" w14:textId="77777777" w:rsidR="008928F8" w:rsidRDefault="00000000">
                  <w:pPr>
                    <w:pStyle w:val="Compact"/>
                    <w:jc w:val="center"/>
                  </w:pPr>
                  <w:r>
                    <w:t>Pop. density (per km</w:t>
                  </w:r>
                  <w:r>
                    <w:rPr>
                      <w:vertAlign w:val="superscript"/>
                    </w:rPr>
                    <w:t>2</w:t>
                  </w:r>
                  <w:r>
                    <w:t>)</w:t>
                  </w:r>
                </w:p>
              </w:tc>
              <w:tc>
                <w:tcPr>
                  <w:tcW w:w="1532" w:type="dxa"/>
                </w:tcPr>
                <w:p w14:paraId="2129347F" w14:textId="77777777" w:rsidR="008928F8" w:rsidRDefault="00000000">
                  <w:pPr>
                    <w:pStyle w:val="Compact"/>
                    <w:jc w:val="center"/>
                  </w:pPr>
                  <w:r>
                    <w:t>655</w:t>
                  </w:r>
                </w:p>
              </w:tc>
              <w:tc>
                <w:tcPr>
                  <w:tcW w:w="1277" w:type="dxa"/>
                </w:tcPr>
                <w:p w14:paraId="44CFAA41" w14:textId="77777777" w:rsidR="008928F8" w:rsidRDefault="00000000">
                  <w:pPr>
                    <w:pStyle w:val="Compact"/>
                    <w:jc w:val="center"/>
                  </w:pPr>
                  <w:r>
                    <w:t>1,220</w:t>
                  </w:r>
                </w:p>
              </w:tc>
              <w:tc>
                <w:tcPr>
                  <w:tcW w:w="1277" w:type="dxa"/>
                </w:tcPr>
                <w:p w14:paraId="6DC34957" w14:textId="77777777" w:rsidR="008928F8" w:rsidRDefault="00000000">
                  <w:pPr>
                    <w:pStyle w:val="Compact"/>
                    <w:jc w:val="center"/>
                  </w:pPr>
                  <w:r>
                    <w:t>66</w:t>
                  </w:r>
                </w:p>
              </w:tc>
              <w:tc>
                <w:tcPr>
                  <w:tcW w:w="1277" w:type="dxa"/>
                </w:tcPr>
                <w:p w14:paraId="77E1849D" w14:textId="77777777" w:rsidR="008928F8" w:rsidRDefault="00000000">
                  <w:pPr>
                    <w:pStyle w:val="Compact"/>
                    <w:jc w:val="center"/>
                  </w:pPr>
                  <w:r>
                    <w:t>6,386</w:t>
                  </w:r>
                </w:p>
              </w:tc>
            </w:tr>
            <w:bookmarkEnd w:id="77"/>
          </w:tbl>
          <w:p w14:paraId="7E681F37" w14:textId="77777777" w:rsidR="008928F8" w:rsidRDefault="008928F8"/>
        </w:tc>
      </w:tr>
    </w:tbl>
    <w:p w14:paraId="556F7EC1" w14:textId="77777777" w:rsidR="008928F8" w:rsidRDefault="00000000">
      <w:pPr>
        <w:pStyle w:val="a0"/>
      </w:pPr>
      <w:r>
        <w:lastRenderedPageBreak/>
        <w:t xml:space="preserve"> </w:t>
      </w:r>
    </w:p>
    <w:tbl>
      <w:tblPr>
        <w:tblStyle w:val="Table"/>
        <w:tblW w:w="5000" w:type="pct"/>
        <w:tblLayout w:type="fixed"/>
        <w:tblLook w:val="0000" w:firstRow="0" w:lastRow="0" w:firstColumn="0" w:lastColumn="0" w:noHBand="0" w:noVBand="0"/>
      </w:tblPr>
      <w:tblGrid>
        <w:gridCol w:w="9054"/>
      </w:tblGrid>
      <w:tr w:rsidR="008928F8" w14:paraId="2E3116F0" w14:textId="77777777">
        <w:tc>
          <w:tcPr>
            <w:tcW w:w="7920" w:type="dxa"/>
          </w:tcPr>
          <w:p w14:paraId="315E8AC1" w14:textId="77777777" w:rsidR="008928F8" w:rsidRDefault="00000000">
            <w:pPr>
              <w:pStyle w:val="ImageCaption"/>
              <w:spacing w:before="200"/>
            </w:pPr>
            <w:bookmarkStart w:id="78" w:name="tbl-regression"/>
            <w:r>
              <w:t>Table 2: Hierarchical OLS regression results. Model 6 (SPM specification) achieves the best fit and the most robust pollen estimate. {#tbl-regression}</w:t>
            </w:r>
          </w:p>
          <w:tbl>
            <w:tblPr>
              <w:tblStyle w:val="Table"/>
              <w:tblW w:w="5000" w:type="pct"/>
              <w:tblLayout w:type="fixed"/>
              <w:tblLook w:val="0020" w:firstRow="1" w:lastRow="0" w:firstColumn="0" w:lastColumn="0" w:noHBand="0" w:noVBand="0"/>
            </w:tblPr>
            <w:tblGrid>
              <w:gridCol w:w="1066"/>
              <w:gridCol w:w="2134"/>
              <w:gridCol w:w="610"/>
              <w:gridCol w:w="1371"/>
              <w:gridCol w:w="761"/>
              <w:gridCol w:w="2896"/>
            </w:tblGrid>
            <w:tr w:rsidR="008928F8" w14:paraId="70E725A6" w14:textId="77777777" w:rsidTr="008928F8">
              <w:trPr>
                <w:cnfStyle w:val="100000000000" w:firstRow="1" w:lastRow="0" w:firstColumn="0" w:lastColumn="0" w:oddVBand="0" w:evenVBand="0" w:oddHBand="0" w:evenHBand="0" w:firstRowFirstColumn="0" w:firstRowLastColumn="0" w:lastRowFirstColumn="0" w:lastRowLastColumn="0"/>
                <w:tblHeader/>
              </w:trPr>
              <w:tc>
                <w:tcPr>
                  <w:tcW w:w="955" w:type="dxa"/>
                </w:tcPr>
                <w:p w14:paraId="12FDE362" w14:textId="77777777" w:rsidR="008928F8" w:rsidRDefault="00000000">
                  <w:pPr>
                    <w:pStyle w:val="Compact"/>
                    <w:jc w:val="center"/>
                  </w:pPr>
                  <w:r>
                    <w:t>Model</w:t>
                  </w:r>
                </w:p>
              </w:tc>
              <w:tc>
                <w:tcPr>
                  <w:tcW w:w="1911" w:type="dxa"/>
                </w:tcPr>
                <w:p w14:paraId="3108F534" w14:textId="77777777" w:rsidR="008928F8" w:rsidRDefault="00000000">
                  <w:pPr>
                    <w:pStyle w:val="Compact"/>
                    <w:jc w:val="center"/>
                  </w:pPr>
                  <w:r>
                    <w:t>Specification</w:t>
                  </w:r>
                </w:p>
              </w:tc>
              <w:tc>
                <w:tcPr>
                  <w:tcW w:w="546" w:type="dxa"/>
                </w:tcPr>
                <w:p w14:paraId="3FB3941F" w14:textId="77777777" w:rsidR="008928F8" w:rsidRDefault="00000000">
                  <w:pPr>
                    <w:pStyle w:val="Compact"/>
                    <w:jc w:val="center"/>
                  </w:pPr>
                  <w:r>
                    <w:t>R</w:t>
                  </w:r>
                  <w:r>
                    <w:rPr>
                      <w:vertAlign w:val="superscript"/>
                    </w:rPr>
                    <w:t>2</w:t>
                  </w:r>
                </w:p>
              </w:tc>
              <w:tc>
                <w:tcPr>
                  <w:tcW w:w="1228" w:type="dxa"/>
                </w:tcPr>
                <w:p w14:paraId="674646FF" w14:textId="77777777" w:rsidR="008928F8" w:rsidRDefault="00000000">
                  <w:pPr>
                    <w:pStyle w:val="Compact"/>
                    <w:jc w:val="center"/>
                  </w:pPr>
                  <w:r>
                    <w:t>Adj. R</w:t>
                  </w:r>
                  <w:r>
                    <w:rPr>
                      <w:vertAlign w:val="superscript"/>
                    </w:rPr>
                    <w:t>2</w:t>
                  </w:r>
                </w:p>
              </w:tc>
              <w:tc>
                <w:tcPr>
                  <w:tcW w:w="682" w:type="dxa"/>
                </w:tcPr>
                <w:p w14:paraId="0E1E8765" w14:textId="77777777" w:rsidR="008928F8" w:rsidRDefault="00000000">
                  <w:pPr>
                    <w:pStyle w:val="Compact"/>
                    <w:jc w:val="center"/>
                  </w:pPr>
                  <w:r>
                    <w:t>AIC</w:t>
                  </w:r>
                </w:p>
              </w:tc>
              <w:tc>
                <w:tcPr>
                  <w:tcW w:w="2594" w:type="dxa"/>
                </w:tcPr>
                <w:p w14:paraId="443CF09A" w14:textId="77777777" w:rsidR="008928F8" w:rsidRDefault="00000000">
                  <w:pPr>
                    <w:pStyle w:val="Compact"/>
                    <w:jc w:val="center"/>
                  </w:pPr>
                  <w:r>
                    <w:t>Pollen p (OLS)</w:t>
                  </w:r>
                </w:p>
              </w:tc>
            </w:tr>
            <w:tr w:rsidR="008928F8" w14:paraId="0E9E6731" w14:textId="77777777">
              <w:tc>
                <w:tcPr>
                  <w:tcW w:w="955" w:type="dxa"/>
                </w:tcPr>
                <w:p w14:paraId="6E9C4C1C" w14:textId="77777777" w:rsidR="008928F8" w:rsidRDefault="00000000">
                  <w:pPr>
                    <w:pStyle w:val="Compact"/>
                    <w:jc w:val="center"/>
                  </w:pPr>
                  <w:r>
                    <w:t>1</w:t>
                  </w:r>
                </w:p>
              </w:tc>
              <w:tc>
                <w:tcPr>
                  <w:tcW w:w="1911" w:type="dxa"/>
                </w:tcPr>
                <w:p w14:paraId="7D20C348" w14:textId="77777777" w:rsidR="008928F8" w:rsidRDefault="00000000">
                  <w:pPr>
                    <w:pStyle w:val="Compact"/>
                    <w:jc w:val="center"/>
                  </w:pPr>
                  <w:r>
                    <w:t>Pollen only</w:t>
                  </w:r>
                </w:p>
              </w:tc>
              <w:tc>
                <w:tcPr>
                  <w:tcW w:w="546" w:type="dxa"/>
                </w:tcPr>
                <w:p w14:paraId="6CF09DC2" w14:textId="77777777" w:rsidR="008928F8" w:rsidRDefault="00000000">
                  <w:pPr>
                    <w:pStyle w:val="Compact"/>
                    <w:jc w:val="center"/>
                  </w:pPr>
                  <w:r>
                    <w:t>0.110</w:t>
                  </w:r>
                </w:p>
              </w:tc>
              <w:tc>
                <w:tcPr>
                  <w:tcW w:w="1228" w:type="dxa"/>
                </w:tcPr>
                <w:p w14:paraId="65E11E60" w14:textId="77777777" w:rsidR="008928F8" w:rsidRDefault="00000000">
                  <w:pPr>
                    <w:pStyle w:val="Compact"/>
                    <w:jc w:val="center"/>
                  </w:pPr>
                  <w:r>
                    <w:t>0.090</w:t>
                  </w:r>
                </w:p>
              </w:tc>
              <w:tc>
                <w:tcPr>
                  <w:tcW w:w="682" w:type="dxa"/>
                </w:tcPr>
                <w:p w14:paraId="08572F4E" w14:textId="77777777" w:rsidR="008928F8" w:rsidRDefault="00000000">
                  <w:pPr>
                    <w:pStyle w:val="Compact"/>
                    <w:jc w:val="center"/>
                  </w:pPr>
                  <w:r>
                    <w:t>1381.4</w:t>
                  </w:r>
                </w:p>
              </w:tc>
              <w:tc>
                <w:tcPr>
                  <w:tcW w:w="2594" w:type="dxa"/>
                </w:tcPr>
                <w:p w14:paraId="13BE826E" w14:textId="77777777" w:rsidR="008928F8" w:rsidRDefault="00000000">
                  <w:pPr>
                    <w:pStyle w:val="Compact"/>
                    <w:jc w:val="center"/>
                  </w:pPr>
                  <w:r>
                    <w:t>0.023</w:t>
                  </w:r>
                </w:p>
              </w:tc>
            </w:tr>
            <w:tr w:rsidR="008928F8" w14:paraId="5245D724" w14:textId="77777777">
              <w:tc>
                <w:tcPr>
                  <w:tcW w:w="955" w:type="dxa"/>
                </w:tcPr>
                <w:p w14:paraId="6DE9833D" w14:textId="77777777" w:rsidR="008928F8" w:rsidRDefault="00000000">
                  <w:pPr>
                    <w:pStyle w:val="Compact"/>
                    <w:jc w:val="center"/>
                  </w:pPr>
                  <w:r>
                    <w:t>2</w:t>
                  </w:r>
                </w:p>
              </w:tc>
              <w:tc>
                <w:tcPr>
                  <w:tcW w:w="1911" w:type="dxa"/>
                </w:tcPr>
                <w:p w14:paraId="325C9D18" w14:textId="77777777" w:rsidR="008928F8" w:rsidRDefault="00000000">
                  <w:pPr>
                    <w:pStyle w:val="Compact"/>
                    <w:jc w:val="center"/>
                  </w:pPr>
                  <w:r>
                    <w:t>PM</w:t>
                  </w:r>
                  <w:r>
                    <w:rPr>
                      <w:vertAlign w:val="subscript"/>
                    </w:rPr>
                    <w:t>2.5</w:t>
                  </w:r>
                  <w:r>
                    <w:t xml:space="preserve"> only</w:t>
                  </w:r>
                </w:p>
              </w:tc>
              <w:tc>
                <w:tcPr>
                  <w:tcW w:w="546" w:type="dxa"/>
                </w:tcPr>
                <w:p w14:paraId="260364C8" w14:textId="77777777" w:rsidR="008928F8" w:rsidRDefault="00000000">
                  <w:pPr>
                    <w:pStyle w:val="Compact"/>
                    <w:jc w:val="center"/>
                  </w:pPr>
                  <w:r>
                    <w:t>0.022</w:t>
                  </w:r>
                </w:p>
              </w:tc>
              <w:tc>
                <w:tcPr>
                  <w:tcW w:w="1228" w:type="dxa"/>
                </w:tcPr>
                <w:p w14:paraId="6B3E15EF" w14:textId="77777777" w:rsidR="008928F8" w:rsidRDefault="00000000">
                  <w:pPr>
                    <w:pStyle w:val="Compact"/>
                    <w:jc w:val="center"/>
                  </w:pPr>
                  <w:r>
                    <w:t>0.001</w:t>
                  </w:r>
                </w:p>
              </w:tc>
              <w:tc>
                <w:tcPr>
                  <w:tcW w:w="682" w:type="dxa"/>
                </w:tcPr>
                <w:p w14:paraId="47DC6464" w14:textId="77777777" w:rsidR="008928F8" w:rsidRDefault="00000000">
                  <w:pPr>
                    <w:pStyle w:val="Compact"/>
                    <w:jc w:val="center"/>
                  </w:pPr>
                  <w:r>
                    <w:t>1385.7</w:t>
                  </w:r>
                </w:p>
              </w:tc>
              <w:tc>
                <w:tcPr>
                  <w:tcW w:w="2594" w:type="dxa"/>
                </w:tcPr>
                <w:p w14:paraId="6D041FD3" w14:textId="77777777" w:rsidR="008928F8" w:rsidRDefault="00000000">
                  <w:pPr>
                    <w:pStyle w:val="Compact"/>
                    <w:jc w:val="center"/>
                  </w:pPr>
                  <w:r>
                    <w:t>—</w:t>
                  </w:r>
                </w:p>
              </w:tc>
            </w:tr>
            <w:tr w:rsidR="008928F8" w14:paraId="3D1CB15E" w14:textId="77777777">
              <w:tc>
                <w:tcPr>
                  <w:tcW w:w="955" w:type="dxa"/>
                </w:tcPr>
                <w:p w14:paraId="5C5B52B9" w14:textId="77777777" w:rsidR="008928F8" w:rsidRDefault="00000000">
                  <w:pPr>
                    <w:pStyle w:val="Compact"/>
                    <w:jc w:val="center"/>
                  </w:pPr>
                  <w:r>
                    <w:t>3</w:t>
                  </w:r>
                </w:p>
              </w:tc>
              <w:tc>
                <w:tcPr>
                  <w:tcW w:w="1911" w:type="dxa"/>
                </w:tcPr>
                <w:p w14:paraId="36816A76" w14:textId="77777777" w:rsidR="008928F8" w:rsidRDefault="00000000">
                  <w:pPr>
                    <w:pStyle w:val="Compact"/>
                    <w:jc w:val="center"/>
                  </w:pPr>
                  <w:r>
                    <w:t>Pollen + PM</w:t>
                  </w:r>
                  <w:r>
                    <w:rPr>
                      <w:vertAlign w:val="subscript"/>
                    </w:rPr>
                    <w:t>2.5</w:t>
                  </w:r>
                </w:p>
              </w:tc>
              <w:tc>
                <w:tcPr>
                  <w:tcW w:w="546" w:type="dxa"/>
                </w:tcPr>
                <w:p w14:paraId="1DDDEFE2" w14:textId="77777777" w:rsidR="008928F8" w:rsidRDefault="00000000">
                  <w:pPr>
                    <w:pStyle w:val="Compact"/>
                    <w:jc w:val="center"/>
                  </w:pPr>
                  <w:r>
                    <w:t>0.132</w:t>
                  </w:r>
                </w:p>
              </w:tc>
              <w:tc>
                <w:tcPr>
                  <w:tcW w:w="1228" w:type="dxa"/>
                </w:tcPr>
                <w:p w14:paraId="664881B9" w14:textId="77777777" w:rsidR="008928F8" w:rsidRDefault="00000000">
                  <w:pPr>
                    <w:pStyle w:val="Compact"/>
                    <w:jc w:val="center"/>
                  </w:pPr>
                  <w:r>
                    <w:t>0.092</w:t>
                  </w:r>
                </w:p>
              </w:tc>
              <w:tc>
                <w:tcPr>
                  <w:tcW w:w="682" w:type="dxa"/>
                </w:tcPr>
                <w:p w14:paraId="06A58122" w14:textId="77777777" w:rsidR="008928F8" w:rsidRDefault="00000000">
                  <w:pPr>
                    <w:pStyle w:val="Compact"/>
                    <w:jc w:val="center"/>
                  </w:pPr>
                  <w:r>
                    <w:t>1382.2</w:t>
                  </w:r>
                </w:p>
              </w:tc>
              <w:tc>
                <w:tcPr>
                  <w:tcW w:w="2594" w:type="dxa"/>
                </w:tcPr>
                <w:p w14:paraId="1657B08C" w14:textId="77777777" w:rsidR="008928F8" w:rsidRDefault="00000000">
                  <w:pPr>
                    <w:pStyle w:val="Compact"/>
                    <w:jc w:val="center"/>
                  </w:pPr>
                  <w:r>
                    <w:t>0.023</w:t>
                  </w:r>
                </w:p>
              </w:tc>
            </w:tr>
            <w:tr w:rsidR="008928F8" w14:paraId="1CB346EE" w14:textId="77777777">
              <w:tc>
                <w:tcPr>
                  <w:tcW w:w="955" w:type="dxa"/>
                </w:tcPr>
                <w:p w14:paraId="10CD3A12" w14:textId="77777777" w:rsidR="008928F8" w:rsidRDefault="00000000">
                  <w:pPr>
                    <w:pStyle w:val="Compact"/>
                    <w:jc w:val="center"/>
                  </w:pPr>
                  <w:r>
                    <w:t>4</w:t>
                  </w:r>
                </w:p>
              </w:tc>
              <w:tc>
                <w:tcPr>
                  <w:tcW w:w="1911" w:type="dxa"/>
                </w:tcPr>
                <w:p w14:paraId="2C396CA1" w14:textId="77777777" w:rsidR="008928F8" w:rsidRDefault="00000000">
                  <w:pPr>
                    <w:pStyle w:val="Compact"/>
                    <w:jc w:val="center"/>
                  </w:pPr>
                  <w:r>
                    <w:t xml:space="preserve">+ Pollen </w:t>
                  </w:r>
                  <m:oMath>
                    <m:r>
                      <m:rPr>
                        <m:sty m:val="p"/>
                      </m:rPr>
                      <w:rPr>
                        <w:rFonts w:ascii="Cambria Math" w:hAnsi="Cambria Math"/>
                      </w:rPr>
                      <m:t>×</m:t>
                    </m:r>
                  </m:oMath>
                  <w:r>
                    <w:t xml:space="preserve"> PM</w:t>
                  </w:r>
                  <w:r>
                    <w:rPr>
                      <w:vertAlign w:val="subscript"/>
                    </w:rPr>
                    <w:t>2.5</w:t>
                  </w:r>
                </w:p>
              </w:tc>
              <w:tc>
                <w:tcPr>
                  <w:tcW w:w="546" w:type="dxa"/>
                </w:tcPr>
                <w:p w14:paraId="320916C9" w14:textId="77777777" w:rsidR="008928F8" w:rsidRDefault="00000000">
                  <w:pPr>
                    <w:pStyle w:val="Compact"/>
                    <w:jc w:val="center"/>
                  </w:pPr>
                  <w:r>
                    <w:t>0.133</w:t>
                  </w:r>
                </w:p>
              </w:tc>
              <w:tc>
                <w:tcPr>
                  <w:tcW w:w="1228" w:type="dxa"/>
                </w:tcPr>
                <w:p w14:paraId="21BBDCA3" w14:textId="77777777" w:rsidR="008928F8" w:rsidRDefault="00000000">
                  <w:pPr>
                    <w:pStyle w:val="Compact"/>
                    <w:jc w:val="center"/>
                  </w:pPr>
                  <w:r>
                    <w:t>0.072</w:t>
                  </w:r>
                </w:p>
              </w:tc>
              <w:tc>
                <w:tcPr>
                  <w:tcW w:w="682" w:type="dxa"/>
                </w:tcPr>
                <w:p w14:paraId="3F0C14DC" w14:textId="77777777" w:rsidR="008928F8" w:rsidRDefault="00000000">
                  <w:pPr>
                    <w:pStyle w:val="Compact"/>
                    <w:jc w:val="center"/>
                  </w:pPr>
                  <w:r>
                    <w:t>1384.1</w:t>
                  </w:r>
                </w:p>
              </w:tc>
              <w:tc>
                <w:tcPr>
                  <w:tcW w:w="2594" w:type="dxa"/>
                </w:tcPr>
                <w:p w14:paraId="4D8905E0" w14:textId="77777777" w:rsidR="008928F8" w:rsidRDefault="00000000">
                  <w:pPr>
                    <w:pStyle w:val="Compact"/>
                    <w:jc w:val="center"/>
                  </w:pPr>
                  <w:r>
                    <w:t>0.037</w:t>
                  </w:r>
                </w:p>
              </w:tc>
            </w:tr>
            <w:tr w:rsidR="008928F8" w14:paraId="390782B4" w14:textId="77777777">
              <w:tc>
                <w:tcPr>
                  <w:tcW w:w="955" w:type="dxa"/>
                </w:tcPr>
                <w:p w14:paraId="24B4E929" w14:textId="77777777" w:rsidR="008928F8" w:rsidRDefault="00000000">
                  <w:pPr>
                    <w:pStyle w:val="Compact"/>
                    <w:jc w:val="center"/>
                  </w:pPr>
                  <w:r>
                    <w:t>5</w:t>
                  </w:r>
                </w:p>
              </w:tc>
              <w:tc>
                <w:tcPr>
                  <w:tcW w:w="1911" w:type="dxa"/>
                </w:tcPr>
                <w:p w14:paraId="4B61956C" w14:textId="77777777" w:rsidR="008928F8" w:rsidRDefault="00000000">
                  <w:pPr>
                    <w:pStyle w:val="Compact"/>
                    <w:jc w:val="center"/>
                  </w:pPr>
                  <w:r>
                    <w:t>Full (PM</w:t>
                  </w:r>
                  <w:r>
                    <w:rPr>
                      <w:vertAlign w:val="subscript"/>
                    </w:rPr>
                    <w:t>2.5</w:t>
                  </w:r>
                  <w:r>
                    <w:t>)</w:t>
                  </w:r>
                </w:p>
              </w:tc>
              <w:tc>
                <w:tcPr>
                  <w:tcW w:w="546" w:type="dxa"/>
                </w:tcPr>
                <w:p w14:paraId="79AE2DAB" w14:textId="77777777" w:rsidR="008928F8" w:rsidRDefault="00000000">
                  <w:pPr>
                    <w:pStyle w:val="Compact"/>
                    <w:jc w:val="center"/>
                  </w:pPr>
                  <w:r>
                    <w:t>0.357</w:t>
                  </w:r>
                </w:p>
              </w:tc>
              <w:tc>
                <w:tcPr>
                  <w:tcW w:w="1228" w:type="dxa"/>
                </w:tcPr>
                <w:p w14:paraId="2A1AE65E" w14:textId="77777777" w:rsidR="008928F8" w:rsidRDefault="00000000">
                  <w:pPr>
                    <w:pStyle w:val="Compact"/>
                    <w:jc w:val="center"/>
                  </w:pPr>
                  <w:r>
                    <w:t>0.279</w:t>
                  </w:r>
                </w:p>
              </w:tc>
              <w:tc>
                <w:tcPr>
                  <w:tcW w:w="682" w:type="dxa"/>
                </w:tcPr>
                <w:p w14:paraId="650477B1" w14:textId="77777777" w:rsidR="008928F8" w:rsidRDefault="00000000">
                  <w:pPr>
                    <w:pStyle w:val="Compact"/>
                    <w:jc w:val="center"/>
                  </w:pPr>
                  <w:r>
                    <w:t>1374.0</w:t>
                  </w:r>
                </w:p>
              </w:tc>
              <w:tc>
                <w:tcPr>
                  <w:tcW w:w="2594" w:type="dxa"/>
                </w:tcPr>
                <w:p w14:paraId="7770AF71" w14:textId="77777777" w:rsidR="008928F8" w:rsidRDefault="00000000">
                  <w:pPr>
                    <w:pStyle w:val="Compact"/>
                    <w:jc w:val="center"/>
                  </w:pPr>
                  <w:r>
                    <w:t>0.014</w:t>
                  </w:r>
                </w:p>
              </w:tc>
            </w:tr>
            <w:tr w:rsidR="008928F8" w14:paraId="1FB2B96F" w14:textId="77777777">
              <w:tc>
                <w:tcPr>
                  <w:tcW w:w="955" w:type="dxa"/>
                </w:tcPr>
                <w:p w14:paraId="702E0895" w14:textId="77777777" w:rsidR="008928F8" w:rsidRDefault="00000000">
                  <w:pPr>
                    <w:pStyle w:val="Compact"/>
                    <w:jc w:val="center"/>
                  </w:pPr>
                  <w:r>
                    <w:rPr>
                      <w:b/>
                      <w:bCs/>
                    </w:rPr>
                    <w:t>6</w:t>
                  </w:r>
                </w:p>
              </w:tc>
              <w:tc>
                <w:tcPr>
                  <w:tcW w:w="1911" w:type="dxa"/>
                </w:tcPr>
                <w:p w14:paraId="310C2A20" w14:textId="77777777" w:rsidR="008928F8" w:rsidRDefault="00000000">
                  <w:pPr>
                    <w:pStyle w:val="Compact"/>
                    <w:jc w:val="center"/>
                  </w:pPr>
                  <w:r>
                    <w:rPr>
                      <w:b/>
                      <w:bCs/>
                    </w:rPr>
                    <w:t>Full (SPM)</w:t>
                  </w:r>
                </w:p>
              </w:tc>
              <w:tc>
                <w:tcPr>
                  <w:tcW w:w="546" w:type="dxa"/>
                </w:tcPr>
                <w:p w14:paraId="3AB8D9FA" w14:textId="77777777" w:rsidR="008928F8" w:rsidRDefault="00000000">
                  <w:pPr>
                    <w:pStyle w:val="Compact"/>
                    <w:jc w:val="center"/>
                  </w:pPr>
                  <w:r>
                    <w:rPr>
                      <w:b/>
                      <w:bCs/>
                    </w:rPr>
                    <w:t>0.469</w:t>
                  </w:r>
                </w:p>
              </w:tc>
              <w:tc>
                <w:tcPr>
                  <w:tcW w:w="1228" w:type="dxa"/>
                </w:tcPr>
                <w:p w14:paraId="608F292E" w14:textId="77777777" w:rsidR="008928F8" w:rsidRDefault="00000000">
                  <w:pPr>
                    <w:pStyle w:val="Compact"/>
                    <w:jc w:val="center"/>
                  </w:pPr>
                  <w:r>
                    <w:rPr>
                      <w:b/>
                      <w:bCs/>
                    </w:rPr>
                    <w:t>0.404</w:t>
                  </w:r>
                </w:p>
              </w:tc>
              <w:tc>
                <w:tcPr>
                  <w:tcW w:w="682" w:type="dxa"/>
                </w:tcPr>
                <w:p w14:paraId="6F2BAFFC" w14:textId="77777777" w:rsidR="008928F8" w:rsidRDefault="00000000">
                  <w:pPr>
                    <w:pStyle w:val="Compact"/>
                    <w:jc w:val="center"/>
                  </w:pPr>
                  <w:r>
                    <w:rPr>
                      <w:b/>
                      <w:bCs/>
                    </w:rPr>
                    <w:t>1365.0</w:t>
                  </w:r>
                </w:p>
              </w:tc>
              <w:tc>
                <w:tcPr>
                  <w:tcW w:w="2594" w:type="dxa"/>
                </w:tcPr>
                <w:p w14:paraId="7A0B546C" w14:textId="77777777" w:rsidR="008928F8" w:rsidRDefault="00000000">
                  <w:pPr>
                    <w:pStyle w:val="Compact"/>
                    <w:jc w:val="center"/>
                  </w:pPr>
                  <w:r>
                    <w:rPr>
                      <w:b/>
                      <w:bCs/>
                    </w:rPr>
                    <w:t>0.008</w:t>
                  </w:r>
                </w:p>
              </w:tc>
            </w:tr>
            <w:bookmarkEnd w:id="78"/>
          </w:tbl>
          <w:p w14:paraId="26809717" w14:textId="77777777" w:rsidR="008928F8" w:rsidRDefault="008928F8"/>
        </w:tc>
      </w:tr>
    </w:tbl>
    <w:p w14:paraId="2C49B6E7" w14:textId="77777777" w:rsidR="008928F8" w:rsidRDefault="00000000">
      <w:pPr>
        <w:pStyle w:val="a0"/>
      </w:pPr>
      <w:r>
        <w:t xml:space="preserve"> </w:t>
      </w:r>
    </w:p>
    <w:tbl>
      <w:tblPr>
        <w:tblStyle w:val="Table"/>
        <w:tblW w:w="5000" w:type="pct"/>
        <w:tblLayout w:type="fixed"/>
        <w:tblLook w:val="0000" w:firstRow="0" w:lastRow="0" w:firstColumn="0" w:lastColumn="0" w:noHBand="0" w:noVBand="0"/>
      </w:tblPr>
      <w:tblGrid>
        <w:gridCol w:w="9054"/>
      </w:tblGrid>
      <w:tr w:rsidR="008928F8" w14:paraId="45EF7B00" w14:textId="77777777">
        <w:tc>
          <w:tcPr>
            <w:tcW w:w="7920" w:type="dxa"/>
          </w:tcPr>
          <w:p w14:paraId="22FA7ADC" w14:textId="77777777" w:rsidR="008928F8" w:rsidRDefault="00000000">
            <w:pPr>
              <w:pStyle w:val="ImageCaption"/>
              <w:spacing w:before="200"/>
            </w:pPr>
            <w:bookmarkStart w:id="79" w:name="tbl-model6"/>
            <w:r>
              <w:t>Table 3: Coefficients for the best-fitting model (Model 6: SPM specification with interaction) {#tbl-model6}</w:t>
            </w:r>
          </w:p>
          <w:tbl>
            <w:tblPr>
              <w:tblStyle w:val="Table"/>
              <w:tblW w:w="5000" w:type="pct"/>
              <w:tblLayout w:type="fixed"/>
              <w:tblLook w:val="0020" w:firstRow="1" w:lastRow="0" w:firstColumn="0" w:lastColumn="0" w:noHBand="0" w:noVBand="0"/>
            </w:tblPr>
            <w:tblGrid>
              <w:gridCol w:w="2105"/>
              <w:gridCol w:w="1473"/>
              <w:gridCol w:w="2104"/>
              <w:gridCol w:w="1683"/>
              <w:gridCol w:w="1473"/>
            </w:tblGrid>
            <w:tr w:rsidR="008928F8" w14:paraId="0242713A" w14:textId="77777777" w:rsidTr="008928F8">
              <w:trPr>
                <w:cnfStyle w:val="100000000000" w:firstRow="1" w:lastRow="0" w:firstColumn="0" w:lastColumn="0" w:oddVBand="0" w:evenVBand="0" w:oddHBand="0" w:evenHBand="0" w:firstRowFirstColumn="0" w:firstRowLastColumn="0" w:lastRowFirstColumn="0" w:lastRowLastColumn="0"/>
                <w:tblHeader/>
              </w:trPr>
              <w:tc>
                <w:tcPr>
                  <w:tcW w:w="1885" w:type="dxa"/>
                </w:tcPr>
                <w:p w14:paraId="7E481393" w14:textId="77777777" w:rsidR="008928F8" w:rsidRDefault="00000000">
                  <w:pPr>
                    <w:pStyle w:val="Compact"/>
                    <w:jc w:val="center"/>
                  </w:pPr>
                  <w:r>
                    <w:t>Variable</w:t>
                  </w:r>
                </w:p>
              </w:tc>
              <w:tc>
                <w:tcPr>
                  <w:tcW w:w="1320" w:type="dxa"/>
                </w:tcPr>
                <w:p w14:paraId="2E23DD73" w14:textId="77777777" w:rsidR="008928F8" w:rsidRDefault="00000000">
                  <w:pPr>
                    <w:pStyle w:val="Compact"/>
                    <w:jc w:val="center"/>
                  </w:pPr>
                  <m:oMathPara>
                    <m:oMath>
                      <m:r>
                        <w:rPr>
                          <w:rFonts w:ascii="Cambria Math" w:hAnsi="Cambria Math"/>
                        </w:rPr>
                        <m:t>β</m:t>
                      </m:r>
                    </m:oMath>
                  </m:oMathPara>
                </w:p>
              </w:tc>
              <w:tc>
                <w:tcPr>
                  <w:tcW w:w="1885" w:type="dxa"/>
                </w:tcPr>
                <w:p w14:paraId="30F33FBF" w14:textId="77777777" w:rsidR="008928F8" w:rsidRDefault="00000000">
                  <w:pPr>
                    <w:pStyle w:val="Compact"/>
                    <w:jc w:val="center"/>
                  </w:pPr>
                  <w:r>
                    <w:t>SE</w:t>
                  </w:r>
                </w:p>
              </w:tc>
              <w:tc>
                <w:tcPr>
                  <w:tcW w:w="1508" w:type="dxa"/>
                </w:tcPr>
                <w:p w14:paraId="7EE15A59" w14:textId="77777777" w:rsidR="008928F8" w:rsidRDefault="00000000">
                  <w:pPr>
                    <w:pStyle w:val="Compact"/>
                    <w:jc w:val="center"/>
                  </w:pPr>
                  <w:r>
                    <w:t>95% CI</w:t>
                  </w:r>
                </w:p>
              </w:tc>
              <w:tc>
                <w:tcPr>
                  <w:tcW w:w="1320" w:type="dxa"/>
                </w:tcPr>
                <w:p w14:paraId="265411FA" w14:textId="77777777" w:rsidR="008928F8" w:rsidRDefault="00000000">
                  <w:pPr>
                    <w:pStyle w:val="Compact"/>
                    <w:jc w:val="center"/>
                  </w:pPr>
                  <w:r>
                    <w:t>p</w:t>
                  </w:r>
                </w:p>
              </w:tc>
            </w:tr>
            <w:tr w:rsidR="008928F8" w14:paraId="0447325D" w14:textId="77777777">
              <w:tc>
                <w:tcPr>
                  <w:tcW w:w="1885" w:type="dxa"/>
                </w:tcPr>
                <w:p w14:paraId="49FE6389" w14:textId="77777777" w:rsidR="008928F8" w:rsidRDefault="00000000">
                  <w:pPr>
                    <w:pStyle w:val="Compact"/>
                    <w:jc w:val="center"/>
                  </w:pPr>
                  <w:r>
                    <w:t>Intercept</w:t>
                  </w:r>
                </w:p>
              </w:tc>
              <w:tc>
                <w:tcPr>
                  <w:tcW w:w="1320" w:type="dxa"/>
                </w:tcPr>
                <w:p w14:paraId="3F3D51B8" w14:textId="77777777" w:rsidR="008928F8" w:rsidRDefault="00000000">
                  <w:pPr>
                    <w:pStyle w:val="Compact"/>
                    <w:jc w:val="center"/>
                  </w:pPr>
                  <w:r>
                    <w:t>7,248,585</w:t>
                  </w:r>
                </w:p>
              </w:tc>
              <w:tc>
                <w:tcPr>
                  <w:tcW w:w="1885" w:type="dxa"/>
                </w:tcPr>
                <w:p w14:paraId="2E74CD3F" w14:textId="77777777" w:rsidR="008928F8" w:rsidRDefault="00000000">
                  <w:pPr>
                    <w:pStyle w:val="Compact"/>
                    <w:jc w:val="center"/>
                  </w:pPr>
                  <w:r>
                    <w:t>1,233,257</w:t>
                  </w:r>
                </w:p>
              </w:tc>
              <w:tc>
                <w:tcPr>
                  <w:tcW w:w="1508" w:type="dxa"/>
                </w:tcPr>
                <w:p w14:paraId="51F2B5B7" w14:textId="77777777" w:rsidR="008928F8" w:rsidRDefault="00000000">
                  <w:pPr>
                    <w:pStyle w:val="Compact"/>
                    <w:jc w:val="center"/>
                  </w:pPr>
                  <w:r>
                    <w:t>[4,757,971; 9,739,199]</w:t>
                  </w:r>
                </w:p>
              </w:tc>
              <w:tc>
                <w:tcPr>
                  <w:tcW w:w="1320" w:type="dxa"/>
                </w:tcPr>
                <w:p w14:paraId="6732006D" w14:textId="77777777" w:rsidR="008928F8" w:rsidRDefault="00000000">
                  <w:pPr>
                    <w:pStyle w:val="Compact"/>
                    <w:jc w:val="center"/>
                  </w:pPr>
                  <w:r>
                    <w:t>&lt; 0.001</w:t>
                  </w:r>
                </w:p>
              </w:tc>
            </w:tr>
            <w:tr w:rsidR="008928F8" w14:paraId="12AAF049" w14:textId="77777777">
              <w:tc>
                <w:tcPr>
                  <w:tcW w:w="1885" w:type="dxa"/>
                </w:tcPr>
                <w:p w14:paraId="3A63C851" w14:textId="77777777" w:rsidR="008928F8" w:rsidRDefault="00000000">
                  <w:pPr>
                    <w:pStyle w:val="Compact"/>
                    <w:jc w:val="center"/>
                  </w:pPr>
                  <w:r>
                    <w:t>Pollen count</w:t>
                  </w:r>
                </w:p>
              </w:tc>
              <w:tc>
                <w:tcPr>
                  <w:tcW w:w="1320" w:type="dxa"/>
                </w:tcPr>
                <w:p w14:paraId="21089D8D" w14:textId="77777777" w:rsidR="008928F8" w:rsidRDefault="00000000">
                  <w:pPr>
                    <w:pStyle w:val="Compact"/>
                    <w:jc w:val="center"/>
                  </w:pPr>
                  <w:r>
                    <w:t>59.5</w:t>
                  </w:r>
                </w:p>
              </w:tc>
              <w:tc>
                <w:tcPr>
                  <w:tcW w:w="1885" w:type="dxa"/>
                </w:tcPr>
                <w:p w14:paraId="6290E0B2" w14:textId="77777777" w:rsidR="008928F8" w:rsidRDefault="00000000">
                  <w:pPr>
                    <w:pStyle w:val="Compact"/>
                    <w:jc w:val="center"/>
                  </w:pPr>
                  <w:r>
                    <w:t>21.4</w:t>
                  </w:r>
                </w:p>
              </w:tc>
              <w:tc>
                <w:tcPr>
                  <w:tcW w:w="1508" w:type="dxa"/>
                </w:tcPr>
                <w:p w14:paraId="6B08E886" w14:textId="77777777" w:rsidR="008928F8" w:rsidRDefault="00000000">
                  <w:pPr>
                    <w:pStyle w:val="Compact"/>
                    <w:jc w:val="center"/>
                  </w:pPr>
                  <w:r>
                    <w:t>[16.2; 102.7]</w:t>
                  </w:r>
                </w:p>
              </w:tc>
              <w:tc>
                <w:tcPr>
                  <w:tcW w:w="1320" w:type="dxa"/>
                </w:tcPr>
                <w:p w14:paraId="4FCD510B" w14:textId="77777777" w:rsidR="008928F8" w:rsidRDefault="00000000">
                  <w:pPr>
                    <w:pStyle w:val="Compact"/>
                    <w:jc w:val="center"/>
                  </w:pPr>
                  <w:r>
                    <w:t>0.008</w:t>
                  </w:r>
                </w:p>
              </w:tc>
            </w:tr>
            <w:tr w:rsidR="008928F8" w14:paraId="0FDA9041" w14:textId="77777777">
              <w:tc>
                <w:tcPr>
                  <w:tcW w:w="1885" w:type="dxa"/>
                </w:tcPr>
                <w:p w14:paraId="42D0D977" w14:textId="77777777" w:rsidR="008928F8" w:rsidRDefault="00000000">
                  <w:pPr>
                    <w:pStyle w:val="Compact"/>
                    <w:jc w:val="center"/>
                  </w:pPr>
                  <w:r>
                    <w:t>SPM</w:t>
                  </w:r>
                </w:p>
              </w:tc>
              <w:tc>
                <w:tcPr>
                  <w:tcW w:w="1320" w:type="dxa"/>
                </w:tcPr>
                <w:p w14:paraId="613385DE" w14:textId="77777777" w:rsidR="008928F8" w:rsidRDefault="00000000">
                  <w:pPr>
                    <w:pStyle w:val="Compact"/>
                    <w:jc w:val="center"/>
                  </w:pPr>
                  <w:r>
                    <w:t>–68,668,596</w:t>
                  </w:r>
                </w:p>
              </w:tc>
              <w:tc>
                <w:tcPr>
                  <w:tcW w:w="1885" w:type="dxa"/>
                </w:tcPr>
                <w:p w14:paraId="10A3751C" w14:textId="77777777" w:rsidR="008928F8" w:rsidRDefault="00000000">
                  <w:pPr>
                    <w:pStyle w:val="Compact"/>
                    <w:jc w:val="center"/>
                  </w:pPr>
                  <w:r>
                    <w:t>39,587,978</w:t>
                  </w:r>
                </w:p>
              </w:tc>
              <w:tc>
                <w:tcPr>
                  <w:tcW w:w="1508" w:type="dxa"/>
                </w:tcPr>
                <w:p w14:paraId="69D07661" w14:textId="77777777" w:rsidR="008928F8" w:rsidRDefault="00000000">
                  <w:pPr>
                    <w:pStyle w:val="Compact"/>
                    <w:jc w:val="center"/>
                  </w:pPr>
                  <w:r>
                    <w:t xml:space="preserve">[–148,618,140; </w:t>
                  </w:r>
                  <w:r>
                    <w:lastRenderedPageBreak/>
                    <w:t>11,280,948]</w:t>
                  </w:r>
                </w:p>
              </w:tc>
              <w:tc>
                <w:tcPr>
                  <w:tcW w:w="1320" w:type="dxa"/>
                </w:tcPr>
                <w:p w14:paraId="7D5A64D1" w14:textId="77777777" w:rsidR="008928F8" w:rsidRDefault="00000000">
                  <w:pPr>
                    <w:pStyle w:val="Compact"/>
                    <w:jc w:val="center"/>
                  </w:pPr>
                  <w:r>
                    <w:lastRenderedPageBreak/>
                    <w:t>0.090</w:t>
                  </w:r>
                </w:p>
              </w:tc>
            </w:tr>
            <w:tr w:rsidR="008928F8" w14:paraId="5F082759" w14:textId="77777777">
              <w:tc>
                <w:tcPr>
                  <w:tcW w:w="1885" w:type="dxa"/>
                </w:tcPr>
                <w:p w14:paraId="4EDCB77F" w14:textId="77777777" w:rsidR="008928F8" w:rsidRDefault="00000000">
                  <w:pPr>
                    <w:pStyle w:val="Compact"/>
                    <w:jc w:val="center"/>
                  </w:pPr>
                  <w:r>
                    <w:t xml:space="preserve">Pollen </w:t>
                  </w:r>
                  <m:oMath>
                    <m:r>
                      <m:rPr>
                        <m:sty m:val="p"/>
                      </m:rPr>
                      <w:rPr>
                        <w:rFonts w:ascii="Cambria Math" w:hAnsi="Cambria Math"/>
                      </w:rPr>
                      <m:t>×</m:t>
                    </m:r>
                  </m:oMath>
                  <w:r>
                    <w:t xml:space="preserve"> SPM</w:t>
                  </w:r>
                </w:p>
              </w:tc>
              <w:tc>
                <w:tcPr>
                  <w:tcW w:w="1320" w:type="dxa"/>
                </w:tcPr>
                <w:p w14:paraId="04787196" w14:textId="77777777" w:rsidR="008928F8" w:rsidRDefault="00000000">
                  <w:pPr>
                    <w:pStyle w:val="Compact"/>
                    <w:jc w:val="center"/>
                  </w:pPr>
                  <w:r>
                    <w:t>33,247</w:t>
                  </w:r>
                </w:p>
              </w:tc>
              <w:tc>
                <w:tcPr>
                  <w:tcW w:w="1885" w:type="dxa"/>
                </w:tcPr>
                <w:p w14:paraId="1BAA30EE" w14:textId="77777777" w:rsidR="008928F8" w:rsidRDefault="00000000">
                  <w:pPr>
                    <w:pStyle w:val="Compact"/>
                    <w:jc w:val="center"/>
                  </w:pPr>
                  <w:r>
                    <w:t>13,697</w:t>
                  </w:r>
                </w:p>
              </w:tc>
              <w:tc>
                <w:tcPr>
                  <w:tcW w:w="1508" w:type="dxa"/>
                </w:tcPr>
                <w:p w14:paraId="6B23DF18" w14:textId="77777777" w:rsidR="008928F8" w:rsidRDefault="00000000">
                  <w:pPr>
                    <w:pStyle w:val="Compact"/>
                    <w:jc w:val="center"/>
                  </w:pPr>
                  <w:r>
                    <w:t>[5,586; 60,908]</w:t>
                  </w:r>
                </w:p>
              </w:tc>
              <w:tc>
                <w:tcPr>
                  <w:tcW w:w="1320" w:type="dxa"/>
                </w:tcPr>
                <w:p w14:paraId="5A32843E" w14:textId="77777777" w:rsidR="008928F8" w:rsidRDefault="00000000">
                  <w:pPr>
                    <w:pStyle w:val="Compact"/>
                    <w:jc w:val="center"/>
                  </w:pPr>
                  <w:r>
                    <w:t>0.020</w:t>
                  </w:r>
                </w:p>
              </w:tc>
            </w:tr>
            <w:tr w:rsidR="008928F8" w14:paraId="73F01837" w14:textId="77777777">
              <w:tc>
                <w:tcPr>
                  <w:tcW w:w="1885" w:type="dxa"/>
                </w:tcPr>
                <w:p w14:paraId="56DA5F97" w14:textId="77777777" w:rsidR="008928F8" w:rsidRDefault="00000000">
                  <w:pPr>
                    <w:pStyle w:val="Compact"/>
                    <w:jc w:val="center"/>
                  </w:pPr>
                  <w:r>
                    <w:t>Aging rate</w:t>
                  </w:r>
                </w:p>
              </w:tc>
              <w:tc>
                <w:tcPr>
                  <w:tcW w:w="1320" w:type="dxa"/>
                </w:tcPr>
                <w:p w14:paraId="12921107" w14:textId="77777777" w:rsidR="008928F8" w:rsidRDefault="00000000">
                  <w:pPr>
                    <w:pStyle w:val="Compact"/>
                    <w:jc w:val="center"/>
                  </w:pPr>
                  <w:r>
                    <w:t>–45,011</w:t>
                  </w:r>
                </w:p>
              </w:tc>
              <w:tc>
                <w:tcPr>
                  <w:tcW w:w="1885" w:type="dxa"/>
                </w:tcPr>
                <w:p w14:paraId="08A405F9" w14:textId="77777777" w:rsidR="008928F8" w:rsidRDefault="00000000">
                  <w:pPr>
                    <w:pStyle w:val="Compact"/>
                    <w:jc w:val="center"/>
                  </w:pPr>
                  <w:r>
                    <w:t>31,666</w:t>
                  </w:r>
                </w:p>
              </w:tc>
              <w:tc>
                <w:tcPr>
                  <w:tcW w:w="1508" w:type="dxa"/>
                </w:tcPr>
                <w:p w14:paraId="1785DF6D" w14:textId="77777777" w:rsidR="008928F8" w:rsidRDefault="00000000">
                  <w:pPr>
                    <w:pStyle w:val="Compact"/>
                    <w:jc w:val="center"/>
                  </w:pPr>
                  <w:r>
                    <w:t>[–108,962; 18,941]</w:t>
                  </w:r>
                </w:p>
              </w:tc>
              <w:tc>
                <w:tcPr>
                  <w:tcW w:w="1320" w:type="dxa"/>
                </w:tcPr>
                <w:p w14:paraId="05D91465" w14:textId="77777777" w:rsidR="008928F8" w:rsidRDefault="00000000">
                  <w:pPr>
                    <w:pStyle w:val="Compact"/>
                    <w:jc w:val="center"/>
                  </w:pPr>
                  <w:r>
                    <w:t>0.163</w:t>
                  </w:r>
                </w:p>
              </w:tc>
            </w:tr>
            <w:tr w:rsidR="008928F8" w14:paraId="6FC6E24C" w14:textId="77777777">
              <w:tc>
                <w:tcPr>
                  <w:tcW w:w="1885" w:type="dxa"/>
                </w:tcPr>
                <w:p w14:paraId="5CDDF8A7" w14:textId="77777777" w:rsidR="008928F8" w:rsidRDefault="00000000">
                  <w:pPr>
                    <w:pStyle w:val="Compact"/>
                    <w:jc w:val="center"/>
                  </w:pPr>
                  <w:r>
                    <w:t>Pop. density</w:t>
                  </w:r>
                </w:p>
              </w:tc>
              <w:tc>
                <w:tcPr>
                  <w:tcW w:w="1320" w:type="dxa"/>
                </w:tcPr>
                <w:p w14:paraId="4A99167A" w14:textId="77777777" w:rsidR="008928F8" w:rsidRDefault="00000000">
                  <w:pPr>
                    <w:pStyle w:val="Compact"/>
                    <w:jc w:val="center"/>
                  </w:pPr>
                  <w:r>
                    <w:t>181.9</w:t>
                  </w:r>
                </w:p>
              </w:tc>
              <w:tc>
                <w:tcPr>
                  <w:tcW w:w="1885" w:type="dxa"/>
                </w:tcPr>
                <w:p w14:paraId="6E00312A" w14:textId="77777777" w:rsidR="008928F8" w:rsidRDefault="00000000">
                  <w:pPr>
                    <w:pStyle w:val="Compact"/>
                    <w:jc w:val="center"/>
                  </w:pPr>
                  <w:r>
                    <w:t>75.3</w:t>
                  </w:r>
                </w:p>
              </w:tc>
              <w:tc>
                <w:tcPr>
                  <w:tcW w:w="1508" w:type="dxa"/>
                </w:tcPr>
                <w:p w14:paraId="186B1936" w14:textId="77777777" w:rsidR="008928F8" w:rsidRDefault="00000000">
                  <w:pPr>
                    <w:pStyle w:val="Compact"/>
                    <w:jc w:val="center"/>
                  </w:pPr>
                  <w:r>
                    <w:t>[29.7; 334.0]</w:t>
                  </w:r>
                </w:p>
              </w:tc>
              <w:tc>
                <w:tcPr>
                  <w:tcW w:w="1320" w:type="dxa"/>
                </w:tcPr>
                <w:p w14:paraId="5FB2F752" w14:textId="77777777" w:rsidR="008928F8" w:rsidRDefault="00000000">
                  <w:pPr>
                    <w:pStyle w:val="Compact"/>
                    <w:jc w:val="center"/>
                  </w:pPr>
                  <w:r>
                    <w:t>0.020</w:t>
                  </w:r>
                </w:p>
              </w:tc>
            </w:tr>
            <w:bookmarkEnd w:id="79"/>
          </w:tbl>
          <w:p w14:paraId="3BE471D3" w14:textId="77777777" w:rsidR="008928F8" w:rsidRDefault="008928F8"/>
        </w:tc>
      </w:tr>
    </w:tbl>
    <w:p w14:paraId="0F4E968E" w14:textId="77777777" w:rsidR="008928F8" w:rsidRDefault="00000000">
      <w:pPr>
        <w:pStyle w:val="a0"/>
      </w:pPr>
      <w:r>
        <w:lastRenderedPageBreak/>
        <w:t xml:space="preserve"> </w:t>
      </w:r>
    </w:p>
    <w:tbl>
      <w:tblPr>
        <w:tblStyle w:val="Table"/>
        <w:tblW w:w="5000" w:type="pct"/>
        <w:tblLayout w:type="fixed"/>
        <w:tblLook w:val="0000" w:firstRow="0" w:lastRow="0" w:firstColumn="0" w:lastColumn="0" w:noHBand="0" w:noVBand="0"/>
      </w:tblPr>
      <w:tblGrid>
        <w:gridCol w:w="9054"/>
      </w:tblGrid>
      <w:tr w:rsidR="008928F8" w14:paraId="54AA72CD" w14:textId="77777777">
        <w:tc>
          <w:tcPr>
            <w:tcW w:w="7920" w:type="dxa"/>
          </w:tcPr>
          <w:p w14:paraId="54F27A1C" w14:textId="77777777" w:rsidR="008928F8" w:rsidRDefault="00000000">
            <w:pPr>
              <w:pStyle w:val="ImageCaption"/>
              <w:spacing w:before="200"/>
            </w:pPr>
            <w:bookmarkStart w:id="80" w:name="tbl-hc3"/>
            <w:r>
              <w:t>Table 4: p-values under standard OLS versus HC3 robust standard errors. The SPM specification (Model 6) maintains significance for pollen count and population density under HC3, while the PM</w:t>
            </w:r>
            <w:r>
              <w:rPr>
                <w:vertAlign w:val="subscript"/>
              </w:rPr>
              <w:t>2.5</w:t>
            </w:r>
            <w:r>
              <w:t xml:space="preserve"> specification (Model 5) does not. {#tbl-hc3}</w:t>
            </w:r>
          </w:p>
          <w:tbl>
            <w:tblPr>
              <w:tblStyle w:val="Table"/>
              <w:tblW w:w="0" w:type="auto"/>
              <w:tblLook w:val="0020" w:firstRow="1" w:lastRow="0" w:firstColumn="0" w:lastColumn="0" w:noHBand="0" w:noVBand="0"/>
            </w:tblPr>
            <w:tblGrid>
              <w:gridCol w:w="1584"/>
              <w:gridCol w:w="1584"/>
              <w:gridCol w:w="1584"/>
              <w:gridCol w:w="1584"/>
              <w:gridCol w:w="1584"/>
            </w:tblGrid>
            <w:tr w:rsidR="008928F8" w14:paraId="5D9CAD2C" w14:textId="77777777" w:rsidTr="008928F8">
              <w:trPr>
                <w:cnfStyle w:val="100000000000" w:firstRow="1" w:lastRow="0" w:firstColumn="0" w:lastColumn="0" w:oddVBand="0" w:evenVBand="0" w:oddHBand="0" w:evenHBand="0" w:firstRowFirstColumn="0" w:firstRowLastColumn="0" w:lastRowFirstColumn="0" w:lastRowLastColumn="0"/>
                <w:tblHeader/>
              </w:trPr>
              <w:tc>
                <w:tcPr>
                  <w:tcW w:w="1584" w:type="dxa"/>
                </w:tcPr>
                <w:p w14:paraId="75436AAC" w14:textId="77777777" w:rsidR="008928F8" w:rsidRDefault="00000000">
                  <w:pPr>
                    <w:pStyle w:val="Compact"/>
                    <w:jc w:val="center"/>
                  </w:pPr>
                  <w:r>
                    <w:t>Variable</w:t>
                  </w:r>
                </w:p>
              </w:tc>
              <w:tc>
                <w:tcPr>
                  <w:tcW w:w="1584" w:type="dxa"/>
                </w:tcPr>
                <w:p w14:paraId="366034E8" w14:textId="77777777" w:rsidR="008928F8" w:rsidRDefault="00000000">
                  <w:pPr>
                    <w:pStyle w:val="Compact"/>
                    <w:jc w:val="center"/>
                  </w:pPr>
                  <w:r>
                    <w:t>M5 OLS</w:t>
                  </w:r>
                </w:p>
              </w:tc>
              <w:tc>
                <w:tcPr>
                  <w:tcW w:w="1584" w:type="dxa"/>
                </w:tcPr>
                <w:p w14:paraId="23DA7BD4" w14:textId="77777777" w:rsidR="008928F8" w:rsidRDefault="00000000">
                  <w:pPr>
                    <w:pStyle w:val="Compact"/>
                    <w:jc w:val="center"/>
                  </w:pPr>
                  <w:r>
                    <w:t>M5 HC3</w:t>
                  </w:r>
                </w:p>
              </w:tc>
              <w:tc>
                <w:tcPr>
                  <w:tcW w:w="1584" w:type="dxa"/>
                </w:tcPr>
                <w:p w14:paraId="0FCD3BCD" w14:textId="77777777" w:rsidR="008928F8" w:rsidRDefault="00000000">
                  <w:pPr>
                    <w:pStyle w:val="Compact"/>
                    <w:jc w:val="center"/>
                  </w:pPr>
                  <w:r>
                    <w:t>M6 OLS</w:t>
                  </w:r>
                </w:p>
              </w:tc>
              <w:tc>
                <w:tcPr>
                  <w:tcW w:w="1584" w:type="dxa"/>
                </w:tcPr>
                <w:p w14:paraId="4F7BDB66" w14:textId="77777777" w:rsidR="008928F8" w:rsidRDefault="00000000">
                  <w:pPr>
                    <w:pStyle w:val="Compact"/>
                    <w:jc w:val="center"/>
                  </w:pPr>
                  <w:r>
                    <w:t>M6 HC3</w:t>
                  </w:r>
                </w:p>
              </w:tc>
            </w:tr>
            <w:tr w:rsidR="008928F8" w14:paraId="3E882DE1" w14:textId="77777777">
              <w:tc>
                <w:tcPr>
                  <w:tcW w:w="1584" w:type="dxa"/>
                </w:tcPr>
                <w:p w14:paraId="5EAC5802" w14:textId="77777777" w:rsidR="008928F8" w:rsidRDefault="00000000">
                  <w:pPr>
                    <w:pStyle w:val="Compact"/>
                    <w:jc w:val="center"/>
                  </w:pPr>
                  <w:r>
                    <w:t>Pollen count</w:t>
                  </w:r>
                </w:p>
              </w:tc>
              <w:tc>
                <w:tcPr>
                  <w:tcW w:w="1584" w:type="dxa"/>
                </w:tcPr>
                <w:p w14:paraId="14B93B91" w14:textId="77777777" w:rsidR="008928F8" w:rsidRDefault="00000000">
                  <w:pPr>
                    <w:pStyle w:val="Compact"/>
                    <w:jc w:val="center"/>
                  </w:pPr>
                  <w:r>
                    <w:t>0.014</w:t>
                  </w:r>
                </w:p>
              </w:tc>
              <w:tc>
                <w:tcPr>
                  <w:tcW w:w="1584" w:type="dxa"/>
                </w:tcPr>
                <w:p w14:paraId="212EE04D" w14:textId="77777777" w:rsidR="008928F8" w:rsidRDefault="00000000">
                  <w:pPr>
                    <w:pStyle w:val="Compact"/>
                    <w:jc w:val="center"/>
                  </w:pPr>
                  <w:r>
                    <w:t>0.082</w:t>
                  </w:r>
                </w:p>
              </w:tc>
              <w:tc>
                <w:tcPr>
                  <w:tcW w:w="1584" w:type="dxa"/>
                </w:tcPr>
                <w:p w14:paraId="1E5FAD69" w14:textId="77777777" w:rsidR="008928F8" w:rsidRDefault="00000000">
                  <w:pPr>
                    <w:pStyle w:val="Compact"/>
                    <w:jc w:val="center"/>
                  </w:pPr>
                  <w:r>
                    <w:t>0.008</w:t>
                  </w:r>
                </w:p>
              </w:tc>
              <w:tc>
                <w:tcPr>
                  <w:tcW w:w="1584" w:type="dxa"/>
                </w:tcPr>
                <w:p w14:paraId="578C5AE7" w14:textId="77777777" w:rsidR="008928F8" w:rsidRDefault="00000000">
                  <w:pPr>
                    <w:pStyle w:val="Compact"/>
                    <w:jc w:val="center"/>
                  </w:pPr>
                  <w:r>
                    <w:rPr>
                      <w:b/>
                      <w:bCs/>
                    </w:rPr>
                    <w:t>0.033</w:t>
                  </w:r>
                </w:p>
              </w:tc>
            </w:tr>
            <w:tr w:rsidR="008928F8" w14:paraId="244C04B0" w14:textId="77777777">
              <w:tc>
                <w:tcPr>
                  <w:tcW w:w="1584" w:type="dxa"/>
                </w:tcPr>
                <w:p w14:paraId="0954E20A" w14:textId="77777777" w:rsidR="008928F8" w:rsidRDefault="00000000">
                  <w:pPr>
                    <w:pStyle w:val="Compact"/>
                    <w:jc w:val="center"/>
                  </w:pPr>
                  <w:r>
                    <w:t>Interaction</w:t>
                  </w:r>
                </w:p>
              </w:tc>
              <w:tc>
                <w:tcPr>
                  <w:tcW w:w="1584" w:type="dxa"/>
                </w:tcPr>
                <w:p w14:paraId="1870502F" w14:textId="77777777" w:rsidR="008928F8" w:rsidRDefault="00000000">
                  <w:pPr>
                    <w:pStyle w:val="Compact"/>
                    <w:jc w:val="center"/>
                  </w:pPr>
                  <w:r>
                    <w:t>0.985</w:t>
                  </w:r>
                </w:p>
              </w:tc>
              <w:tc>
                <w:tcPr>
                  <w:tcW w:w="1584" w:type="dxa"/>
                </w:tcPr>
                <w:p w14:paraId="27C0D78B" w14:textId="77777777" w:rsidR="008928F8" w:rsidRDefault="00000000">
                  <w:pPr>
                    <w:pStyle w:val="Compact"/>
                    <w:jc w:val="center"/>
                  </w:pPr>
                  <w:r>
                    <w:t>0.991</w:t>
                  </w:r>
                </w:p>
              </w:tc>
              <w:tc>
                <w:tcPr>
                  <w:tcW w:w="1584" w:type="dxa"/>
                </w:tcPr>
                <w:p w14:paraId="2C19B960" w14:textId="77777777" w:rsidR="008928F8" w:rsidRDefault="00000000">
                  <w:pPr>
                    <w:pStyle w:val="Compact"/>
                    <w:jc w:val="center"/>
                  </w:pPr>
                  <w:r>
                    <w:t>0.020</w:t>
                  </w:r>
                </w:p>
              </w:tc>
              <w:tc>
                <w:tcPr>
                  <w:tcW w:w="1584" w:type="dxa"/>
                </w:tcPr>
                <w:p w14:paraId="71E97575" w14:textId="77777777" w:rsidR="008928F8" w:rsidRDefault="00000000">
                  <w:pPr>
                    <w:pStyle w:val="Compact"/>
                    <w:jc w:val="center"/>
                  </w:pPr>
                  <w:r>
                    <w:t>0.066</w:t>
                  </w:r>
                </w:p>
              </w:tc>
            </w:tr>
            <w:tr w:rsidR="008928F8" w14:paraId="0FBDC093" w14:textId="77777777">
              <w:tc>
                <w:tcPr>
                  <w:tcW w:w="1584" w:type="dxa"/>
                </w:tcPr>
                <w:p w14:paraId="135C9F18" w14:textId="77777777" w:rsidR="008928F8" w:rsidRDefault="00000000">
                  <w:pPr>
                    <w:pStyle w:val="Compact"/>
                    <w:jc w:val="center"/>
                  </w:pPr>
                  <w:r>
                    <w:t>Pop. density</w:t>
                  </w:r>
                </w:p>
              </w:tc>
              <w:tc>
                <w:tcPr>
                  <w:tcW w:w="1584" w:type="dxa"/>
                </w:tcPr>
                <w:p w14:paraId="63501650" w14:textId="77777777" w:rsidR="008928F8" w:rsidRDefault="00000000">
                  <w:pPr>
                    <w:pStyle w:val="Compact"/>
                    <w:jc w:val="center"/>
                  </w:pPr>
                  <w:r>
                    <w:t>0.004</w:t>
                  </w:r>
                </w:p>
              </w:tc>
              <w:tc>
                <w:tcPr>
                  <w:tcW w:w="1584" w:type="dxa"/>
                </w:tcPr>
                <w:p w14:paraId="1274D68E" w14:textId="77777777" w:rsidR="008928F8" w:rsidRDefault="00000000">
                  <w:pPr>
                    <w:pStyle w:val="Compact"/>
                    <w:jc w:val="center"/>
                  </w:pPr>
                  <w:r>
                    <w:t>0.029</w:t>
                  </w:r>
                </w:p>
              </w:tc>
              <w:tc>
                <w:tcPr>
                  <w:tcW w:w="1584" w:type="dxa"/>
                </w:tcPr>
                <w:p w14:paraId="2757B0BF" w14:textId="77777777" w:rsidR="008928F8" w:rsidRDefault="00000000">
                  <w:pPr>
                    <w:pStyle w:val="Compact"/>
                    <w:jc w:val="center"/>
                  </w:pPr>
                  <w:r>
                    <w:t>0.020</w:t>
                  </w:r>
                </w:p>
              </w:tc>
              <w:tc>
                <w:tcPr>
                  <w:tcW w:w="1584" w:type="dxa"/>
                </w:tcPr>
                <w:p w14:paraId="6A245AD6" w14:textId="77777777" w:rsidR="008928F8" w:rsidRDefault="00000000">
                  <w:pPr>
                    <w:pStyle w:val="Compact"/>
                    <w:jc w:val="center"/>
                  </w:pPr>
                  <w:r>
                    <w:rPr>
                      <w:b/>
                      <w:bCs/>
                    </w:rPr>
                    <w:t>0.006</w:t>
                  </w:r>
                </w:p>
              </w:tc>
            </w:tr>
            <w:bookmarkEnd w:id="80"/>
          </w:tbl>
          <w:p w14:paraId="7D919267" w14:textId="77777777" w:rsidR="008928F8" w:rsidRDefault="008928F8"/>
        </w:tc>
      </w:tr>
    </w:tbl>
    <w:p w14:paraId="2A030634" w14:textId="77777777" w:rsidR="008928F8" w:rsidRDefault="00000000">
      <w:pPr>
        <w:pStyle w:val="a0"/>
      </w:pPr>
      <w:r>
        <w:t xml:space="preserve"> </w:t>
      </w:r>
    </w:p>
    <w:tbl>
      <w:tblPr>
        <w:tblStyle w:val="Table"/>
        <w:tblW w:w="5000" w:type="pct"/>
        <w:tblLayout w:type="fixed"/>
        <w:tblLook w:val="0000" w:firstRow="0" w:lastRow="0" w:firstColumn="0" w:lastColumn="0" w:noHBand="0" w:noVBand="0"/>
      </w:tblPr>
      <w:tblGrid>
        <w:gridCol w:w="9054"/>
      </w:tblGrid>
      <w:tr w:rsidR="008928F8" w14:paraId="4584EF4A" w14:textId="77777777">
        <w:tc>
          <w:tcPr>
            <w:tcW w:w="7920" w:type="dxa"/>
          </w:tcPr>
          <w:p w14:paraId="5111C9AA" w14:textId="77777777" w:rsidR="008928F8" w:rsidRDefault="00000000">
            <w:pPr>
              <w:pStyle w:val="ImageCaption"/>
              <w:spacing w:before="200"/>
            </w:pPr>
            <w:bookmarkStart w:id="81" w:name="tbl-sensitivity-m6"/>
            <w:r>
              <w:t>Table 5: Sensitivity analysis for Model 6 (SPM specification). Pollen count is significant in all six specifications. The interaction is significant in three of five specifications. {#tbl-sensitivity-m6}</w:t>
            </w:r>
          </w:p>
          <w:tbl>
            <w:tblPr>
              <w:tblStyle w:val="Table"/>
              <w:tblW w:w="5000" w:type="pct"/>
              <w:tblLayout w:type="fixed"/>
              <w:tblLook w:val="0020" w:firstRow="1" w:lastRow="0" w:firstColumn="0" w:lastColumn="0" w:noHBand="0" w:noVBand="0"/>
            </w:tblPr>
            <w:tblGrid>
              <w:gridCol w:w="2652"/>
              <w:gridCol w:w="530"/>
              <w:gridCol w:w="707"/>
              <w:gridCol w:w="1768"/>
              <w:gridCol w:w="2121"/>
              <w:gridCol w:w="1060"/>
            </w:tblGrid>
            <w:tr w:rsidR="008928F8" w14:paraId="5685700D" w14:textId="77777777" w:rsidTr="008928F8">
              <w:trPr>
                <w:cnfStyle w:val="100000000000" w:firstRow="1" w:lastRow="0" w:firstColumn="0" w:lastColumn="0" w:oddVBand="0" w:evenVBand="0" w:oddHBand="0" w:evenHBand="0" w:firstRowFirstColumn="0" w:firstRowLastColumn="0" w:lastRowFirstColumn="0" w:lastRowLastColumn="0"/>
                <w:tblHeader/>
              </w:trPr>
              <w:tc>
                <w:tcPr>
                  <w:tcW w:w="2376" w:type="dxa"/>
                </w:tcPr>
                <w:p w14:paraId="32725141" w14:textId="77777777" w:rsidR="008928F8" w:rsidRDefault="00000000">
                  <w:pPr>
                    <w:pStyle w:val="Compact"/>
                    <w:jc w:val="center"/>
                  </w:pPr>
                  <w:r>
                    <w:t>Specification</w:t>
                  </w:r>
                </w:p>
              </w:tc>
              <w:tc>
                <w:tcPr>
                  <w:tcW w:w="475" w:type="dxa"/>
                </w:tcPr>
                <w:p w14:paraId="66A403ED" w14:textId="77777777" w:rsidR="008928F8" w:rsidRDefault="00000000">
                  <w:pPr>
                    <w:pStyle w:val="Compact"/>
                    <w:jc w:val="center"/>
                  </w:pPr>
                  <w:r>
                    <w:t>N</w:t>
                  </w:r>
                </w:p>
              </w:tc>
              <w:tc>
                <w:tcPr>
                  <w:tcW w:w="633" w:type="dxa"/>
                </w:tcPr>
                <w:p w14:paraId="3D3788B8" w14:textId="77777777" w:rsidR="008928F8" w:rsidRDefault="00000000">
                  <w:pPr>
                    <w:pStyle w:val="Compact"/>
                    <w:jc w:val="center"/>
                  </w:pPr>
                  <w:r>
                    <w:t>R</w:t>
                  </w:r>
                  <w:r>
                    <w:rPr>
                      <w:vertAlign w:val="superscript"/>
                    </w:rPr>
                    <w:t>2</w:t>
                  </w:r>
                </w:p>
              </w:tc>
              <w:tc>
                <w:tcPr>
                  <w:tcW w:w="1584" w:type="dxa"/>
                </w:tcPr>
                <w:p w14:paraId="1684CAB8" w14:textId="77777777" w:rsidR="008928F8" w:rsidRDefault="00000000">
                  <w:pPr>
                    <w:pStyle w:val="Compact"/>
                    <w:jc w:val="center"/>
                  </w:pPr>
                  <w:r>
                    <w:t>Pollen p</w:t>
                  </w:r>
                </w:p>
              </w:tc>
              <w:tc>
                <w:tcPr>
                  <w:tcW w:w="1900" w:type="dxa"/>
                </w:tcPr>
                <w:p w14:paraId="7F61C071" w14:textId="77777777" w:rsidR="008928F8" w:rsidRDefault="00000000">
                  <w:pPr>
                    <w:pStyle w:val="Compact"/>
                    <w:jc w:val="center"/>
                  </w:pPr>
                  <w:r>
                    <w:t>Interaction p</w:t>
                  </w:r>
                </w:p>
              </w:tc>
              <w:tc>
                <w:tcPr>
                  <w:tcW w:w="950" w:type="dxa"/>
                </w:tcPr>
                <w:p w14:paraId="6420B9D1" w14:textId="77777777" w:rsidR="008928F8" w:rsidRDefault="00000000">
                  <w:pPr>
                    <w:pStyle w:val="Compact"/>
                    <w:jc w:val="center"/>
                  </w:pPr>
                  <w:r>
                    <w:t>Note</w:t>
                  </w:r>
                </w:p>
              </w:tc>
            </w:tr>
            <w:tr w:rsidR="008928F8" w14:paraId="323B65CC" w14:textId="77777777">
              <w:tc>
                <w:tcPr>
                  <w:tcW w:w="2376" w:type="dxa"/>
                </w:tcPr>
                <w:p w14:paraId="5828767E" w14:textId="77777777" w:rsidR="008928F8" w:rsidRDefault="00000000">
                  <w:pPr>
                    <w:pStyle w:val="Compact"/>
                    <w:jc w:val="center"/>
                  </w:pPr>
                  <w:r>
                    <w:t>Baseline (OLS)</w:t>
                  </w:r>
                </w:p>
              </w:tc>
              <w:tc>
                <w:tcPr>
                  <w:tcW w:w="475" w:type="dxa"/>
                </w:tcPr>
                <w:p w14:paraId="23569C76" w14:textId="77777777" w:rsidR="008928F8" w:rsidRDefault="00000000">
                  <w:pPr>
                    <w:pStyle w:val="Compact"/>
                    <w:jc w:val="center"/>
                  </w:pPr>
                  <w:r>
                    <w:t>47</w:t>
                  </w:r>
                </w:p>
              </w:tc>
              <w:tc>
                <w:tcPr>
                  <w:tcW w:w="633" w:type="dxa"/>
                </w:tcPr>
                <w:p w14:paraId="4CBD28CB" w14:textId="77777777" w:rsidR="008928F8" w:rsidRDefault="00000000">
                  <w:pPr>
                    <w:pStyle w:val="Compact"/>
                    <w:jc w:val="center"/>
                  </w:pPr>
                  <w:r>
                    <w:t>0.469</w:t>
                  </w:r>
                </w:p>
              </w:tc>
              <w:tc>
                <w:tcPr>
                  <w:tcW w:w="1584" w:type="dxa"/>
                </w:tcPr>
                <w:p w14:paraId="0FD2C9FE" w14:textId="77777777" w:rsidR="008928F8" w:rsidRDefault="00000000">
                  <w:pPr>
                    <w:pStyle w:val="Compact"/>
                    <w:jc w:val="center"/>
                  </w:pPr>
                  <w:r>
                    <w:t>0.008</w:t>
                  </w:r>
                </w:p>
              </w:tc>
              <w:tc>
                <w:tcPr>
                  <w:tcW w:w="1900" w:type="dxa"/>
                </w:tcPr>
                <w:p w14:paraId="249BCB60" w14:textId="77777777" w:rsidR="008928F8" w:rsidRDefault="00000000">
                  <w:pPr>
                    <w:pStyle w:val="Compact"/>
                    <w:jc w:val="center"/>
                  </w:pPr>
                  <w:r>
                    <w:t>0.020</w:t>
                  </w:r>
                </w:p>
              </w:tc>
              <w:tc>
                <w:tcPr>
                  <w:tcW w:w="950" w:type="dxa"/>
                </w:tcPr>
                <w:p w14:paraId="07D5DAE6" w14:textId="77777777" w:rsidR="008928F8" w:rsidRDefault="008928F8">
                  <w:pPr>
                    <w:pStyle w:val="Compact"/>
                  </w:pPr>
                </w:p>
              </w:tc>
            </w:tr>
            <w:tr w:rsidR="008928F8" w14:paraId="64B12EEF" w14:textId="77777777">
              <w:tc>
                <w:tcPr>
                  <w:tcW w:w="2376" w:type="dxa"/>
                </w:tcPr>
                <w:p w14:paraId="2BBD1E73" w14:textId="77777777" w:rsidR="008928F8" w:rsidRDefault="00000000">
                  <w:pPr>
                    <w:pStyle w:val="Compact"/>
                    <w:jc w:val="center"/>
                  </w:pPr>
                  <w:r>
                    <w:t>HC3 robust SE</w:t>
                  </w:r>
                </w:p>
              </w:tc>
              <w:tc>
                <w:tcPr>
                  <w:tcW w:w="475" w:type="dxa"/>
                </w:tcPr>
                <w:p w14:paraId="1145E55E" w14:textId="77777777" w:rsidR="008928F8" w:rsidRDefault="00000000">
                  <w:pPr>
                    <w:pStyle w:val="Compact"/>
                    <w:jc w:val="center"/>
                  </w:pPr>
                  <w:r>
                    <w:t>47</w:t>
                  </w:r>
                </w:p>
              </w:tc>
              <w:tc>
                <w:tcPr>
                  <w:tcW w:w="633" w:type="dxa"/>
                </w:tcPr>
                <w:p w14:paraId="417CF47B" w14:textId="77777777" w:rsidR="008928F8" w:rsidRDefault="00000000">
                  <w:pPr>
                    <w:pStyle w:val="Compact"/>
                    <w:jc w:val="center"/>
                  </w:pPr>
                  <w:r>
                    <w:t>0.469</w:t>
                  </w:r>
                </w:p>
              </w:tc>
              <w:tc>
                <w:tcPr>
                  <w:tcW w:w="1584" w:type="dxa"/>
                </w:tcPr>
                <w:p w14:paraId="71BBE866" w14:textId="77777777" w:rsidR="008928F8" w:rsidRDefault="00000000">
                  <w:pPr>
                    <w:pStyle w:val="Compact"/>
                    <w:jc w:val="center"/>
                  </w:pPr>
                  <w:r>
                    <w:t>0.033</w:t>
                  </w:r>
                </w:p>
              </w:tc>
              <w:tc>
                <w:tcPr>
                  <w:tcW w:w="1900" w:type="dxa"/>
                </w:tcPr>
                <w:p w14:paraId="50CF8977" w14:textId="77777777" w:rsidR="008928F8" w:rsidRDefault="00000000">
                  <w:pPr>
                    <w:pStyle w:val="Compact"/>
                    <w:jc w:val="center"/>
                  </w:pPr>
                  <w:r>
                    <w:t>0.066</w:t>
                  </w:r>
                </w:p>
              </w:tc>
              <w:tc>
                <w:tcPr>
                  <w:tcW w:w="950" w:type="dxa"/>
                </w:tcPr>
                <w:p w14:paraId="44D9702C" w14:textId="77777777" w:rsidR="008928F8" w:rsidRDefault="00000000">
                  <w:pPr>
                    <w:pStyle w:val="Compact"/>
                    <w:jc w:val="center"/>
                  </w:pPr>
                  <w:r>
                    <w:t>Mild heteroscedasticity</w:t>
                  </w:r>
                </w:p>
              </w:tc>
            </w:tr>
            <w:tr w:rsidR="008928F8" w14:paraId="4A1F4642" w14:textId="77777777">
              <w:tc>
                <w:tcPr>
                  <w:tcW w:w="2376" w:type="dxa"/>
                </w:tcPr>
                <w:p w14:paraId="7C6276B0" w14:textId="77777777" w:rsidR="008928F8" w:rsidRDefault="00000000">
                  <w:pPr>
                    <w:pStyle w:val="Compact"/>
                    <w:jc w:val="center"/>
                  </w:pPr>
                  <w:r>
                    <w:t>Excl. Cook’s D outliers</w:t>
                  </w:r>
                </w:p>
              </w:tc>
              <w:tc>
                <w:tcPr>
                  <w:tcW w:w="475" w:type="dxa"/>
                </w:tcPr>
                <w:p w14:paraId="68704568" w14:textId="77777777" w:rsidR="008928F8" w:rsidRDefault="00000000">
                  <w:pPr>
                    <w:pStyle w:val="Compact"/>
                    <w:jc w:val="center"/>
                  </w:pPr>
                  <w:r>
                    <w:t>45</w:t>
                  </w:r>
                </w:p>
              </w:tc>
              <w:tc>
                <w:tcPr>
                  <w:tcW w:w="633" w:type="dxa"/>
                </w:tcPr>
                <w:p w14:paraId="36239035" w14:textId="77777777" w:rsidR="008928F8" w:rsidRDefault="00000000">
                  <w:pPr>
                    <w:pStyle w:val="Compact"/>
                    <w:jc w:val="center"/>
                  </w:pPr>
                  <w:r>
                    <w:t>0.431</w:t>
                  </w:r>
                </w:p>
              </w:tc>
              <w:tc>
                <w:tcPr>
                  <w:tcW w:w="1584" w:type="dxa"/>
                </w:tcPr>
                <w:p w14:paraId="0D600A8A" w14:textId="77777777" w:rsidR="008928F8" w:rsidRDefault="00000000">
                  <w:pPr>
                    <w:pStyle w:val="Compact"/>
                    <w:jc w:val="center"/>
                  </w:pPr>
                  <w:r>
                    <w:t>0.045</w:t>
                  </w:r>
                </w:p>
              </w:tc>
              <w:tc>
                <w:tcPr>
                  <w:tcW w:w="1900" w:type="dxa"/>
                </w:tcPr>
                <w:p w14:paraId="3880F5F9" w14:textId="77777777" w:rsidR="008928F8" w:rsidRDefault="00000000">
                  <w:pPr>
                    <w:pStyle w:val="Compact"/>
                    <w:jc w:val="center"/>
                  </w:pPr>
                  <w:r>
                    <w:t>0.142</w:t>
                  </w:r>
                </w:p>
              </w:tc>
              <w:tc>
                <w:tcPr>
                  <w:tcW w:w="950" w:type="dxa"/>
                </w:tcPr>
                <w:p w14:paraId="466920E2" w14:textId="77777777" w:rsidR="008928F8" w:rsidRDefault="00000000">
                  <w:pPr>
                    <w:pStyle w:val="Compact"/>
                    <w:jc w:val="center"/>
                  </w:pPr>
                  <w:r>
                    <w:t>Yamanashi, Okinawa excl.</w:t>
                  </w:r>
                </w:p>
              </w:tc>
            </w:tr>
            <w:tr w:rsidR="008928F8" w14:paraId="7D24D19E" w14:textId="77777777">
              <w:tc>
                <w:tcPr>
                  <w:tcW w:w="2376" w:type="dxa"/>
                </w:tcPr>
                <w:p w14:paraId="2CD728BF" w14:textId="77777777" w:rsidR="008928F8" w:rsidRDefault="00000000">
                  <w:pPr>
                    <w:pStyle w:val="Compact"/>
                    <w:jc w:val="center"/>
                  </w:pPr>
                  <w:r>
                    <w:t>Excl. Tokyo &amp; Osaka</w:t>
                  </w:r>
                </w:p>
              </w:tc>
              <w:tc>
                <w:tcPr>
                  <w:tcW w:w="475" w:type="dxa"/>
                </w:tcPr>
                <w:p w14:paraId="5542E7E6" w14:textId="77777777" w:rsidR="008928F8" w:rsidRDefault="00000000">
                  <w:pPr>
                    <w:pStyle w:val="Compact"/>
                    <w:jc w:val="center"/>
                  </w:pPr>
                  <w:r>
                    <w:t>45</w:t>
                  </w:r>
                </w:p>
              </w:tc>
              <w:tc>
                <w:tcPr>
                  <w:tcW w:w="633" w:type="dxa"/>
                </w:tcPr>
                <w:p w14:paraId="02C74B75" w14:textId="77777777" w:rsidR="008928F8" w:rsidRDefault="00000000">
                  <w:pPr>
                    <w:pStyle w:val="Compact"/>
                    <w:jc w:val="center"/>
                  </w:pPr>
                  <w:r>
                    <w:t>0.389</w:t>
                  </w:r>
                </w:p>
              </w:tc>
              <w:tc>
                <w:tcPr>
                  <w:tcW w:w="1584" w:type="dxa"/>
                </w:tcPr>
                <w:p w14:paraId="32A6865F" w14:textId="77777777" w:rsidR="008928F8" w:rsidRDefault="00000000">
                  <w:pPr>
                    <w:pStyle w:val="Compact"/>
                    <w:jc w:val="center"/>
                  </w:pPr>
                  <w:r>
                    <w:t>0.010</w:t>
                  </w:r>
                </w:p>
              </w:tc>
              <w:tc>
                <w:tcPr>
                  <w:tcW w:w="1900" w:type="dxa"/>
                </w:tcPr>
                <w:p w14:paraId="397DAD33" w14:textId="77777777" w:rsidR="008928F8" w:rsidRDefault="00000000">
                  <w:pPr>
                    <w:pStyle w:val="Compact"/>
                    <w:jc w:val="center"/>
                  </w:pPr>
                  <w:r>
                    <w:t>0.028</w:t>
                  </w:r>
                </w:p>
              </w:tc>
              <w:tc>
                <w:tcPr>
                  <w:tcW w:w="950" w:type="dxa"/>
                </w:tcPr>
                <w:p w14:paraId="256A6155" w14:textId="77777777" w:rsidR="008928F8" w:rsidRDefault="008928F8">
                  <w:pPr>
                    <w:pStyle w:val="Compact"/>
                  </w:pPr>
                </w:p>
              </w:tc>
            </w:tr>
            <w:tr w:rsidR="008928F8" w14:paraId="2A60EF8B" w14:textId="77777777">
              <w:tc>
                <w:tcPr>
                  <w:tcW w:w="2376" w:type="dxa"/>
                </w:tcPr>
                <w:p w14:paraId="088A8F24" w14:textId="77777777" w:rsidR="008928F8" w:rsidRDefault="00000000">
                  <w:pPr>
                    <w:pStyle w:val="Compact"/>
                    <w:jc w:val="center"/>
                  </w:pPr>
                  <w:r>
                    <w:t>No interaction term</w:t>
                  </w:r>
                </w:p>
              </w:tc>
              <w:tc>
                <w:tcPr>
                  <w:tcW w:w="475" w:type="dxa"/>
                </w:tcPr>
                <w:p w14:paraId="46A20B8E" w14:textId="77777777" w:rsidR="008928F8" w:rsidRDefault="00000000">
                  <w:pPr>
                    <w:pStyle w:val="Compact"/>
                    <w:jc w:val="center"/>
                  </w:pPr>
                  <w:r>
                    <w:t>47</w:t>
                  </w:r>
                </w:p>
              </w:tc>
              <w:tc>
                <w:tcPr>
                  <w:tcW w:w="633" w:type="dxa"/>
                </w:tcPr>
                <w:p w14:paraId="51A21842" w14:textId="77777777" w:rsidR="008928F8" w:rsidRDefault="00000000">
                  <w:pPr>
                    <w:pStyle w:val="Compact"/>
                    <w:jc w:val="center"/>
                  </w:pPr>
                  <w:r>
                    <w:t>0.393</w:t>
                  </w:r>
                </w:p>
              </w:tc>
              <w:tc>
                <w:tcPr>
                  <w:tcW w:w="1584" w:type="dxa"/>
                </w:tcPr>
                <w:p w14:paraId="5289755D" w14:textId="77777777" w:rsidR="008928F8" w:rsidRDefault="00000000">
                  <w:pPr>
                    <w:pStyle w:val="Compact"/>
                    <w:jc w:val="center"/>
                  </w:pPr>
                  <w:r>
                    <w:t>0.015</w:t>
                  </w:r>
                </w:p>
              </w:tc>
              <w:tc>
                <w:tcPr>
                  <w:tcW w:w="1900" w:type="dxa"/>
                </w:tcPr>
                <w:p w14:paraId="7E68655F" w14:textId="77777777" w:rsidR="008928F8" w:rsidRDefault="00000000">
                  <w:pPr>
                    <w:pStyle w:val="Compact"/>
                    <w:jc w:val="center"/>
                  </w:pPr>
                  <w:r>
                    <w:t>—</w:t>
                  </w:r>
                </w:p>
              </w:tc>
              <w:tc>
                <w:tcPr>
                  <w:tcW w:w="950" w:type="dxa"/>
                </w:tcPr>
                <w:p w14:paraId="0605DFA2" w14:textId="77777777" w:rsidR="008928F8" w:rsidRDefault="00000000">
                  <w:pPr>
                    <w:pStyle w:val="Compact"/>
                    <w:jc w:val="center"/>
                  </w:pPr>
                  <w:r>
                    <w:t xml:space="preserve">SPM main </w:t>
                  </w:r>
                  <w:r>
                    <w:lastRenderedPageBreak/>
                    <w:t>effect p = 0.023</w:t>
                  </w:r>
                </w:p>
              </w:tc>
            </w:tr>
            <w:tr w:rsidR="008928F8" w14:paraId="6CCD9771" w14:textId="77777777">
              <w:tc>
                <w:tcPr>
                  <w:tcW w:w="2376" w:type="dxa"/>
                </w:tcPr>
                <w:p w14:paraId="63D268FB" w14:textId="77777777" w:rsidR="008928F8" w:rsidRDefault="00000000">
                  <w:pPr>
                    <w:pStyle w:val="Compact"/>
                    <w:jc w:val="center"/>
                  </w:pPr>
                  <w:r>
                    <w:lastRenderedPageBreak/>
                    <w:t>Log-transformed outcome</w:t>
                  </w:r>
                </w:p>
              </w:tc>
              <w:tc>
                <w:tcPr>
                  <w:tcW w:w="475" w:type="dxa"/>
                </w:tcPr>
                <w:p w14:paraId="1A125BF3" w14:textId="77777777" w:rsidR="008928F8" w:rsidRDefault="00000000">
                  <w:pPr>
                    <w:pStyle w:val="Compact"/>
                    <w:jc w:val="center"/>
                  </w:pPr>
                  <w:r>
                    <w:t>47</w:t>
                  </w:r>
                </w:p>
              </w:tc>
              <w:tc>
                <w:tcPr>
                  <w:tcW w:w="633" w:type="dxa"/>
                </w:tcPr>
                <w:p w14:paraId="4D5E28EE" w14:textId="77777777" w:rsidR="008928F8" w:rsidRDefault="00000000">
                  <w:pPr>
                    <w:pStyle w:val="Compact"/>
                    <w:jc w:val="center"/>
                  </w:pPr>
                  <w:r>
                    <w:t>0.450</w:t>
                  </w:r>
                </w:p>
              </w:tc>
              <w:tc>
                <w:tcPr>
                  <w:tcW w:w="1584" w:type="dxa"/>
                </w:tcPr>
                <w:p w14:paraId="30552062" w14:textId="77777777" w:rsidR="008928F8" w:rsidRDefault="00000000">
                  <w:pPr>
                    <w:pStyle w:val="Compact"/>
                    <w:jc w:val="center"/>
                  </w:pPr>
                  <w:r>
                    <w:t>0.006</w:t>
                  </w:r>
                </w:p>
              </w:tc>
              <w:tc>
                <w:tcPr>
                  <w:tcW w:w="1900" w:type="dxa"/>
                </w:tcPr>
                <w:p w14:paraId="4CC814FC" w14:textId="77777777" w:rsidR="008928F8" w:rsidRDefault="00000000">
                  <w:pPr>
                    <w:pStyle w:val="Compact"/>
                    <w:jc w:val="center"/>
                  </w:pPr>
                  <w:r>
                    <w:t>0.016</w:t>
                  </w:r>
                </w:p>
              </w:tc>
              <w:tc>
                <w:tcPr>
                  <w:tcW w:w="950" w:type="dxa"/>
                </w:tcPr>
                <w:p w14:paraId="32D9E908" w14:textId="77777777" w:rsidR="008928F8" w:rsidRDefault="008928F8">
                  <w:pPr>
                    <w:pStyle w:val="Compact"/>
                  </w:pPr>
                </w:p>
              </w:tc>
            </w:tr>
            <w:bookmarkEnd w:id="81"/>
          </w:tbl>
          <w:p w14:paraId="2637CB74" w14:textId="77777777" w:rsidR="008928F8" w:rsidRDefault="008928F8"/>
        </w:tc>
      </w:tr>
    </w:tbl>
    <w:p w14:paraId="17DCD508" w14:textId="77777777" w:rsidR="008928F8" w:rsidRDefault="00000000">
      <w:pPr>
        <w:pStyle w:val="a0"/>
      </w:pPr>
      <w:r>
        <w:lastRenderedPageBreak/>
        <w:t xml:space="preserve"> </w:t>
      </w:r>
    </w:p>
    <w:tbl>
      <w:tblPr>
        <w:tblStyle w:val="Table"/>
        <w:tblW w:w="5000" w:type="pct"/>
        <w:tblLayout w:type="fixed"/>
        <w:tblLook w:val="0000" w:firstRow="0" w:lastRow="0" w:firstColumn="0" w:lastColumn="0" w:noHBand="0" w:noVBand="0"/>
      </w:tblPr>
      <w:tblGrid>
        <w:gridCol w:w="9054"/>
      </w:tblGrid>
      <w:tr w:rsidR="008928F8" w14:paraId="0C25511C" w14:textId="77777777">
        <w:tc>
          <w:tcPr>
            <w:tcW w:w="7920" w:type="dxa"/>
          </w:tcPr>
          <w:p w14:paraId="0DE56402" w14:textId="77777777" w:rsidR="008928F8" w:rsidRDefault="00000000">
            <w:pPr>
              <w:pStyle w:val="ImageCaption"/>
              <w:spacing w:before="200"/>
            </w:pPr>
            <w:bookmarkStart w:id="82" w:name="tbl-sensitivity-m5"/>
            <w:r>
              <w:t>Table 6: Sensitivity analysis for Model 5 (PM</w:t>
            </w:r>
            <w:r>
              <w:rPr>
                <w:vertAlign w:val="subscript"/>
              </w:rPr>
              <w:t>2.5</w:t>
            </w:r>
            <w:r>
              <w:t xml:space="preserve"> specification). Pollen count is significant in five of six specifications but loses significance under HC3. No interaction is detected in any specification. {#tbl-sensitivity-m5}</w:t>
            </w:r>
          </w:p>
          <w:tbl>
            <w:tblPr>
              <w:tblStyle w:val="Table"/>
              <w:tblW w:w="0" w:type="auto"/>
              <w:tblLook w:val="0020" w:firstRow="1" w:lastRow="0" w:firstColumn="0" w:lastColumn="0" w:noHBand="0" w:noVBand="0"/>
            </w:tblPr>
            <w:tblGrid>
              <w:gridCol w:w="1584"/>
              <w:gridCol w:w="1584"/>
              <w:gridCol w:w="1584"/>
              <w:gridCol w:w="1584"/>
              <w:gridCol w:w="1584"/>
            </w:tblGrid>
            <w:tr w:rsidR="008928F8" w14:paraId="28175BD2" w14:textId="77777777" w:rsidTr="008928F8">
              <w:trPr>
                <w:cnfStyle w:val="100000000000" w:firstRow="1" w:lastRow="0" w:firstColumn="0" w:lastColumn="0" w:oddVBand="0" w:evenVBand="0" w:oddHBand="0" w:evenHBand="0" w:firstRowFirstColumn="0" w:firstRowLastColumn="0" w:lastRowFirstColumn="0" w:lastRowLastColumn="0"/>
                <w:tblHeader/>
              </w:trPr>
              <w:tc>
                <w:tcPr>
                  <w:tcW w:w="1584" w:type="dxa"/>
                </w:tcPr>
                <w:p w14:paraId="343A5ADF" w14:textId="77777777" w:rsidR="008928F8" w:rsidRDefault="00000000">
                  <w:pPr>
                    <w:pStyle w:val="Compact"/>
                    <w:jc w:val="center"/>
                  </w:pPr>
                  <w:r>
                    <w:t>Specification</w:t>
                  </w:r>
                </w:p>
              </w:tc>
              <w:tc>
                <w:tcPr>
                  <w:tcW w:w="1584" w:type="dxa"/>
                </w:tcPr>
                <w:p w14:paraId="3DBCF50E" w14:textId="77777777" w:rsidR="008928F8" w:rsidRDefault="00000000">
                  <w:pPr>
                    <w:pStyle w:val="Compact"/>
                    <w:jc w:val="center"/>
                  </w:pPr>
                  <w:r>
                    <w:t>N</w:t>
                  </w:r>
                </w:p>
              </w:tc>
              <w:tc>
                <w:tcPr>
                  <w:tcW w:w="1584" w:type="dxa"/>
                </w:tcPr>
                <w:p w14:paraId="1511DDF9" w14:textId="77777777" w:rsidR="008928F8" w:rsidRDefault="00000000">
                  <w:pPr>
                    <w:pStyle w:val="Compact"/>
                    <w:jc w:val="center"/>
                  </w:pPr>
                  <w:r>
                    <w:t>R</w:t>
                  </w:r>
                  <w:r>
                    <w:rPr>
                      <w:vertAlign w:val="superscript"/>
                    </w:rPr>
                    <w:t>2</w:t>
                  </w:r>
                </w:p>
              </w:tc>
              <w:tc>
                <w:tcPr>
                  <w:tcW w:w="1584" w:type="dxa"/>
                </w:tcPr>
                <w:p w14:paraId="697D62A9" w14:textId="77777777" w:rsidR="008928F8" w:rsidRDefault="00000000">
                  <w:pPr>
                    <w:pStyle w:val="Compact"/>
                    <w:jc w:val="center"/>
                  </w:pPr>
                  <w:r>
                    <w:t>Pollen p</w:t>
                  </w:r>
                </w:p>
              </w:tc>
              <w:tc>
                <w:tcPr>
                  <w:tcW w:w="1584" w:type="dxa"/>
                </w:tcPr>
                <w:p w14:paraId="0A3ED8FF" w14:textId="77777777" w:rsidR="008928F8" w:rsidRDefault="00000000">
                  <w:pPr>
                    <w:pStyle w:val="Compact"/>
                    <w:jc w:val="center"/>
                  </w:pPr>
                  <w:r>
                    <w:t>Interaction p</w:t>
                  </w:r>
                </w:p>
              </w:tc>
            </w:tr>
            <w:tr w:rsidR="008928F8" w14:paraId="4815201A" w14:textId="77777777">
              <w:tc>
                <w:tcPr>
                  <w:tcW w:w="1584" w:type="dxa"/>
                </w:tcPr>
                <w:p w14:paraId="232A4F13" w14:textId="77777777" w:rsidR="008928F8" w:rsidRDefault="00000000">
                  <w:pPr>
                    <w:pStyle w:val="Compact"/>
                    <w:jc w:val="center"/>
                  </w:pPr>
                  <w:r>
                    <w:t>Baseline (OLS)</w:t>
                  </w:r>
                </w:p>
              </w:tc>
              <w:tc>
                <w:tcPr>
                  <w:tcW w:w="1584" w:type="dxa"/>
                </w:tcPr>
                <w:p w14:paraId="29283FD4" w14:textId="77777777" w:rsidR="008928F8" w:rsidRDefault="00000000">
                  <w:pPr>
                    <w:pStyle w:val="Compact"/>
                    <w:jc w:val="center"/>
                  </w:pPr>
                  <w:r>
                    <w:t>47</w:t>
                  </w:r>
                </w:p>
              </w:tc>
              <w:tc>
                <w:tcPr>
                  <w:tcW w:w="1584" w:type="dxa"/>
                </w:tcPr>
                <w:p w14:paraId="08257D23" w14:textId="77777777" w:rsidR="008928F8" w:rsidRDefault="00000000">
                  <w:pPr>
                    <w:pStyle w:val="Compact"/>
                    <w:jc w:val="center"/>
                  </w:pPr>
                  <w:r>
                    <w:t>0.357</w:t>
                  </w:r>
                </w:p>
              </w:tc>
              <w:tc>
                <w:tcPr>
                  <w:tcW w:w="1584" w:type="dxa"/>
                </w:tcPr>
                <w:p w14:paraId="213E6861" w14:textId="77777777" w:rsidR="008928F8" w:rsidRDefault="00000000">
                  <w:pPr>
                    <w:pStyle w:val="Compact"/>
                    <w:jc w:val="center"/>
                  </w:pPr>
                  <w:r>
                    <w:t>0.014</w:t>
                  </w:r>
                </w:p>
              </w:tc>
              <w:tc>
                <w:tcPr>
                  <w:tcW w:w="1584" w:type="dxa"/>
                </w:tcPr>
                <w:p w14:paraId="723721B5" w14:textId="77777777" w:rsidR="008928F8" w:rsidRDefault="00000000">
                  <w:pPr>
                    <w:pStyle w:val="Compact"/>
                    <w:jc w:val="center"/>
                  </w:pPr>
                  <w:r>
                    <w:t>0.985</w:t>
                  </w:r>
                </w:p>
              </w:tc>
            </w:tr>
            <w:tr w:rsidR="008928F8" w14:paraId="20A7E4CA" w14:textId="77777777">
              <w:tc>
                <w:tcPr>
                  <w:tcW w:w="1584" w:type="dxa"/>
                </w:tcPr>
                <w:p w14:paraId="6D7D6F51" w14:textId="77777777" w:rsidR="008928F8" w:rsidRDefault="00000000">
                  <w:pPr>
                    <w:pStyle w:val="Compact"/>
                    <w:jc w:val="center"/>
                  </w:pPr>
                  <w:r>
                    <w:t>HC3 robust SE</w:t>
                  </w:r>
                </w:p>
              </w:tc>
              <w:tc>
                <w:tcPr>
                  <w:tcW w:w="1584" w:type="dxa"/>
                </w:tcPr>
                <w:p w14:paraId="00246985" w14:textId="77777777" w:rsidR="008928F8" w:rsidRDefault="00000000">
                  <w:pPr>
                    <w:pStyle w:val="Compact"/>
                    <w:jc w:val="center"/>
                  </w:pPr>
                  <w:r>
                    <w:t>47</w:t>
                  </w:r>
                </w:p>
              </w:tc>
              <w:tc>
                <w:tcPr>
                  <w:tcW w:w="1584" w:type="dxa"/>
                </w:tcPr>
                <w:p w14:paraId="0FF0C6CC" w14:textId="77777777" w:rsidR="008928F8" w:rsidRDefault="00000000">
                  <w:pPr>
                    <w:pStyle w:val="Compact"/>
                    <w:jc w:val="center"/>
                  </w:pPr>
                  <w:r>
                    <w:t>0.357</w:t>
                  </w:r>
                </w:p>
              </w:tc>
              <w:tc>
                <w:tcPr>
                  <w:tcW w:w="1584" w:type="dxa"/>
                </w:tcPr>
                <w:p w14:paraId="23072B6C" w14:textId="77777777" w:rsidR="008928F8" w:rsidRDefault="00000000">
                  <w:pPr>
                    <w:pStyle w:val="Compact"/>
                    <w:jc w:val="center"/>
                  </w:pPr>
                  <w:r>
                    <w:t>0.082</w:t>
                  </w:r>
                </w:p>
              </w:tc>
              <w:tc>
                <w:tcPr>
                  <w:tcW w:w="1584" w:type="dxa"/>
                </w:tcPr>
                <w:p w14:paraId="65198FA0" w14:textId="77777777" w:rsidR="008928F8" w:rsidRDefault="00000000">
                  <w:pPr>
                    <w:pStyle w:val="Compact"/>
                    <w:jc w:val="center"/>
                  </w:pPr>
                  <w:r>
                    <w:t>0.991</w:t>
                  </w:r>
                </w:p>
              </w:tc>
            </w:tr>
            <w:tr w:rsidR="008928F8" w14:paraId="3A73E3D7" w14:textId="77777777">
              <w:tc>
                <w:tcPr>
                  <w:tcW w:w="1584" w:type="dxa"/>
                </w:tcPr>
                <w:p w14:paraId="6400CFEE" w14:textId="77777777" w:rsidR="008928F8" w:rsidRDefault="00000000">
                  <w:pPr>
                    <w:pStyle w:val="Compact"/>
                    <w:jc w:val="center"/>
                  </w:pPr>
                  <w:r>
                    <w:t>Excl. Cook’s D outliers</w:t>
                  </w:r>
                </w:p>
              </w:tc>
              <w:tc>
                <w:tcPr>
                  <w:tcW w:w="1584" w:type="dxa"/>
                </w:tcPr>
                <w:p w14:paraId="0E35C04B" w14:textId="77777777" w:rsidR="008928F8" w:rsidRDefault="00000000">
                  <w:pPr>
                    <w:pStyle w:val="Compact"/>
                    <w:jc w:val="center"/>
                  </w:pPr>
                  <w:r>
                    <w:t>43</w:t>
                  </w:r>
                </w:p>
              </w:tc>
              <w:tc>
                <w:tcPr>
                  <w:tcW w:w="1584" w:type="dxa"/>
                </w:tcPr>
                <w:p w14:paraId="3F1EC720" w14:textId="77777777" w:rsidR="008928F8" w:rsidRDefault="00000000">
                  <w:pPr>
                    <w:pStyle w:val="Compact"/>
                    <w:jc w:val="center"/>
                  </w:pPr>
                  <w:r>
                    <w:t>0.486</w:t>
                  </w:r>
                </w:p>
              </w:tc>
              <w:tc>
                <w:tcPr>
                  <w:tcW w:w="1584" w:type="dxa"/>
                </w:tcPr>
                <w:p w14:paraId="1AC9F437" w14:textId="77777777" w:rsidR="008928F8" w:rsidRDefault="00000000">
                  <w:pPr>
                    <w:pStyle w:val="Compact"/>
                    <w:jc w:val="center"/>
                  </w:pPr>
                  <w:r>
                    <w:t>0.014</w:t>
                  </w:r>
                </w:p>
              </w:tc>
              <w:tc>
                <w:tcPr>
                  <w:tcW w:w="1584" w:type="dxa"/>
                </w:tcPr>
                <w:p w14:paraId="50AA906F" w14:textId="77777777" w:rsidR="008928F8" w:rsidRDefault="00000000">
                  <w:pPr>
                    <w:pStyle w:val="Compact"/>
                    <w:jc w:val="center"/>
                  </w:pPr>
                  <w:r>
                    <w:t>0.333</w:t>
                  </w:r>
                </w:p>
              </w:tc>
            </w:tr>
            <w:tr w:rsidR="008928F8" w14:paraId="6E734927" w14:textId="77777777">
              <w:tc>
                <w:tcPr>
                  <w:tcW w:w="1584" w:type="dxa"/>
                </w:tcPr>
                <w:p w14:paraId="0AF89011" w14:textId="77777777" w:rsidR="008928F8" w:rsidRDefault="00000000">
                  <w:pPr>
                    <w:pStyle w:val="Compact"/>
                    <w:jc w:val="center"/>
                  </w:pPr>
                  <w:r>
                    <w:t>Excl. Tokyo &amp; Osaka</w:t>
                  </w:r>
                </w:p>
              </w:tc>
              <w:tc>
                <w:tcPr>
                  <w:tcW w:w="1584" w:type="dxa"/>
                </w:tcPr>
                <w:p w14:paraId="7CBB914C" w14:textId="77777777" w:rsidR="008928F8" w:rsidRDefault="00000000">
                  <w:pPr>
                    <w:pStyle w:val="Compact"/>
                    <w:jc w:val="center"/>
                  </w:pPr>
                  <w:r>
                    <w:t>45</w:t>
                  </w:r>
                </w:p>
              </w:tc>
              <w:tc>
                <w:tcPr>
                  <w:tcW w:w="1584" w:type="dxa"/>
                </w:tcPr>
                <w:p w14:paraId="42C2087F" w14:textId="77777777" w:rsidR="008928F8" w:rsidRDefault="00000000">
                  <w:pPr>
                    <w:pStyle w:val="Compact"/>
                    <w:jc w:val="center"/>
                  </w:pPr>
                  <w:r>
                    <w:t>0.264</w:t>
                  </w:r>
                </w:p>
              </w:tc>
              <w:tc>
                <w:tcPr>
                  <w:tcW w:w="1584" w:type="dxa"/>
                </w:tcPr>
                <w:p w14:paraId="28CCBB97" w14:textId="77777777" w:rsidR="008928F8" w:rsidRDefault="00000000">
                  <w:pPr>
                    <w:pStyle w:val="Compact"/>
                    <w:jc w:val="center"/>
                  </w:pPr>
                  <w:r>
                    <w:t>0.020</w:t>
                  </w:r>
                </w:p>
              </w:tc>
              <w:tc>
                <w:tcPr>
                  <w:tcW w:w="1584" w:type="dxa"/>
                </w:tcPr>
                <w:p w14:paraId="51456652" w14:textId="77777777" w:rsidR="008928F8" w:rsidRDefault="00000000">
                  <w:pPr>
                    <w:pStyle w:val="Compact"/>
                    <w:jc w:val="center"/>
                  </w:pPr>
                  <w:r>
                    <w:t>0.961</w:t>
                  </w:r>
                </w:p>
              </w:tc>
            </w:tr>
            <w:tr w:rsidR="008928F8" w14:paraId="19814157" w14:textId="77777777">
              <w:tc>
                <w:tcPr>
                  <w:tcW w:w="1584" w:type="dxa"/>
                </w:tcPr>
                <w:p w14:paraId="57CA568D" w14:textId="77777777" w:rsidR="008928F8" w:rsidRDefault="00000000">
                  <w:pPr>
                    <w:pStyle w:val="Compact"/>
                    <w:jc w:val="center"/>
                  </w:pPr>
                  <w:r>
                    <w:t>No interaction term</w:t>
                  </w:r>
                </w:p>
              </w:tc>
              <w:tc>
                <w:tcPr>
                  <w:tcW w:w="1584" w:type="dxa"/>
                </w:tcPr>
                <w:p w14:paraId="086742F5" w14:textId="77777777" w:rsidR="008928F8" w:rsidRDefault="00000000">
                  <w:pPr>
                    <w:pStyle w:val="Compact"/>
                    <w:jc w:val="center"/>
                  </w:pPr>
                  <w:r>
                    <w:t>47</w:t>
                  </w:r>
                </w:p>
              </w:tc>
              <w:tc>
                <w:tcPr>
                  <w:tcW w:w="1584" w:type="dxa"/>
                </w:tcPr>
                <w:p w14:paraId="7C805B69" w14:textId="77777777" w:rsidR="008928F8" w:rsidRDefault="00000000">
                  <w:pPr>
                    <w:pStyle w:val="Compact"/>
                    <w:jc w:val="center"/>
                  </w:pPr>
                  <w:r>
                    <w:t>0.357</w:t>
                  </w:r>
                </w:p>
              </w:tc>
              <w:tc>
                <w:tcPr>
                  <w:tcW w:w="1584" w:type="dxa"/>
                </w:tcPr>
                <w:p w14:paraId="633FC401" w14:textId="77777777" w:rsidR="008928F8" w:rsidRDefault="00000000">
                  <w:pPr>
                    <w:pStyle w:val="Compact"/>
                    <w:jc w:val="center"/>
                  </w:pPr>
                  <w:r>
                    <w:t>0.009</w:t>
                  </w:r>
                </w:p>
              </w:tc>
              <w:tc>
                <w:tcPr>
                  <w:tcW w:w="1584" w:type="dxa"/>
                </w:tcPr>
                <w:p w14:paraId="204F33C1" w14:textId="77777777" w:rsidR="008928F8" w:rsidRDefault="00000000">
                  <w:pPr>
                    <w:pStyle w:val="Compact"/>
                    <w:jc w:val="center"/>
                  </w:pPr>
                  <w:r>
                    <w:t>—</w:t>
                  </w:r>
                </w:p>
              </w:tc>
            </w:tr>
            <w:tr w:rsidR="008928F8" w14:paraId="1D2D7436" w14:textId="77777777">
              <w:tc>
                <w:tcPr>
                  <w:tcW w:w="1584" w:type="dxa"/>
                </w:tcPr>
                <w:p w14:paraId="0EB4725C" w14:textId="77777777" w:rsidR="008928F8" w:rsidRDefault="00000000">
                  <w:pPr>
                    <w:pStyle w:val="Compact"/>
                    <w:jc w:val="center"/>
                  </w:pPr>
                  <w:r>
                    <w:t>Log-transformed outcome</w:t>
                  </w:r>
                </w:p>
              </w:tc>
              <w:tc>
                <w:tcPr>
                  <w:tcW w:w="1584" w:type="dxa"/>
                </w:tcPr>
                <w:p w14:paraId="3B93FF66" w14:textId="77777777" w:rsidR="008928F8" w:rsidRDefault="00000000">
                  <w:pPr>
                    <w:pStyle w:val="Compact"/>
                    <w:jc w:val="center"/>
                  </w:pPr>
                  <w:r>
                    <w:t>47</w:t>
                  </w:r>
                </w:p>
              </w:tc>
              <w:tc>
                <w:tcPr>
                  <w:tcW w:w="1584" w:type="dxa"/>
                </w:tcPr>
                <w:p w14:paraId="37B9CCF0" w14:textId="77777777" w:rsidR="008928F8" w:rsidRDefault="00000000">
                  <w:pPr>
                    <w:pStyle w:val="Compact"/>
                    <w:jc w:val="center"/>
                  </w:pPr>
                  <w:r>
                    <w:t>0.331</w:t>
                  </w:r>
                </w:p>
              </w:tc>
              <w:tc>
                <w:tcPr>
                  <w:tcW w:w="1584" w:type="dxa"/>
                </w:tcPr>
                <w:p w14:paraId="6DF7E7B4" w14:textId="77777777" w:rsidR="008928F8" w:rsidRDefault="00000000">
                  <w:pPr>
                    <w:pStyle w:val="Compact"/>
                    <w:jc w:val="center"/>
                  </w:pPr>
                  <w:r>
                    <w:t>0.013</w:t>
                  </w:r>
                </w:p>
              </w:tc>
              <w:tc>
                <w:tcPr>
                  <w:tcW w:w="1584" w:type="dxa"/>
                </w:tcPr>
                <w:p w14:paraId="5A80E065" w14:textId="77777777" w:rsidR="008928F8" w:rsidRDefault="00000000">
                  <w:pPr>
                    <w:pStyle w:val="Compact"/>
                    <w:jc w:val="center"/>
                  </w:pPr>
                  <w:r>
                    <w:t>0.907</w:t>
                  </w:r>
                </w:p>
              </w:tc>
            </w:tr>
            <w:bookmarkEnd w:id="82"/>
          </w:tbl>
          <w:p w14:paraId="73CFF635" w14:textId="77777777" w:rsidR="008928F8" w:rsidRDefault="008928F8"/>
        </w:tc>
      </w:tr>
    </w:tbl>
    <w:p w14:paraId="0EA54A69" w14:textId="77777777" w:rsidR="008928F8" w:rsidRDefault="00000000">
      <w:pPr>
        <w:pStyle w:val="a0"/>
      </w:pPr>
      <w:r>
        <w:t xml:space="preserve"> </w:t>
      </w:r>
    </w:p>
    <w:tbl>
      <w:tblPr>
        <w:tblStyle w:val="Table"/>
        <w:tblW w:w="5000" w:type="pct"/>
        <w:tblLayout w:type="fixed"/>
        <w:tblLook w:val="0000" w:firstRow="0" w:lastRow="0" w:firstColumn="0" w:lastColumn="0" w:noHBand="0" w:noVBand="0"/>
      </w:tblPr>
      <w:tblGrid>
        <w:gridCol w:w="9054"/>
      </w:tblGrid>
      <w:tr w:rsidR="008928F8" w14:paraId="1D473592" w14:textId="77777777">
        <w:tc>
          <w:tcPr>
            <w:tcW w:w="7920" w:type="dxa"/>
          </w:tcPr>
          <w:p w14:paraId="76244A33" w14:textId="77777777" w:rsidR="008928F8" w:rsidRDefault="00000000">
            <w:pPr>
              <w:pStyle w:val="ImageCaption"/>
              <w:spacing w:before="200"/>
            </w:pPr>
            <w:bookmarkStart w:id="83" w:name="tbl-comparison"/>
            <w:r>
              <w:t>Table 7: Comparison of pollen exposure indicators in equivalent covariate-adjusted models {#tbl-comparison}</w:t>
            </w:r>
          </w:p>
          <w:tbl>
            <w:tblPr>
              <w:tblStyle w:val="Table"/>
              <w:tblW w:w="0" w:type="auto"/>
              <w:tblLook w:val="0020" w:firstRow="1" w:lastRow="0" w:firstColumn="0" w:lastColumn="0" w:noHBand="0" w:noVBand="0"/>
            </w:tblPr>
            <w:tblGrid>
              <w:gridCol w:w="1584"/>
              <w:gridCol w:w="1584"/>
              <w:gridCol w:w="1584"/>
              <w:gridCol w:w="1584"/>
              <w:gridCol w:w="1584"/>
            </w:tblGrid>
            <w:tr w:rsidR="008928F8" w14:paraId="40E898CC" w14:textId="77777777" w:rsidTr="008928F8">
              <w:trPr>
                <w:cnfStyle w:val="100000000000" w:firstRow="1" w:lastRow="0" w:firstColumn="0" w:lastColumn="0" w:oddVBand="0" w:evenVBand="0" w:oddHBand="0" w:evenHBand="0" w:firstRowFirstColumn="0" w:firstRowLastColumn="0" w:lastRowFirstColumn="0" w:lastRowLastColumn="0"/>
                <w:tblHeader/>
              </w:trPr>
              <w:tc>
                <w:tcPr>
                  <w:tcW w:w="1584" w:type="dxa"/>
                </w:tcPr>
                <w:p w14:paraId="693F7F3C" w14:textId="77777777" w:rsidR="008928F8" w:rsidRDefault="00000000">
                  <w:pPr>
                    <w:pStyle w:val="Compact"/>
                    <w:jc w:val="center"/>
                  </w:pPr>
                  <w:r>
                    <w:t>Indicator</w:t>
                  </w:r>
                </w:p>
              </w:tc>
              <w:tc>
                <w:tcPr>
                  <w:tcW w:w="1584" w:type="dxa"/>
                </w:tcPr>
                <w:p w14:paraId="4401129D" w14:textId="77777777" w:rsidR="008928F8" w:rsidRDefault="00000000">
                  <w:pPr>
                    <w:pStyle w:val="Compact"/>
                    <w:jc w:val="center"/>
                  </w:pPr>
                  <w:r>
                    <w:t>R</w:t>
                  </w:r>
                  <w:r>
                    <w:rPr>
                      <w:vertAlign w:val="superscript"/>
                    </w:rPr>
                    <w:t>2</w:t>
                  </w:r>
                </w:p>
              </w:tc>
              <w:tc>
                <w:tcPr>
                  <w:tcW w:w="1584" w:type="dxa"/>
                </w:tcPr>
                <w:p w14:paraId="7833E780" w14:textId="77777777" w:rsidR="008928F8" w:rsidRDefault="00000000">
                  <w:pPr>
                    <w:pStyle w:val="Compact"/>
                    <w:jc w:val="center"/>
                  </w:pPr>
                  <w:r>
                    <w:t>Adj. R</w:t>
                  </w:r>
                  <w:r>
                    <w:rPr>
                      <w:vertAlign w:val="superscript"/>
                    </w:rPr>
                    <w:t>2</w:t>
                  </w:r>
                </w:p>
              </w:tc>
              <w:tc>
                <w:tcPr>
                  <w:tcW w:w="1584" w:type="dxa"/>
                </w:tcPr>
                <w:p w14:paraId="7A450ADD" w14:textId="77777777" w:rsidR="008928F8" w:rsidRDefault="00000000">
                  <w:pPr>
                    <w:pStyle w:val="Compact"/>
                    <w:jc w:val="center"/>
                  </w:pPr>
                  <w:r>
                    <w:t>AIC</w:t>
                  </w:r>
                </w:p>
              </w:tc>
              <w:tc>
                <w:tcPr>
                  <w:tcW w:w="1584" w:type="dxa"/>
                </w:tcPr>
                <w:p w14:paraId="45BEB9BE" w14:textId="77777777" w:rsidR="008928F8" w:rsidRDefault="00000000">
                  <w:pPr>
                    <w:pStyle w:val="Compact"/>
                    <w:jc w:val="center"/>
                  </w:pPr>
                  <m:oMath>
                    <m:r>
                      <w:rPr>
                        <w:rFonts w:ascii="Cambria Math" w:hAnsi="Cambria Math"/>
                      </w:rPr>
                      <m:t>Δ</m:t>
                    </m:r>
                  </m:oMath>
                  <w:r>
                    <w:t>AIC</w:t>
                  </w:r>
                </w:p>
              </w:tc>
            </w:tr>
            <w:tr w:rsidR="008928F8" w14:paraId="4E809C0F" w14:textId="77777777">
              <w:tc>
                <w:tcPr>
                  <w:tcW w:w="1584" w:type="dxa"/>
                </w:tcPr>
                <w:p w14:paraId="363A9DBB" w14:textId="77777777" w:rsidR="008928F8" w:rsidRDefault="00000000">
                  <w:pPr>
                    <w:pStyle w:val="Compact"/>
                    <w:jc w:val="center"/>
                  </w:pPr>
                  <w:r>
                    <w:t>Pollen count (Weather News)</w:t>
                  </w:r>
                </w:p>
              </w:tc>
              <w:tc>
                <w:tcPr>
                  <w:tcW w:w="1584" w:type="dxa"/>
                </w:tcPr>
                <w:p w14:paraId="01C1DDB0" w14:textId="77777777" w:rsidR="008928F8" w:rsidRDefault="00000000">
                  <w:pPr>
                    <w:pStyle w:val="Compact"/>
                    <w:jc w:val="center"/>
                  </w:pPr>
                  <w:r>
                    <w:t>0.357</w:t>
                  </w:r>
                </w:p>
              </w:tc>
              <w:tc>
                <w:tcPr>
                  <w:tcW w:w="1584" w:type="dxa"/>
                </w:tcPr>
                <w:p w14:paraId="056258BF" w14:textId="77777777" w:rsidR="008928F8" w:rsidRDefault="00000000">
                  <w:pPr>
                    <w:pStyle w:val="Compact"/>
                    <w:jc w:val="center"/>
                  </w:pPr>
                  <w:r>
                    <w:t>0.296</w:t>
                  </w:r>
                </w:p>
              </w:tc>
              <w:tc>
                <w:tcPr>
                  <w:tcW w:w="1584" w:type="dxa"/>
                </w:tcPr>
                <w:p w14:paraId="28F34685" w14:textId="77777777" w:rsidR="008928F8" w:rsidRDefault="00000000">
                  <w:pPr>
                    <w:pStyle w:val="Compact"/>
                    <w:jc w:val="center"/>
                  </w:pPr>
                  <w:r>
                    <w:t>1372.0</w:t>
                  </w:r>
                </w:p>
              </w:tc>
              <w:tc>
                <w:tcPr>
                  <w:tcW w:w="1584" w:type="dxa"/>
                </w:tcPr>
                <w:p w14:paraId="17E53074" w14:textId="77777777" w:rsidR="008928F8" w:rsidRDefault="00000000">
                  <w:pPr>
                    <w:pStyle w:val="Compact"/>
                    <w:jc w:val="center"/>
                  </w:pPr>
                  <w:r>
                    <w:t>ref.</w:t>
                  </w:r>
                </w:p>
              </w:tc>
            </w:tr>
            <w:tr w:rsidR="008928F8" w14:paraId="118296FF" w14:textId="77777777">
              <w:tc>
                <w:tcPr>
                  <w:tcW w:w="1584" w:type="dxa"/>
                </w:tcPr>
                <w:p w14:paraId="36EFB957" w14:textId="77777777" w:rsidR="008928F8" w:rsidRDefault="00000000">
                  <w:pPr>
                    <w:pStyle w:val="Compact"/>
                    <w:jc w:val="center"/>
                  </w:pPr>
                  <w:r>
                    <w:t>Forest area ratio (Forestry Agency)</w:t>
                  </w:r>
                </w:p>
              </w:tc>
              <w:tc>
                <w:tcPr>
                  <w:tcW w:w="1584" w:type="dxa"/>
                </w:tcPr>
                <w:p w14:paraId="25A5FE26" w14:textId="77777777" w:rsidR="008928F8" w:rsidRDefault="00000000">
                  <w:pPr>
                    <w:pStyle w:val="Compact"/>
                    <w:jc w:val="center"/>
                  </w:pPr>
                  <w:r>
                    <w:t>0.242</w:t>
                  </w:r>
                </w:p>
              </w:tc>
              <w:tc>
                <w:tcPr>
                  <w:tcW w:w="1584" w:type="dxa"/>
                </w:tcPr>
                <w:p w14:paraId="6C13AC7A" w14:textId="77777777" w:rsidR="008928F8" w:rsidRDefault="00000000">
                  <w:pPr>
                    <w:pStyle w:val="Compact"/>
                    <w:jc w:val="center"/>
                  </w:pPr>
                  <w:r>
                    <w:t>0.170</w:t>
                  </w:r>
                </w:p>
              </w:tc>
              <w:tc>
                <w:tcPr>
                  <w:tcW w:w="1584" w:type="dxa"/>
                </w:tcPr>
                <w:p w14:paraId="49CCB8C2" w14:textId="77777777" w:rsidR="008928F8" w:rsidRDefault="00000000">
                  <w:pPr>
                    <w:pStyle w:val="Compact"/>
                    <w:jc w:val="center"/>
                  </w:pPr>
                  <w:r>
                    <w:t>1379.8</w:t>
                  </w:r>
                </w:p>
              </w:tc>
              <w:tc>
                <w:tcPr>
                  <w:tcW w:w="1584" w:type="dxa"/>
                </w:tcPr>
                <w:p w14:paraId="4DD8CECE" w14:textId="77777777" w:rsidR="008928F8" w:rsidRDefault="00000000">
                  <w:pPr>
                    <w:pStyle w:val="Compact"/>
                    <w:jc w:val="center"/>
                  </w:pPr>
                  <w:r>
                    <w:t>+7.7</w:t>
                  </w:r>
                </w:p>
              </w:tc>
            </w:tr>
            <w:bookmarkEnd w:id="83"/>
          </w:tbl>
          <w:p w14:paraId="59E7662A" w14:textId="77777777" w:rsidR="008928F8" w:rsidRDefault="008928F8"/>
        </w:tc>
      </w:tr>
    </w:tbl>
    <w:p w14:paraId="4FDEF37C" w14:textId="77777777" w:rsidR="008928F8" w:rsidRDefault="00000000">
      <w:pPr>
        <w:pStyle w:val="a0"/>
      </w:pPr>
      <w:r>
        <w:lastRenderedPageBreak/>
        <w:t xml:space="preserve"> </w:t>
      </w:r>
    </w:p>
    <w:tbl>
      <w:tblPr>
        <w:tblStyle w:val="Table"/>
        <w:tblW w:w="5000" w:type="pct"/>
        <w:tblLayout w:type="fixed"/>
        <w:tblLook w:val="0000" w:firstRow="0" w:lastRow="0" w:firstColumn="0" w:lastColumn="0" w:noHBand="0" w:noVBand="0"/>
      </w:tblPr>
      <w:tblGrid>
        <w:gridCol w:w="9054"/>
      </w:tblGrid>
      <w:tr w:rsidR="008928F8" w14:paraId="4F60AD13" w14:textId="77777777">
        <w:tc>
          <w:tcPr>
            <w:tcW w:w="7920" w:type="dxa"/>
          </w:tcPr>
          <w:p w14:paraId="372FC6E5" w14:textId="77777777" w:rsidR="008928F8" w:rsidRDefault="00000000">
            <w:pPr>
              <w:pStyle w:val="ImageCaption"/>
              <w:spacing w:before="200"/>
            </w:pPr>
            <w:bookmarkStart w:id="84" w:name="tbl-subgroup"/>
            <w:r>
              <w:t>Table 8: Drug category-specific OLS regression results (pollen + PM</w:t>
            </w:r>
            <w:r>
              <w:rPr>
                <w:vertAlign w:val="subscript"/>
              </w:rPr>
              <w:t>2.5</w:t>
            </w:r>
            <w:r>
              <w:t xml:space="preserve"> + interaction) {#tbl-subgroup}</w:t>
            </w:r>
          </w:p>
          <w:tbl>
            <w:tblPr>
              <w:tblStyle w:val="Table"/>
              <w:tblW w:w="0" w:type="auto"/>
              <w:tblLook w:val="0020" w:firstRow="1" w:lastRow="0" w:firstColumn="0" w:lastColumn="0" w:noHBand="0" w:noVBand="0"/>
            </w:tblPr>
            <w:tblGrid>
              <w:gridCol w:w="1980"/>
              <w:gridCol w:w="1980"/>
              <w:gridCol w:w="1980"/>
              <w:gridCol w:w="1980"/>
            </w:tblGrid>
            <w:tr w:rsidR="008928F8" w14:paraId="74115FEB" w14:textId="77777777" w:rsidTr="008928F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EEE19C8" w14:textId="77777777" w:rsidR="008928F8" w:rsidRDefault="00000000">
                  <w:pPr>
                    <w:pStyle w:val="Compact"/>
                    <w:jc w:val="center"/>
                  </w:pPr>
                  <w:r>
                    <w:t>Drug Category</w:t>
                  </w:r>
                </w:p>
              </w:tc>
              <w:tc>
                <w:tcPr>
                  <w:tcW w:w="1980" w:type="dxa"/>
                </w:tcPr>
                <w:p w14:paraId="4F5FD849" w14:textId="77777777" w:rsidR="008928F8" w:rsidRDefault="00000000">
                  <w:pPr>
                    <w:pStyle w:val="Compact"/>
                    <w:jc w:val="center"/>
                  </w:pPr>
                  <w:r>
                    <w:t>R</w:t>
                  </w:r>
                  <w:r>
                    <w:rPr>
                      <w:vertAlign w:val="superscript"/>
                    </w:rPr>
                    <w:t>2</w:t>
                  </w:r>
                </w:p>
              </w:tc>
              <w:tc>
                <w:tcPr>
                  <w:tcW w:w="1980" w:type="dxa"/>
                </w:tcPr>
                <w:p w14:paraId="2AF93F10" w14:textId="77777777" w:rsidR="008928F8" w:rsidRDefault="00000000">
                  <w:pPr>
                    <w:pStyle w:val="Compact"/>
                    <w:jc w:val="center"/>
                  </w:pPr>
                  <w:r>
                    <w:t xml:space="preserve">Pollen </w:t>
                  </w:r>
                  <m:oMath>
                    <m:r>
                      <w:rPr>
                        <w:rFonts w:ascii="Cambria Math" w:hAnsi="Cambria Math"/>
                      </w:rPr>
                      <m:t>β</m:t>
                    </m:r>
                  </m:oMath>
                </w:p>
              </w:tc>
              <w:tc>
                <w:tcPr>
                  <w:tcW w:w="1980" w:type="dxa"/>
                </w:tcPr>
                <w:p w14:paraId="36F51AC9" w14:textId="77777777" w:rsidR="008928F8" w:rsidRDefault="00000000">
                  <w:pPr>
                    <w:pStyle w:val="Compact"/>
                    <w:jc w:val="center"/>
                  </w:pPr>
                  <w:r>
                    <w:t>Pollen p</w:t>
                  </w:r>
                </w:p>
              </w:tc>
            </w:tr>
            <w:tr w:rsidR="008928F8" w14:paraId="4F310A14" w14:textId="77777777">
              <w:tc>
                <w:tcPr>
                  <w:tcW w:w="1980" w:type="dxa"/>
                </w:tcPr>
                <w:p w14:paraId="59999E79" w14:textId="77777777" w:rsidR="008928F8" w:rsidRDefault="00000000">
                  <w:pPr>
                    <w:pStyle w:val="Compact"/>
                    <w:jc w:val="center"/>
                  </w:pPr>
                  <w:r>
                    <w:t>Antihistamines (441 + 449)</w:t>
                  </w:r>
                </w:p>
              </w:tc>
              <w:tc>
                <w:tcPr>
                  <w:tcW w:w="1980" w:type="dxa"/>
                </w:tcPr>
                <w:p w14:paraId="75617B92" w14:textId="77777777" w:rsidR="008928F8" w:rsidRDefault="00000000">
                  <w:pPr>
                    <w:pStyle w:val="Compact"/>
                    <w:jc w:val="center"/>
                  </w:pPr>
                  <w:r>
                    <w:t>0.129</w:t>
                  </w:r>
                </w:p>
              </w:tc>
              <w:tc>
                <w:tcPr>
                  <w:tcW w:w="1980" w:type="dxa"/>
                </w:tcPr>
                <w:p w14:paraId="37CE744B" w14:textId="77777777" w:rsidR="008928F8" w:rsidRDefault="00000000">
                  <w:pPr>
                    <w:pStyle w:val="Compact"/>
                    <w:jc w:val="center"/>
                  </w:pPr>
                  <w:r>
                    <w:t>60.3</w:t>
                  </w:r>
                </w:p>
              </w:tc>
              <w:tc>
                <w:tcPr>
                  <w:tcW w:w="1980" w:type="dxa"/>
                </w:tcPr>
                <w:p w14:paraId="06503C96" w14:textId="77777777" w:rsidR="008928F8" w:rsidRDefault="00000000">
                  <w:pPr>
                    <w:pStyle w:val="Compact"/>
                    <w:jc w:val="center"/>
                  </w:pPr>
                  <w:r>
                    <w:t>0.035</w:t>
                  </w:r>
                </w:p>
              </w:tc>
            </w:tr>
            <w:tr w:rsidR="008928F8" w14:paraId="51B7B07B" w14:textId="77777777">
              <w:tc>
                <w:tcPr>
                  <w:tcW w:w="1980" w:type="dxa"/>
                </w:tcPr>
                <w:p w14:paraId="275C74F6" w14:textId="77777777" w:rsidR="008928F8" w:rsidRDefault="00000000">
                  <w:pPr>
                    <w:pStyle w:val="Compact"/>
                    <w:jc w:val="center"/>
                  </w:pPr>
                  <w:r>
                    <w:t>Ophthalmic (131)</w:t>
                  </w:r>
                </w:p>
              </w:tc>
              <w:tc>
                <w:tcPr>
                  <w:tcW w:w="1980" w:type="dxa"/>
                </w:tcPr>
                <w:p w14:paraId="20FFD716" w14:textId="77777777" w:rsidR="008928F8" w:rsidRDefault="00000000">
                  <w:pPr>
                    <w:pStyle w:val="Compact"/>
                    <w:jc w:val="center"/>
                  </w:pPr>
                  <w:r>
                    <w:t>0.011</w:t>
                  </w:r>
                </w:p>
              </w:tc>
              <w:tc>
                <w:tcPr>
                  <w:tcW w:w="1980" w:type="dxa"/>
                </w:tcPr>
                <w:p w14:paraId="11EB390B" w14:textId="77777777" w:rsidR="008928F8" w:rsidRDefault="00000000">
                  <w:pPr>
                    <w:pStyle w:val="Compact"/>
                    <w:jc w:val="center"/>
                  </w:pPr>
                  <w:r>
                    <w:t>–0.8</w:t>
                  </w:r>
                </w:p>
              </w:tc>
              <w:tc>
                <w:tcPr>
                  <w:tcW w:w="1980" w:type="dxa"/>
                </w:tcPr>
                <w:p w14:paraId="07F80A81" w14:textId="77777777" w:rsidR="008928F8" w:rsidRDefault="00000000">
                  <w:pPr>
                    <w:pStyle w:val="Compact"/>
                    <w:jc w:val="center"/>
                  </w:pPr>
                  <w:r>
                    <w:t>0.890</w:t>
                  </w:r>
                </w:p>
              </w:tc>
            </w:tr>
            <w:tr w:rsidR="008928F8" w14:paraId="745FF9F3" w14:textId="77777777">
              <w:tc>
                <w:tcPr>
                  <w:tcW w:w="1980" w:type="dxa"/>
                </w:tcPr>
                <w:p w14:paraId="0EFA52AD" w14:textId="77777777" w:rsidR="008928F8" w:rsidRDefault="00000000">
                  <w:pPr>
                    <w:pStyle w:val="Compact"/>
                    <w:jc w:val="center"/>
                  </w:pPr>
                  <w:r>
                    <w:t>Nasal sprays (132)</w:t>
                  </w:r>
                </w:p>
              </w:tc>
              <w:tc>
                <w:tcPr>
                  <w:tcW w:w="1980" w:type="dxa"/>
                </w:tcPr>
                <w:p w14:paraId="34427138" w14:textId="77777777" w:rsidR="008928F8" w:rsidRDefault="00000000">
                  <w:pPr>
                    <w:pStyle w:val="Compact"/>
                    <w:jc w:val="center"/>
                  </w:pPr>
                  <w:r>
                    <w:t>0.020</w:t>
                  </w:r>
                </w:p>
              </w:tc>
              <w:tc>
                <w:tcPr>
                  <w:tcW w:w="1980" w:type="dxa"/>
                </w:tcPr>
                <w:p w14:paraId="73FE37EC" w14:textId="77777777" w:rsidR="008928F8" w:rsidRDefault="00000000">
                  <w:pPr>
                    <w:pStyle w:val="Compact"/>
                    <w:jc w:val="center"/>
                  </w:pPr>
                  <w:r>
                    <w:t>0.03</w:t>
                  </w:r>
                </w:p>
              </w:tc>
              <w:tc>
                <w:tcPr>
                  <w:tcW w:w="1980" w:type="dxa"/>
                </w:tcPr>
                <w:p w14:paraId="7AB45CFB" w14:textId="77777777" w:rsidR="008928F8" w:rsidRDefault="00000000">
                  <w:pPr>
                    <w:pStyle w:val="Compact"/>
                    <w:jc w:val="center"/>
                  </w:pPr>
                  <w:r>
                    <w:t>0.971</w:t>
                  </w:r>
                </w:p>
              </w:tc>
            </w:tr>
            <w:bookmarkEnd w:id="84"/>
          </w:tbl>
          <w:p w14:paraId="2104C75B" w14:textId="77777777" w:rsidR="008928F8" w:rsidRDefault="008928F8"/>
        </w:tc>
      </w:tr>
      <w:bookmarkEnd w:id="76"/>
    </w:tbl>
    <w:p w14:paraId="4ADC8286" w14:textId="77777777" w:rsidR="00591CFB" w:rsidRDefault="00591CFB"/>
    <w:sectPr w:rsidR="00591CFB">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D4CF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82B1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1ABF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1817121">
    <w:abstractNumId w:val="0"/>
  </w:num>
  <w:num w:numId="2" w16cid:durableId="361976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0689987">
    <w:abstractNumId w:val="1"/>
  </w:num>
  <w:num w:numId="4" w16cid:durableId="2111848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928F8"/>
    <w:rsid w:val="0037148B"/>
    <w:rsid w:val="00591CFB"/>
    <w:rsid w:val="008928F8"/>
    <w:rsid w:val="00A176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145C80"/>
  <w15:docId w15:val="{2787306C-F306-4DFA-90A5-09E2EB1FD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40413-015-0073-0" TargetMode="External"/><Relationship Id="rId13" Type="http://schemas.openxmlformats.org/officeDocument/2006/relationships/hyperlink" Target="https://wxtech.weathernews.com/pollen/index.html" TargetMode="External"/><Relationship Id="rId18" Type="http://schemas.openxmlformats.org/officeDocument/2006/relationships/hyperlink" Target="https://doi.org/10.1016/j.jaci.2006.07.006" TargetMode="External"/><Relationship Id="rId26" Type="http://schemas.openxmlformats.org/officeDocument/2006/relationships/hyperlink" Target="https://doi.org/10.1016/j.scitotenv.2014.08.045" TargetMode="External"/><Relationship Id="rId39" Type="http://schemas.openxmlformats.org/officeDocument/2006/relationships/hyperlink" Target="https://doi.org/10.1016/S0140-6736(14)60617-6" TargetMode="External"/><Relationship Id="rId3" Type="http://schemas.openxmlformats.org/officeDocument/2006/relationships/settings" Target="settings.xml"/><Relationship Id="rId21" Type="http://schemas.openxmlformats.org/officeDocument/2006/relationships/hyperlink" Target="https://doi.org/10.1111/j.1398-9995.1991.tb00628.x" TargetMode="External"/><Relationship Id="rId34" Type="http://schemas.openxmlformats.org/officeDocument/2006/relationships/hyperlink" Target="https://doi.org/10.1016/j.eehl.2022.09.002" TargetMode="External"/><Relationship Id="rId42" Type="http://schemas.openxmlformats.org/officeDocument/2006/relationships/theme" Target="theme/theme1.xml"/><Relationship Id="rId7" Type="http://schemas.openxmlformats.org/officeDocument/2006/relationships/hyperlink" Target="https://doi.org/10.2183/pjab.90.203" TargetMode="External"/><Relationship Id="rId12" Type="http://schemas.openxmlformats.org/officeDocument/2006/relationships/hyperlink" Target="https://doi.org/10.1067/mai.2002.120759" TargetMode="External"/><Relationship Id="rId17" Type="http://schemas.openxmlformats.org/officeDocument/2006/relationships/hyperlink" Target="https://doi.org/10.1159/000023953" TargetMode="External"/><Relationship Id="rId25" Type="http://schemas.openxmlformats.org/officeDocument/2006/relationships/hyperlink" Target="https://doi.org/10.1016/j.envres.2017.04.008" TargetMode="External"/><Relationship Id="rId33" Type="http://schemas.openxmlformats.org/officeDocument/2006/relationships/hyperlink" Target="https://doi.org/10.1073/pnas.1205624109" TargetMode="External"/><Relationship Id="rId38" Type="http://schemas.openxmlformats.org/officeDocument/2006/relationships/hyperlink" Target="https://doi.org/10.1371/journal.pone.0138146" TargetMode="External"/><Relationship Id="rId2" Type="http://schemas.openxmlformats.org/officeDocument/2006/relationships/styles" Target="styles.xml"/><Relationship Id="rId16" Type="http://schemas.openxmlformats.org/officeDocument/2006/relationships/hyperlink" Target="https://doi.org/10.1007/s11882-018-0777-7" TargetMode="External"/><Relationship Id="rId20" Type="http://schemas.openxmlformats.org/officeDocument/2006/relationships/hyperlink" Target="https://doi.org/10.1016/j.aeaoa.2022.100177" TargetMode="External"/><Relationship Id="rId29" Type="http://schemas.openxmlformats.org/officeDocument/2006/relationships/hyperlink" Target="https://doi.org/10.1016/j.atmosenv.2014.05.005"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16/j.alit.2022.11.003" TargetMode="External"/><Relationship Id="rId11" Type="http://schemas.openxmlformats.org/officeDocument/2006/relationships/hyperlink" Target="https://doi.org/10.1136/thoraxjnl-2011-200711" TargetMode="External"/><Relationship Id="rId24" Type="http://schemas.openxmlformats.org/officeDocument/2006/relationships/hyperlink" Target="https://doi.org/10.1016/j.envres.2017.01.039" TargetMode="External"/><Relationship Id="rId32" Type="http://schemas.openxmlformats.org/officeDocument/2006/relationships/hyperlink" Target="https://www.ncbi.nlm.nih.gov/pubmed/23663440" TargetMode="External"/><Relationship Id="rId37" Type="http://schemas.openxmlformats.org/officeDocument/2006/relationships/hyperlink" Target="https://doi.org/10.2196/33941" TargetMode="External"/><Relationship Id="rId40" Type="http://schemas.openxmlformats.org/officeDocument/2006/relationships/hyperlink" Target="https://doi.org/10.2105/ajph.72.12.1336" TargetMode="External"/><Relationship Id="rId5" Type="http://schemas.openxmlformats.org/officeDocument/2006/relationships/hyperlink" Target="https://doi.org/10.1111/j.1398-9995.2007.01620.x" TargetMode="External"/><Relationship Id="rId15" Type="http://schemas.openxmlformats.org/officeDocument/2006/relationships/hyperlink" Target="https://doi.org/10.1289/ehp.6735" TargetMode="External"/><Relationship Id="rId23" Type="http://schemas.openxmlformats.org/officeDocument/2006/relationships/hyperlink" Target="https://doi.org/10.1111/j.1398-9995.1997.tb04870.x" TargetMode="External"/><Relationship Id="rId28" Type="http://schemas.openxmlformats.org/officeDocument/2006/relationships/hyperlink" Target="https://doi.org/10.1007/s00484-012-0539-5" TargetMode="External"/><Relationship Id="rId36" Type="http://schemas.openxmlformats.org/officeDocument/2006/relationships/hyperlink" Target="https://doi.org/10.31662/jmaj.2023-0078" TargetMode="External"/><Relationship Id="rId10" Type="http://schemas.openxmlformats.org/officeDocument/2006/relationships/hyperlink" Target="https://doi.org/10.1111/j.1398-9995.2010.02423.x" TargetMode="External"/><Relationship Id="rId19" Type="http://schemas.openxmlformats.org/officeDocument/2006/relationships/hyperlink" Target="https://doi.org/10.1046/j.1365-2222.1999.00567.x" TargetMode="External"/><Relationship Id="rId31" Type="http://schemas.openxmlformats.org/officeDocument/2006/relationships/hyperlink" Target="https://doi.org/10.3389/falgy.2022.1051368" TargetMode="External"/><Relationship Id="rId4" Type="http://schemas.openxmlformats.org/officeDocument/2006/relationships/webSettings" Target="webSettings.xml"/><Relationship Id="rId9" Type="http://schemas.openxmlformats.org/officeDocument/2006/relationships/hyperlink" Target="https://doi.org/10.1016/j.jaci.2017.05.010" TargetMode="External"/><Relationship Id="rId14" Type="http://schemas.openxmlformats.org/officeDocument/2006/relationships/hyperlink" Target="https://www.ncbi.nlm.nih.gov/pubmed/15420245" TargetMode="External"/><Relationship Id="rId22" Type="http://schemas.openxmlformats.org/officeDocument/2006/relationships/hyperlink" Target="https://www.ncbi.nlm.nih.gov/pubmed/9036991" TargetMode="External"/><Relationship Id="rId27" Type="http://schemas.openxmlformats.org/officeDocument/2006/relationships/hyperlink" Target="https://doi.org/10.1038/srep44535" TargetMode="External"/><Relationship Id="rId30" Type="http://schemas.openxmlformats.org/officeDocument/2006/relationships/hyperlink" Target="https://www.ncbi.nlm.nih.gov/pubmed/2513902" TargetMode="External"/><Relationship Id="rId35" Type="http://schemas.openxmlformats.org/officeDocument/2006/relationships/hyperlink" Target="https://doi.org/10.1016/j.alit.2022.06.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5597</Words>
  <Characters>31904</Characters>
  <Application>Microsoft Office Word</Application>
  <DocSecurity>0</DocSecurity>
  <Lines>265</Lines>
  <Paragraphs>74</Paragraphs>
  <ScaleCrop>false</ScaleCrop>
  <Company/>
  <LinksUpToDate>false</LinksUpToDate>
  <CharactersWithSpaces>37427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Particle-Size-Dependent Modeling of Pollen and Airborne Particulate Matter Associations with Allergy Medication Prescriptions: A Prefecture-Level Ecological Study Using Japan’s National Database</dc:title>
  <dc:creator>[Author Name]</dc:creator>
  <cp:keywords/>
  <cp:lastModifiedBy>治輝 齋藤</cp:lastModifiedBy>
  <cp:revision>2</cp:revision>
  <dcterms:created xsi:type="dcterms:W3CDTF">2026-03-20T03:35:00Z</dcterms:created>
  <dcterms:modified xsi:type="dcterms:W3CDTF">2026-03-22T08:33:00Z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Airborne pollen and particulate matter independently exacerbate allergic diseases, yet optimal modeling of their joint ecological effects on population-level medication utilization remains unclear. Particle size may be a critical but overlooked factor: suspended particulate matter (SPM, \leq 10 \mum) overlaps with pollen fragment sizes, while PM2.5 (\leq 2.5 \mum) does not. We hypothesized that specifying particulate matter as SPM rather than PM2.5 would yield more accurate estimation of pollen–prescription associations.Methods: We conducted a prefecture-level ecological study (N = 47) using Japan’s National Database of Health Insurance Claims (NDB Open Data, 10th edition, FY2023). Allergy-specific medication prescriptions (antihistamines, ophthalmic and nasal preparations; codes 441, 449, 131, 132) served as the outcome. Pollen dispersal counts (Weather News, 2023 season), PM2.5 and SPM concentrations (3-year mean, 2021–2023), aging rate, and population density were explanatory variables. Parallel OLS regression models were fit with PM2.5 (Model 5) and SPM (Model 6), each including a pollen \times particulate interaction term. Robustness was assessed via heteroscedasticity-consistent standard errors (HC3) and five additional sensitivity specifications. As a secondary methodological analysis, actual pollen observation data were compared with forest area ratio as exposure indicators.Results: The SPM-based model (Model 6) outperformed the PM2.5-based model (Model 5) in overall fit (R2 = 0.469 vs. 0.357; \DeltaAIC = –9.0) and in the robustness of the pollen main effect under HC3 standard errors (p = 0.033 vs. 0.082). Pollen count was significant across all six Model 6 sensitivity specifications (p = 0.006–0.045), whereas it lost significance in the Model 5 HC3 specification (p = 0.082). Population density was consistently significant (Model 6 HC3: p = 0.006). A pollen \times SPM interaction was significant under standard errors (p = 0.020) but attenuated under HC3 (p = 0.066), suggesting possible synergy that requires confirmation in larger samples. By contrast, no pollen \times PM2.5 interaction was detected (p = 0.985). Actual pollen observation data substantially outperformed forest area ratio (R2 = 0.357 vs. 0.242; \DeltaAIC = 7.7), despite the two indicators being uncorrelated (r = –0.009). Spatial autocorrelation was non-significant for all outcomes and residuals.Conclusions: SPM-based models provide more robust estimation of pollen–prescription associations than PM2.5-based models, consistent with the hypothesis that the coarser particulate fraction interacts more effectively with pollen-derived fragments. Actual pollen observation data should replace forest area ratio as the standard exposure indicator in ecological allergy research. The suggestive pollen \times SPM synergy warrants investigation in individual-level and time-series designs.Keywords: pollen; suspended particulate matter; PM2.5; particle size; allergic rhinitis; NDB Open Data; ecological study; allergy medication; Japan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vancouver.csl</vt:lpwstr>
  </property>
  <property fmtid="{D5CDD505-2E9C-101B-9397-08002B2CF9AE}" pid="10" name="date">
    <vt:lpwstr>2026-03-16</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