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left"/>
      </w:pPr>
      <w:r>
        <w:rPr>
          <w:b w:val="0"/>
          <w:sz w:val="22"/>
        </w:rPr>
        <w:t>26 June 2026</w:t>
      </w:r>
    </w:p>
    <w:p>
      <w:pPr>
        <w:spacing w:before="0" w:after="0"/>
        <w:jc w:val="left"/>
      </w:pPr>
      <w:r>
        <w:rPr>
          <w:b w:val="0"/>
          <w:sz w:val="22"/>
        </w:rPr>
        <w:t>The Editor-in-Chief</w:t>
      </w:r>
    </w:p>
    <w:p>
      <w:pPr>
        <w:spacing w:before="0" w:after="0"/>
        <w:jc w:val="left"/>
      </w:pPr>
      <w:r>
        <w:rPr>
          <w:b/>
          <w:sz w:val="22"/>
        </w:rPr>
        <w:t>Pharmacoepidemiology and Drug Safety</w:t>
      </w:r>
    </w:p>
    <w:p>
      <w:pPr>
        <w:spacing w:before="0" w:after="240"/>
        <w:jc w:val="left"/>
      </w:pPr>
      <w:r>
        <w:rPr>
          <w:b w:val="0"/>
          <w:sz w:val="22"/>
        </w:rPr>
        <w:t>Wiley</w:t>
      </w:r>
    </w:p>
    <w:p>
      <w:pPr>
        <w:spacing w:before="0" w:after="40"/>
        <w:jc w:val="left"/>
      </w:pPr>
      <w:r>
        <w:rPr>
          <w:b/>
          <w:sz w:val="22"/>
        </w:rPr>
        <w:t>Re: Submission of Original Article</w:t>
      </w:r>
    </w:p>
    <w:p>
      <w:pPr>
        <w:spacing w:before="0" w:after="240"/>
        <w:jc w:val="left"/>
      </w:pPr>
      <w:r>
        <w:rPr>
          <w:b w:val="0"/>
          <w:sz w:val="22"/>
        </w:rPr>
        <w:t>"How Outcome Definition Changes Ecological Pharmacoepidemiological Inference: A Natural Experiment on Outcome Misclassification"</w:t>
      </w:r>
    </w:p>
    <w:p>
      <w:pPr>
        <w:spacing w:before="0" w:after="120"/>
        <w:jc w:val="left"/>
      </w:pPr>
      <w:r>
        <w:rPr>
          <w:b w:val="0"/>
          <w:sz w:val="22"/>
        </w:rPr>
        <w:t>Dear Editor-in-Chief,</w:t>
      </w:r>
    </w:p>
    <w:p>
      <w:pPr>
        <w:spacing w:before="0" w:after="120"/>
        <w:jc w:val="left"/>
      </w:pPr>
      <w:r>
        <w:rPr>
          <w:b w:val="0"/>
          <w:sz w:val="22"/>
        </w:rPr>
        <w:t>I am pleased to submit the above-titled manuscript for consideration for publication in Pharmacoepidemiology and Drug Safety as an Original Article.</w:t>
      </w:r>
    </w:p>
    <w:p>
      <w:pPr>
        <w:spacing w:before="0" w:after="120"/>
        <w:jc w:val="left"/>
      </w:pPr>
      <w:r>
        <w:rPr>
          <w:b w:val="0"/>
          <w:sz w:val="22"/>
        </w:rPr>
        <w:t>Administrative claims databases and open prescription aggregates are widely used to study environmental determinants of health. However, when diagnosis-linked records are unavailable, researchers must select a medication-based outcome that serves as a proxy for the disease of interest. We quantify how much this choice alone — holding exposure data, covariates, and model structure constant — changes ecological inference. Using Japan's National Database (NDB) Open Data and seasonal pollen dispersal as a natural experiment, we compare three parallel analyses: an allergy-specific outcome (antihistamines, ophthalmic and nasal preparations), a pharmacologically heterogeneous comparator (topical anti-inflammatory agents), and a pharmacologically unrelated negative control (oral hypoglycemic agents). The allergy-specific outcome recovered a robust pollen signal (R² = 0.469, pollen significant in 7/8 sensitivity specifications), whereas the heterogeneous comparator attenuated the signal (R² = 0.272, 5/6 specifications). The negative control showed no pollen association in any specification, confirming outcome specificity rather than generic confounding.</w:t>
      </w:r>
    </w:p>
    <w:p>
      <w:pPr>
        <w:spacing w:before="0" w:after="120"/>
        <w:jc w:val="left"/>
      </w:pPr>
      <w:r>
        <w:rPr>
          <w:b w:val="0"/>
          <w:sz w:val="22"/>
        </w:rPr>
        <w:t>This study makes three contributions relevant to the readership of Pharmacoepidemiology and Drug Safety: (1) it demonstrates that outcome definition is a primary design determinant in prescription-based ecological analyses, not a downstream analytic choice; (2) it applies a novel three-arm comparison framework — disease-aligned, heterogeneous comparator, and negative control — that can be adopted in future pharmacoepidemiology research; and (3) it uses Japan's NDB Open Data, a large publicly available national prescription resource, to illustrate these points at population scale.</w:t>
      </w:r>
    </w:p>
    <w:p>
      <w:pPr>
        <w:spacing w:before="0" w:after="120"/>
        <w:jc w:val="left"/>
      </w:pPr>
      <w:r>
        <w:rPr>
          <w:b w:val="0"/>
          <w:sz w:val="22"/>
        </w:rPr>
        <w:t>The analysis plan was preregistered on the Open Science Framework prior to submission (https://osf.io/yuc4a; registered 18 June 2026). All data used are publicly available and analysis code is openly available on GitHub (https://github.com/haruki00430/NDB_pollen_allergy) and archived on Zenodo (https://doi.org/10.5281/zenodo.20747801). This manuscript follows the STROBE and RECORD reporting guidelines.</w:t>
      </w:r>
    </w:p>
    <w:p>
      <w:pPr>
        <w:spacing w:before="0" w:after="120"/>
        <w:jc w:val="left"/>
      </w:pPr>
      <w:r>
        <w:rPr>
          <w:b w:val="0"/>
          <w:sz w:val="22"/>
        </w:rPr>
        <w:t>This work has not been published previously and is not under consideration elsewhere. A previous version was submitted to the Journal of Clinical Epidemiology (JCEPI-D-26-00998) but received a desk decision indicating that the topic was considered more appropriate for a specialist pharmacoepidemiology journal. We believe Pharmacoepidemiology and Drug Safety is the most appropriate venue for this work.</w:t>
      </w:r>
    </w:p>
    <w:p>
      <w:pPr>
        <w:spacing w:before="0" w:after="120"/>
        <w:jc w:val="left"/>
      </w:pPr>
      <w:r>
        <w:rPr>
          <w:b w:val="0"/>
          <w:sz w:val="22"/>
        </w:rPr>
        <w:t>Neither author has any conflicts of interest to declare. This study did not receive specific external funding. We have completed the required Conflict of Interest disclosure form and have it available for submission.</w:t>
      </w:r>
    </w:p>
    <w:p>
      <w:pPr>
        <w:spacing w:before="0" w:after="240"/>
        <w:jc w:val="left"/>
      </w:pPr>
      <w:r>
        <w:rPr>
          <w:b w:val="0"/>
          <w:sz w:val="22"/>
        </w:rPr>
        <w:t>We hope that this manuscript will be of interest to the readers of Pharmacoepidemiology and Drug Safety, and we look forward to your consideration.</w:t>
      </w:r>
    </w:p>
    <w:p>
      <w:pPr>
        <w:spacing w:before="0" w:after="120"/>
        <w:jc w:val="left"/>
      </w:pPr>
      <w:r>
        <w:rPr>
          <w:b w:val="0"/>
          <w:sz w:val="22"/>
        </w:rPr>
        <w:t>Sincerely,</w:t>
      </w:r>
    </w:p>
    <w:p>
      <w:pPr>
        <w:spacing w:before="0" w:after="0"/>
        <w:jc w:val="left"/>
      </w:pPr>
      <w:r>
        <w:rPr>
          <w:b/>
          <w:sz w:val="22"/>
        </w:rPr>
        <w:t>Haruki Saito</w:t>
      </w:r>
    </w:p>
    <w:p>
      <w:pPr>
        <w:spacing w:before="0" w:after="0"/>
        <w:jc w:val="left"/>
      </w:pPr>
      <w:r>
        <w:rPr>
          <w:b w:val="0"/>
          <w:sz w:val="22"/>
        </w:rPr>
        <w:t>Department of Epidemiology</w:t>
      </w:r>
    </w:p>
    <w:p>
      <w:pPr>
        <w:spacing w:before="0" w:after="0"/>
        <w:jc w:val="left"/>
      </w:pPr>
      <w:r>
        <w:rPr>
          <w:b w:val="0"/>
          <w:sz w:val="22"/>
        </w:rPr>
        <w:t>Fukushima Medical University School of Medicine</w:t>
      </w:r>
    </w:p>
    <w:p>
      <w:pPr>
        <w:spacing w:before="0" w:after="0"/>
        <w:jc w:val="left"/>
      </w:pPr>
      <w:r>
        <w:rPr>
          <w:b w:val="0"/>
          <w:sz w:val="22"/>
        </w:rPr>
        <w:t>1 Hikarigaoka, Fukushima-shi, Fukushima 960-1295, Japan</w:t>
      </w:r>
    </w:p>
    <w:p>
      <w:pPr>
        <w:spacing w:before="0" w:after="120"/>
        <w:jc w:val="left"/>
      </w:pPr>
      <w:r>
        <w:rPr>
          <w:b w:val="0"/>
          <w:sz w:val="22"/>
        </w:rPr>
        <w:t>Email: m211039@fmu.ac.jp</w:t>
      </w:r>
    </w:p>
    <w:p>
      <w:pPr>
        <w:spacing w:before="0" w:after="120"/>
        <w:jc w:val="left"/>
      </w:pPr>
      <w:r>
        <w:rPr>
          <w:b w:val="0"/>
          <w:sz w:val="22"/>
        </w:rPr>
        <w:t>On behalf of all authors:</w:t>
      </w:r>
    </w:p>
    <w:p>
      <w:pPr>
        <w:spacing w:before="0" w:after="0"/>
        <w:jc w:val="left"/>
      </w:pPr>
      <w:r>
        <w:rPr>
          <w:b w:val="0"/>
          <w:sz w:val="22"/>
        </w:rPr>
        <w:t>Haruki Saito and Tetsuya Ohira</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