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6465" w14:textId="73BE4E3F" w:rsidR="000F71C7" w:rsidRPr="000F71C7" w:rsidRDefault="000F71C7">
      <w:pPr>
        <w:ind w:left="720" w:hanging="360"/>
        <w:rPr>
          <w:rFonts w:hint="eastAsia"/>
          <w:b/>
          <w:bCs/>
          <w:sz w:val="32"/>
          <w:szCs w:val="32"/>
          <w:lang w:eastAsia="ja-JP"/>
        </w:rPr>
      </w:pPr>
      <w:r w:rsidRPr="000F71C7">
        <w:rPr>
          <w:rFonts w:hint="eastAsia"/>
          <w:b/>
          <w:bCs/>
          <w:sz w:val="32"/>
          <w:szCs w:val="32"/>
          <w:lang w:eastAsia="ja-JP"/>
        </w:rPr>
        <w:t>Highlights</w:t>
      </w:r>
    </w:p>
    <w:p w14:paraId="57B500A3" w14:textId="77777777" w:rsidR="008E4A71" w:rsidRDefault="00000000">
      <w:pPr>
        <w:pStyle w:val="Compact"/>
        <w:numPr>
          <w:ilvl w:val="0"/>
          <w:numId w:val="2"/>
        </w:numPr>
      </w:pPr>
      <w:r>
        <w:t>Five NDB diabetes indicators did not converge on one regional construct.</w:t>
      </w:r>
    </w:p>
    <w:p w14:paraId="55E651EB" w14:textId="77777777" w:rsidR="008E4A71" w:rsidRDefault="00000000">
      <w:pPr>
        <w:pStyle w:val="Compact"/>
        <w:numPr>
          <w:ilvl w:val="0"/>
          <w:numId w:val="2"/>
        </w:numPr>
      </w:pPr>
      <w:r>
        <w:t>Screening/testing and complication claims loaded on separate PCA components.</w:t>
      </w:r>
    </w:p>
    <w:p w14:paraId="7FE18300" w14:textId="77777777" w:rsidR="008E4A71" w:rsidRDefault="00000000">
      <w:pPr>
        <w:pStyle w:val="Compact"/>
        <w:numPr>
          <w:ilvl w:val="0"/>
          <w:numId w:val="2"/>
        </w:numPr>
      </w:pPr>
      <w:r>
        <w:t>HbA1c elevation and routine complication claims were uncorrelated (rho=-0.07).</w:t>
      </w:r>
    </w:p>
    <w:p w14:paraId="096BA704" w14:textId="77777777" w:rsidR="008E4A71" w:rsidRDefault="00000000">
      <w:pPr>
        <w:pStyle w:val="Compact"/>
        <w:numPr>
          <w:ilvl w:val="0"/>
          <w:numId w:val="2"/>
        </w:numPr>
      </w:pPr>
      <w:r>
        <w:t>Five robustness checks showed this pattern was not a denominator artifact.</w:t>
      </w:r>
    </w:p>
    <w:p w14:paraId="01F2FC6E" w14:textId="77777777" w:rsidR="008E4A71" w:rsidRDefault="00000000">
      <w:pPr>
        <w:pStyle w:val="Compact"/>
        <w:numPr>
          <w:ilvl w:val="0"/>
          <w:numId w:val="2"/>
        </w:numPr>
      </w:pPr>
      <w:r>
        <w:t>Indicator choice should match the intended care-cascade stage of interest.</w:t>
      </w:r>
    </w:p>
    <w:sectPr w:rsidR="008E4A71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5A4D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D8FE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4461868">
    <w:abstractNumId w:val="0"/>
  </w:num>
  <w:num w:numId="2" w16cid:durableId="135950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A71"/>
    <w:rsid w:val="000F71C7"/>
    <w:rsid w:val="00774C2F"/>
    <w:rsid w:val="008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566C70"/>
  <w15:docId w15:val="{1C1B0836-1DBB-4756-86DF-F04C65EA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治輝 齋藤</dc:creator>
  <cp:keywords/>
  <cp:lastModifiedBy>治輝 齋藤</cp:lastModifiedBy>
  <cp:revision>2</cp:revision>
  <dcterms:created xsi:type="dcterms:W3CDTF">2026-07-02T00:16:00Z</dcterms:created>
  <dcterms:modified xsi:type="dcterms:W3CDTF">2026-07-02T07:46:00Z</dcterms:modified>
</cp:coreProperties>
</file>