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0FFE" w14:textId="77777777" w:rsidR="0012274E" w:rsidRDefault="00000000">
      <w:pPr>
        <w:jc w:val="center"/>
      </w:pPr>
      <w:r>
        <w:rPr>
          <w:b/>
          <w:color w:val="1F4D78"/>
          <w:sz w:val="36"/>
        </w:rPr>
        <w:t>Supplementary Material</w:t>
      </w:r>
    </w:p>
    <w:p w14:paraId="3EF630E8" w14:textId="77777777" w:rsidR="0012274E" w:rsidRDefault="00000000">
      <w:pPr>
        <w:jc w:val="center"/>
      </w:pPr>
      <w:r>
        <w:rPr>
          <w:i/>
        </w:rPr>
        <w:t>Administrative Diabetes Indicators Capture Distinct Stages of the Care Cascade: An Ecological Study of 335 Secondary Medical Areas in Japan</w:t>
      </w:r>
    </w:p>
    <w:p w14:paraId="05BEFF83" w14:textId="77777777" w:rsidR="0012274E" w:rsidRDefault="00000000">
      <w:pPr>
        <w:pStyle w:val="1"/>
      </w:pPr>
      <w:r>
        <w:t>Supplementary Figures</w:t>
      </w:r>
    </w:p>
    <w:p w14:paraId="0B5D0628" w14:textId="77777777" w:rsidR="0012274E" w:rsidRDefault="00000000">
      <w:pPr>
        <w:keepNext/>
        <w:spacing w:before="160" w:after="80"/>
      </w:pPr>
      <w:r>
        <w:rPr>
          <w:b/>
          <w:color w:val="1F4D78"/>
        </w:rPr>
        <w:t>Supplementary Figure S1. Outlier-exclusion sensitivity across five scenarios.</w:t>
      </w:r>
    </w:p>
    <w:p w14:paraId="0AC1DD8A" w14:textId="77777777" w:rsidR="0012274E" w:rsidRDefault="00000000">
      <w:pPr>
        <w:jc w:val="center"/>
      </w:pPr>
      <w:r>
        <w:rPr>
          <w:noProof/>
        </w:rPr>
        <w:drawing>
          <wp:inline distT="0" distB="0" distL="0" distR="0" wp14:anchorId="142D3428" wp14:editId="2536A6A5">
            <wp:extent cx="5394960" cy="2628314"/>
            <wp:effectExtent l="0" t="0" r="0" b="0"/>
            <wp:docPr id="1" name="Picture 1" descr="Outlier-exclusion sensitivity grid showing significant or non-significant results across five scena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s1_outlier_sensitivit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1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A2AA" w14:textId="77777777" w:rsidR="0012274E" w:rsidRDefault="00000000">
      <w:pPr>
        <w:spacing w:before="80" w:after="120"/>
      </w:pPr>
      <w:r>
        <w:rPr>
          <w:i/>
          <w:color w:val="666666"/>
          <w:sz w:val="18"/>
        </w:rPr>
        <w:t xml:space="preserve">Across all five prefecture-exclusion scenarios (excluding Tokyo, Osaka, Okinawa, </w:t>
      </w:r>
      <w:proofErr w:type="spellStart"/>
      <w:r>
        <w:rPr>
          <w:i/>
          <w:color w:val="666666"/>
          <w:sz w:val="18"/>
        </w:rPr>
        <w:t>Tokyo+Osaka</w:t>
      </w:r>
      <w:proofErr w:type="spellEnd"/>
      <w:r>
        <w:rPr>
          <w:i/>
          <w:color w:val="666666"/>
          <w:sz w:val="18"/>
        </w:rPr>
        <w:t>, and all three), HbA1c elevation × B001-20 remained non-significant (rho range −0.07 to −0.08, all p&gt;0.19). Three indicator pairs were consistently significant (p&lt;0.001): HbA1c elevation × FPG abnormality (rho 0.29–0.33), FPG abnormality × HbA1c testing count (rho 0.39–0.43), and B001-20 × B001-27 (rho 0.43 in all scenarios). The null HbA1c elevation–B001-20 association was not attributable to any single outlying prefecture.</w:t>
      </w:r>
    </w:p>
    <w:p w14:paraId="5ED9420D" w14:textId="77777777" w:rsidR="0012274E" w:rsidRDefault="00000000">
      <w:pPr>
        <w:keepNext/>
        <w:spacing w:before="160" w:after="80"/>
      </w:pPr>
      <w:r>
        <w:rPr>
          <w:b/>
          <w:color w:val="1F4D78"/>
        </w:rPr>
        <w:lastRenderedPageBreak/>
        <w:t>Supplementary Figure S2. MAUP risk summary for secondary medical areas versus prefectures.</w:t>
      </w:r>
    </w:p>
    <w:p w14:paraId="4FC7D4F3" w14:textId="77777777" w:rsidR="0012274E" w:rsidRDefault="00000000">
      <w:pPr>
        <w:jc w:val="center"/>
      </w:pPr>
      <w:r>
        <w:rPr>
          <w:noProof/>
        </w:rPr>
        <w:drawing>
          <wp:inline distT="0" distB="0" distL="0" distR="0" wp14:anchorId="3CA3BFB0" wp14:editId="70FDA22B">
            <wp:extent cx="4754880" cy="3072384"/>
            <wp:effectExtent l="0" t="0" r="0" b="0"/>
            <wp:docPr id="2" name="Picture 2" descr="Bar chart showing six low-risk, two moderate-risk, and two high-risk MAUP pairwise comparis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s2_maup_summar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3B27" w14:textId="77777777" w:rsidR="0012274E" w:rsidRDefault="00000000">
      <w:pPr>
        <w:spacing w:before="80" w:after="120"/>
      </w:pPr>
      <w:r>
        <w:t>Low risk indicates absolute change in rho below the prespecified threshold; moderate and high risk identify pairs with larger scale sensitivity or direction changes. This descriptive MAUP risk classification is distinct from the |Delta rho|&lt;0.15 scale-comparison stability screen, so the 6/2/2 risk counts should not be read as the inverse of the 8/10 stable-pair count.</w:t>
      </w:r>
    </w:p>
    <w:p w14:paraId="21872EF2" w14:textId="77777777" w:rsidR="0012274E" w:rsidRDefault="00000000">
      <w:pPr>
        <w:keepNext/>
        <w:spacing w:before="160" w:after="80"/>
      </w:pPr>
      <w:r>
        <w:rPr>
          <w:b/>
          <w:color w:val="1F4D78"/>
        </w:rPr>
        <w:t>Supplementary Figure S3. Proxy-denominator sensitivity for HbA1c elevation versus B001-20.</w:t>
      </w:r>
    </w:p>
    <w:p w14:paraId="5A20C358" w14:textId="77777777" w:rsidR="0012274E" w:rsidRDefault="00000000">
      <w:pPr>
        <w:jc w:val="center"/>
      </w:pPr>
      <w:r>
        <w:rPr>
          <w:noProof/>
        </w:rPr>
        <w:drawing>
          <wp:inline distT="0" distB="0" distL="0" distR="0" wp14:anchorId="4D4346A7" wp14:editId="28FA5866">
            <wp:extent cx="5303520" cy="3153444"/>
            <wp:effectExtent l="0" t="0" r="0" b="0"/>
            <wp:docPr id="3" name="Picture 3" descr="Bar chart showing denominator sensitivity of the HbA1c elevation and B001-20 correl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s3_denominator_sensitivit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E11C" w14:textId="77777777" w:rsidR="0012274E" w:rsidRDefault="00000000">
      <w:pPr>
        <w:spacing w:before="80" w:after="120"/>
      </w:pPr>
      <w:r>
        <w:rPr>
          <w:i/>
          <w:color w:val="666666"/>
          <w:sz w:val="18"/>
        </w:rPr>
        <w:lastRenderedPageBreak/>
        <w:t>At the secondary medical area level (main analysis: per 1,000 health-check participants), HbA1c elevation × B001-20: rho = −0.07 (main); log-count transformation: rho = +0.01 (|</w:t>
      </w:r>
      <w:proofErr w:type="spellStart"/>
      <w:r>
        <w:rPr>
          <w:i/>
          <w:color w:val="666666"/>
          <w:sz w:val="18"/>
        </w:rPr>
        <w:t>Δrho</w:t>
      </w:r>
      <w:proofErr w:type="spellEnd"/>
      <w:r>
        <w:rPr>
          <w:i/>
          <w:color w:val="666666"/>
          <w:sz w:val="18"/>
        </w:rPr>
        <w:t>| = 0.08, stable). Prefecture-level analyses with three population denominators (total population, 65+ population, 40–74 population) yielded rho = −0.25, −0.25, and −0.28 respectively; total population and 65+ population denominators produced identical rank orders. The shared proxy denominator did not artefactually inflate the near-zero district-level association.</w:t>
      </w:r>
    </w:p>
    <w:p w14:paraId="41B2B65B" w14:textId="77777777" w:rsidR="0012274E" w:rsidRDefault="00000000">
      <w:pPr>
        <w:pStyle w:val="1"/>
      </w:pPr>
      <w:r>
        <w:t>Supplementary Tables</w:t>
      </w:r>
    </w:p>
    <w:p w14:paraId="000A89F8" w14:textId="77777777" w:rsidR="0012274E" w:rsidRDefault="00000000">
      <w:pPr>
        <w:keepNext/>
        <w:spacing w:before="160" w:after="80"/>
      </w:pPr>
      <w:r>
        <w:rPr>
          <w:b/>
          <w:color w:val="1F4D78"/>
        </w:rPr>
        <w:t>Supplementary Table S1. Full Spearman correlation matrix among five diabetes-related indicators.</w:t>
      </w:r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432"/>
        <w:gridCol w:w="1432"/>
        <w:gridCol w:w="1432"/>
        <w:gridCol w:w="1432"/>
        <w:gridCol w:w="1432"/>
      </w:tblGrid>
      <w:tr w:rsidR="0012274E" w14:paraId="5C24108D" w14:textId="77777777">
        <w:trPr>
          <w:tblHeader/>
        </w:trPr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9875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Indicator</w:t>
            </w:r>
          </w:p>
        </w:tc>
        <w:tc>
          <w:tcPr>
            <w:tcW w:w="14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47E2B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HbA1c elevation</w:t>
            </w:r>
          </w:p>
        </w:tc>
        <w:tc>
          <w:tcPr>
            <w:tcW w:w="14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31E8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FPG abnormality</w:t>
            </w:r>
          </w:p>
        </w:tc>
        <w:tc>
          <w:tcPr>
            <w:tcW w:w="14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558A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HbA1c testing</w:t>
            </w:r>
          </w:p>
        </w:tc>
        <w:tc>
          <w:tcPr>
            <w:tcW w:w="14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A7B2E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B001-20</w:t>
            </w:r>
          </w:p>
        </w:tc>
        <w:tc>
          <w:tcPr>
            <w:tcW w:w="14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46ADA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B001-27</w:t>
            </w:r>
          </w:p>
        </w:tc>
      </w:tr>
      <w:tr w:rsidR="0012274E" w14:paraId="3957516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BC584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HbA1c elevation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400D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1.00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73088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0.32***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D83E8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0.04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4575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-0.07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75BBD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0.15**</w:t>
            </w:r>
          </w:p>
        </w:tc>
      </w:tr>
      <w:tr w:rsidR="0012274E" w14:paraId="5755CC7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C968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FPG abnormality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08C72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0.32***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E04E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1.00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209F2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0.43***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45B30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-0.23***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B04D8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-0.04</w:t>
            </w:r>
          </w:p>
        </w:tc>
      </w:tr>
      <w:tr w:rsidR="0012274E" w14:paraId="0BE878E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4CE5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HbA1c testing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F9D00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0.04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6B821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0.43***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2AD7F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1.00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9D02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20E3A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-0.01</w:t>
            </w:r>
          </w:p>
        </w:tc>
      </w:tr>
      <w:tr w:rsidR="0012274E" w14:paraId="03D2D04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2E160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B001-20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D0735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-0.07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1BF2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-0.23***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F0CC1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8F9A4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1.00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DE4E3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0.43***</w:t>
            </w:r>
          </w:p>
        </w:tc>
      </w:tr>
      <w:tr w:rsidR="0012274E" w14:paraId="1CBD110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CF847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B001-27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D9662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0.15**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EF83B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-0.04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C5FA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-0.01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8D9CB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0.43***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80FA5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1.00</w:t>
            </w:r>
          </w:p>
        </w:tc>
      </w:tr>
    </w:tbl>
    <w:p w14:paraId="1C43C69D" w14:textId="77777777" w:rsidR="0012274E" w:rsidRDefault="00000000">
      <w:pPr>
        <w:spacing w:before="80" w:after="120"/>
      </w:pPr>
      <w:r>
        <w:rPr>
          <w:i/>
          <w:color w:val="666666"/>
          <w:sz w:val="18"/>
        </w:rPr>
        <w:t>Pairwise complete observations, n=251-335. **p&lt;0.01; ***p&lt;0.001. FPG, fasting plasma glucose.</w:t>
      </w:r>
    </w:p>
    <w:p w14:paraId="6F2732EC" w14:textId="77777777" w:rsidR="0012274E" w:rsidRDefault="00000000">
      <w:pPr>
        <w:keepNext/>
        <w:spacing w:before="160" w:after="80"/>
      </w:pPr>
      <w:r>
        <w:rPr>
          <w:b/>
          <w:color w:val="1F4D78"/>
        </w:rPr>
        <w:t>Supplementary Table S2. Sensitivity and robustness analyses.</w:t>
      </w:r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4550"/>
        <w:gridCol w:w="3160"/>
      </w:tblGrid>
      <w:tr w:rsidR="0012274E" w14:paraId="421470D4" w14:textId="77777777">
        <w:trPr>
          <w:tblHeader/>
        </w:trPr>
        <w:tc>
          <w:tcPr>
            <w:tcW w:w="16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98949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Analysis</w:t>
            </w:r>
          </w:p>
        </w:tc>
        <w:tc>
          <w:tcPr>
            <w:tcW w:w="4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4919C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Finding</w:t>
            </w:r>
          </w:p>
        </w:tc>
        <w:tc>
          <w:tcPr>
            <w:tcW w:w="3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2CA36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Interpretation</w:t>
            </w:r>
          </w:p>
        </w:tc>
      </w:tr>
      <w:tr w:rsidR="0012274E" w14:paraId="0B369D12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4E8F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Scale comparison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79C0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8/10 pairs had absolute change in rho &lt;0.15; HbA1c elevation-B001-20 changed from -0.07 to -0.24.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7E43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Most pairs were stable, but screening-management contrasts were scale-sensitive.</w:t>
            </w:r>
          </w:p>
        </w:tc>
      </w:tr>
      <w:tr w:rsidR="0012274E" w14:paraId="6B3A86C0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46F04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Outlier exclusions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BE1F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HbA1c-FPG, FPG-HbA1c testing, and B001-20-B001-27 were significant in 5/5 scenarios; HbA1c-B001-20 was non-significant in 5/5.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1AB03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Core null pattern was not driven by Tokyo, Osaka, or Okinawa.</w:t>
            </w:r>
          </w:p>
        </w:tc>
      </w:tr>
      <w:tr w:rsidR="0012274E" w14:paraId="27B31633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06CE9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Prescription indicator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EF58C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Drug-HbA1c testing rho=0.870***; drug-FPG rho=0.532***; drug-B001-20 rho=-0.201; drug-B001-27 rho=-0.142.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EB99A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Prescription volume aligned with testing and screening indicators, not management claims.</w:t>
            </w:r>
          </w:p>
        </w:tc>
      </w:tr>
      <w:tr w:rsidR="0012274E" w14:paraId="58A53DCE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606C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Proxy denominator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C40F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Area log-count HbA1c-B001-20 rho range -0.07 to 0.01; prefecture population-denominator rho range -0.25 to -0.28; PC2 remained management-dominated.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04F75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The screening-management separation was not explained by the shared checkup denominator alone.</w:t>
            </w:r>
          </w:p>
        </w:tc>
      </w:tr>
      <w:tr w:rsidR="0012274E" w14:paraId="0043BF02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0DCE1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MAUP summary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683CD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Low risk 6/10; moderate risk 2/10; high risk 2/10.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AFDB5" w14:textId="77777777" w:rsidR="00D178AD" w:rsidRDefault="00000000">
            <w:pPr>
              <w:spacing w:after="0"/>
            </w:pPr>
            <w:r>
              <w:rPr>
                <w:sz w:val="16"/>
              </w:rPr>
              <w:t>Uses a descriptive risk classification distinct from the 0.15 stability screen.</w:t>
            </w:r>
          </w:p>
        </w:tc>
      </w:tr>
    </w:tbl>
    <w:p w14:paraId="42035052" w14:textId="77777777" w:rsidR="001642AD" w:rsidRPr="001642AD" w:rsidRDefault="001642AD">
      <w:pPr>
        <w:rPr>
          <w:lang w:eastAsia="ja-JP"/>
        </w:rPr>
      </w:pPr>
    </w:p>
    <w:sectPr w:rsidR="001642AD" w:rsidRPr="001642AD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542364">
    <w:abstractNumId w:val="8"/>
  </w:num>
  <w:num w:numId="2" w16cid:durableId="1329946796">
    <w:abstractNumId w:val="6"/>
  </w:num>
  <w:num w:numId="3" w16cid:durableId="910118384">
    <w:abstractNumId w:val="5"/>
  </w:num>
  <w:num w:numId="4" w16cid:durableId="1047603119">
    <w:abstractNumId w:val="4"/>
  </w:num>
  <w:num w:numId="5" w16cid:durableId="897742394">
    <w:abstractNumId w:val="7"/>
  </w:num>
  <w:num w:numId="6" w16cid:durableId="141898056">
    <w:abstractNumId w:val="3"/>
  </w:num>
  <w:num w:numId="7" w16cid:durableId="1515806125">
    <w:abstractNumId w:val="2"/>
  </w:num>
  <w:num w:numId="8" w16cid:durableId="199243212">
    <w:abstractNumId w:val="1"/>
  </w:num>
  <w:num w:numId="9" w16cid:durableId="181844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679"/>
    <w:rsid w:val="0012274E"/>
    <w:rsid w:val="0015074B"/>
    <w:rsid w:val="001642AD"/>
    <w:rsid w:val="0029639D"/>
    <w:rsid w:val="00326F90"/>
    <w:rsid w:val="00366518"/>
    <w:rsid w:val="00366AE2"/>
    <w:rsid w:val="004A3C73"/>
    <w:rsid w:val="006328C0"/>
    <w:rsid w:val="00AA1D8D"/>
    <w:rsid w:val="00B47730"/>
    <w:rsid w:val="00B800CA"/>
    <w:rsid w:val="00C81798"/>
    <w:rsid w:val="00CB0664"/>
    <w:rsid w:val="00D178AD"/>
    <w:rsid w:val="00FA4B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673C189"/>
  <w14:defaultImageDpi w14:val="300"/>
  <w15:docId w15:val="{6FEC6DDF-1127-4C19-BE9C-4A84040F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20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- Administrative Diabetes Indicators Capture Distinct Stages of the Care Cascade: An Ecological Study of 335 Secondary Medical Areas in Japan</dc:title>
  <dc:subject/>
  <dc:creator>Haruki Saito</dc:creator>
  <cp:keywords/>
  <dc:description>generated by python-docx</dc:description>
  <cp:lastModifiedBy>Haruki Saito</cp:lastModifiedBy>
  <cp:revision>2</cp:revision>
  <dcterms:created xsi:type="dcterms:W3CDTF">2026-06-25T03:56:00Z</dcterms:created>
  <dcterms:modified xsi:type="dcterms:W3CDTF">2026-06-25T03:56:00Z</dcterms:modified>
  <cp:category/>
</cp:coreProperties>
</file>