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r>
        <w:t>Not All Environmental Indicators Travel: Lessons from Greenspace and Mental Health Service Use in Japan</w:t>
      </w:r>
    </w:p>
    <w:p>
      <w:r>
        <w:t>International Journal of Environmental Health Research — Supplementary Tables</w:t>
      </w:r>
    </w:p>
    <w:p>
      <w:pPr>
        <w:pStyle w:val="Heading2"/>
      </w:pPr>
      <w:r>
        <w:t>Supplementary Table S1. Pearson Correlation Matrix of Study Variables (N=47)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Prescription Rate</w:t>
            </w:r>
          </w:p>
        </w:tc>
        <w:tc>
          <w:tcPr>
            <w:tcW w:type="dxa" w:w="1440"/>
          </w:tcPr>
          <w:p>
            <w:r>
              <w:t>Greenspace Ratio</w:t>
            </w:r>
          </w:p>
        </w:tc>
        <w:tc>
          <w:tcPr>
            <w:tcW w:type="dxa" w:w="1440"/>
          </w:tcPr>
          <w:p>
            <w:r>
              <w:t>Aging Rate</w:t>
            </w:r>
          </w:p>
        </w:tc>
        <w:tc>
          <w:tcPr>
            <w:tcW w:type="dxa" w:w="1440"/>
          </w:tcPr>
          <w:p>
            <w:r>
              <w:t>Single HH Rate</w:t>
            </w:r>
          </w:p>
        </w:tc>
        <w:tc>
          <w:tcPr>
            <w:tcW w:type="dxa" w:w="1440"/>
          </w:tcPr>
          <w:p>
            <w:r>
              <w:t>Pop Density</w:t>
            </w:r>
          </w:p>
        </w:tc>
      </w:tr>
      <w:tr>
        <w:tc>
          <w:tcPr>
            <w:tcW w:type="dxa" w:w="1440"/>
          </w:tcPr>
          <w:p>
            <w:r>
              <w:t>Prescription Rate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Greenspace Ratio</w:t>
            </w:r>
          </w:p>
        </w:tc>
        <w:tc>
          <w:tcPr>
            <w:tcW w:type="dxa" w:w="1440"/>
          </w:tcPr>
          <w:p>
            <w:r>
              <w:t>0.450**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Aging Rate</w:t>
            </w:r>
          </w:p>
        </w:tc>
        <w:tc>
          <w:tcPr>
            <w:tcW w:type="dxa" w:w="1440"/>
          </w:tcPr>
          <w:p>
            <w:r>
              <w:t>0.636***</w:t>
            </w:r>
          </w:p>
        </w:tc>
        <w:tc>
          <w:tcPr>
            <w:tcW w:type="dxa" w:w="1440"/>
          </w:tcPr>
          <w:p>
            <w:r>
              <w:t>0.704***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Single HH Rate</w:t>
            </w:r>
          </w:p>
        </w:tc>
        <w:tc>
          <w:tcPr>
            <w:tcW w:type="dxa" w:w="1440"/>
          </w:tcPr>
          <w:p>
            <w:r>
              <w:t>0.664***</w:t>
            </w:r>
          </w:p>
        </w:tc>
        <w:tc>
          <w:tcPr>
            <w:tcW w:type="dxa" w:w="1440"/>
          </w:tcPr>
          <w:p>
            <w:r>
              <w:t>0.413**</w:t>
            </w:r>
          </w:p>
        </w:tc>
        <w:tc>
          <w:tcPr>
            <w:tcW w:type="dxa" w:w="1440"/>
          </w:tcPr>
          <w:p>
            <w:r>
              <w:t>0.683***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Pop Density</w:t>
            </w:r>
          </w:p>
        </w:tc>
        <w:tc>
          <w:tcPr>
            <w:tcW w:type="dxa" w:w="1440"/>
          </w:tcPr>
          <w:p>
            <w:r>
              <w:t>−0.197</w:t>
            </w:r>
          </w:p>
        </w:tc>
        <w:tc>
          <w:tcPr>
            <w:tcW w:type="dxa" w:w="1440"/>
          </w:tcPr>
          <w:p>
            <w:r>
              <w:t>−0.615***</w:t>
            </w:r>
          </w:p>
        </w:tc>
        <w:tc>
          <w:tcPr>
            <w:tcW w:type="dxa" w:w="1440"/>
          </w:tcPr>
          <w:p>
            <w:r>
              <w:t>−0.664***</w:t>
            </w:r>
          </w:p>
        </w:tc>
        <w:tc>
          <w:tcPr>
            <w:tcW w:type="dxa" w:w="1440"/>
          </w:tcPr>
          <w:p>
            <w:r>
              <w:t>−0.318*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</w:tr>
    </w:tbl>
    <w:p>
      <w:r>
        <w:t>*p&lt;0.05, **p&lt;0.01, ***p&lt;0.001</w:t>
      </w:r>
    </w:p>
    <w:p>
      <w:pPr>
        <w:pStyle w:val="Heading2"/>
      </w:pPr>
      <w:r>
        <w:t>Supplementary Table S2. Stratified Analysis and Interaction Tests</w:t>
      </w:r>
    </w:p>
    <w:p>
      <w:pPr>
        <w:pStyle w:val="Heading3"/>
      </w:pPr>
      <w:r>
        <w:t>Stratified Analysis (Separate OLS Models by Stratum)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Stratum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Greenspace β</w:t>
            </w:r>
          </w:p>
        </w:tc>
        <w:tc>
          <w:tcPr>
            <w:tcW w:type="dxa" w:w="1440"/>
          </w:tcPr>
          <w:p>
            <w:r>
              <w:t>SE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Interpretation</w:t>
            </w:r>
          </w:p>
        </w:tc>
      </w:tr>
      <w:tr>
        <w:tc>
          <w:tcPr>
            <w:tcW w:type="dxa" w:w="1440"/>
          </w:tcPr>
          <w:p>
            <w:r>
              <w:t>Urban (≥median density)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5,206</w:t>
            </w:r>
          </w:p>
        </w:tc>
        <w:tc>
          <w:tcPr>
            <w:tcW w:type="dxa" w:w="1440"/>
          </w:tcPr>
          <w:p>
            <w:r>
              <w:t>6,844</w:t>
            </w:r>
          </w:p>
        </w:tc>
        <w:tc>
          <w:tcPr>
            <w:tcW w:type="dxa" w:w="1440"/>
          </w:tcPr>
          <w:p>
            <w:r>
              <w:t>0.457</w:t>
            </w:r>
          </w:p>
        </w:tc>
        <w:tc>
          <w:tcPr>
            <w:tcW w:type="dxa" w:w="1440"/>
          </w:tcPr>
          <w:p>
            <w:r>
              <w:t>Non-significant positive trend</w:t>
            </w:r>
          </w:p>
        </w:tc>
      </w:tr>
      <w:tr>
        <w:tc>
          <w:tcPr>
            <w:tcW w:type="dxa" w:w="1440"/>
          </w:tcPr>
          <w:p>
            <w:r>
              <w:t>Rural (&lt;median density)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-8,416</w:t>
            </w:r>
          </w:p>
        </w:tc>
        <w:tc>
          <w:tcPr>
            <w:tcW w:type="dxa" w:w="1440"/>
          </w:tcPr>
          <w:p>
            <w:r>
              <w:t>33,999</w:t>
            </w:r>
          </w:p>
        </w:tc>
        <w:tc>
          <w:tcPr>
            <w:tcW w:type="dxa" w:w="1440"/>
          </w:tcPr>
          <w:p>
            <w:r>
              <w:t>0.805</w:t>
            </w:r>
          </w:p>
        </w:tc>
        <w:tc>
          <w:tcPr>
            <w:tcW w:type="dxa" w:w="1440"/>
          </w:tcPr>
          <w:p>
            <w:r>
              <w:t>Non-significant negative trend</w:t>
            </w:r>
          </w:p>
        </w:tc>
      </w:tr>
    </w:tbl>
    <w:p>
      <w:pPr>
        <w:pStyle w:val="Heading3"/>
      </w:pPr>
      <w:r>
        <w:t>Interaction Tests (Full Sample, N=47)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Interaction Term</w:t>
            </w:r>
          </w:p>
        </w:tc>
        <w:tc>
          <w:tcPr>
            <w:tcW w:type="dxa" w:w="1440"/>
          </w:tcPr>
          <w:p>
            <w:r>
              <w:t>β</w:t>
            </w:r>
          </w:p>
        </w:tc>
        <w:tc>
          <w:tcPr>
            <w:tcW w:type="dxa" w:w="1440"/>
          </w:tcPr>
          <w:p>
            <w:r>
              <w:t>SE</w:t>
            </w:r>
          </w:p>
        </w:tc>
        <w:tc>
          <w:tcPr>
            <w:tcW w:type="dxa" w:w="1440"/>
          </w:tcPr>
          <w:p>
            <w:r>
              <w:t>t-statistic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Interpretation</w:t>
            </w:r>
          </w:p>
        </w:tc>
      </w:tr>
      <w:tr>
        <w:tc>
          <w:tcPr>
            <w:tcW w:type="dxa" w:w="1440"/>
          </w:tcPr>
          <w:p>
            <w:r>
              <w:t>Greenspace × Aging rate</w:t>
            </w:r>
          </w:p>
        </w:tc>
        <w:tc>
          <w:tcPr>
            <w:tcW w:type="dxa" w:w="1440"/>
          </w:tcPr>
          <w:p>
            <w:r>
              <w:t>2,075</w:t>
            </w:r>
          </w:p>
        </w:tc>
        <w:tc>
          <w:tcPr>
            <w:tcW w:type="dxa" w:w="1440"/>
          </w:tcPr>
          <w:p>
            <w:r>
              <w:t>2,612</w:t>
            </w:r>
          </w:p>
        </w:tc>
        <w:tc>
          <w:tcPr>
            <w:tcW w:type="dxa" w:w="1440"/>
          </w:tcPr>
          <w:p>
            <w:r>
              <w:t>0.794</w:t>
            </w:r>
          </w:p>
        </w:tc>
        <w:tc>
          <w:tcPr>
            <w:tcW w:type="dxa" w:w="1440"/>
          </w:tcPr>
          <w:p>
            <w:r>
              <w:t>0.432</w:t>
            </w:r>
          </w:p>
        </w:tc>
        <w:tc>
          <w:tcPr>
            <w:tcW w:type="dxa" w:w="1440"/>
          </w:tcPr>
          <w:p>
            <w:r>
              <w:t>Non-significant</w:t>
            </w:r>
          </w:p>
        </w:tc>
      </w:tr>
      <w:tr>
        <w:tc>
          <w:tcPr>
            <w:tcW w:type="dxa" w:w="1440"/>
          </w:tcPr>
          <w:p>
            <w:r>
              <w:t>Greenspace × Single household rate</w:t>
            </w:r>
          </w:p>
        </w:tc>
        <w:tc>
          <w:tcPr>
            <w:tcW w:type="dxa" w:w="1440"/>
          </w:tcPr>
          <w:p>
            <w:r>
              <w:t>-8.12</w:t>
            </w:r>
          </w:p>
        </w:tc>
        <w:tc>
          <w:tcPr>
            <w:tcW w:type="dxa" w:w="1440"/>
          </w:tcPr>
          <w:p>
            <w:r>
              <w:t>19.52</w:t>
            </w:r>
          </w:p>
        </w:tc>
        <w:tc>
          <w:tcPr>
            <w:tcW w:type="dxa" w:w="1440"/>
          </w:tcPr>
          <w:p>
            <w:r>
              <w:t>-0.416</w:t>
            </w:r>
          </w:p>
        </w:tc>
        <w:tc>
          <w:tcPr>
            <w:tcW w:type="dxa" w:w="1440"/>
          </w:tcPr>
          <w:p>
            <w:r>
              <w:t>0.678</w:t>
            </w:r>
          </w:p>
        </w:tc>
        <w:tc>
          <w:tcPr>
            <w:tcW w:type="dxa" w:w="1440"/>
          </w:tcPr>
          <w:p>
            <w:r>
              <w:t>Non-significant</w:t>
            </w:r>
          </w:p>
        </w:tc>
      </w:tr>
      <w:tr>
        <w:tc>
          <w:tcPr>
            <w:tcW w:type="dxa" w:w="1440"/>
          </w:tcPr>
          <w:p>
            <w:r>
              <w:t>Greenspace × Urban indicator</w:t>
            </w:r>
          </w:p>
        </w:tc>
        <w:tc>
          <w:tcPr>
            <w:tcW w:type="dxa" w:w="1440"/>
          </w:tcPr>
          <w:p>
            <w:r>
              <w:t>389</w:t>
            </w:r>
          </w:p>
        </w:tc>
        <w:tc>
          <w:tcPr>
            <w:tcW w:type="dxa" w:w="1440"/>
          </w:tcPr>
          <w:p>
            <w:r>
              <w:t>24,325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0.987</w:t>
            </w:r>
          </w:p>
        </w:tc>
        <w:tc>
          <w:tcPr>
            <w:tcW w:type="dxa" w:w="1440"/>
          </w:tcPr>
          <w:p>
            <w:r>
              <w:t>Non-significant</w:t>
            </w:r>
          </w:p>
        </w:tc>
      </w:tr>
      <w:tr>
        <w:tc>
          <w:tcPr>
            <w:tcW w:type="dxa" w:w="1440"/>
          </w:tcPr>
          <w:p>
            <w:r>
              <w:t>Greenspace × Population density</w:t>
            </w:r>
          </w:p>
        </w:tc>
        <w:tc>
          <w:tcPr>
            <w:tcW w:type="dxa" w:w="1440"/>
          </w:tcPr>
          <w:p>
            <w:r>
              <w:t>-0.089</w:t>
            </w:r>
          </w:p>
        </w:tc>
        <w:tc>
          <w:tcPr>
            <w:tcW w:type="dxa" w:w="1440"/>
          </w:tcPr>
          <w:p>
            <w:r>
              <w:t>5.18</w:t>
            </w:r>
          </w:p>
        </w:tc>
        <w:tc>
          <w:tcPr>
            <w:tcW w:type="dxa" w:w="1440"/>
          </w:tcPr>
          <w:p>
            <w:r>
              <w:t>-0.017</w:t>
            </w:r>
          </w:p>
        </w:tc>
        <w:tc>
          <w:tcPr>
            <w:tcW w:type="dxa" w:w="1440"/>
          </w:tcPr>
          <w:p>
            <w:r>
              <w:t>0.986</w:t>
            </w:r>
          </w:p>
        </w:tc>
        <w:tc>
          <w:tcPr>
            <w:tcW w:type="dxa" w:w="1440"/>
          </w:tcPr>
          <w:p>
            <w:r>
              <w:t>Non-significant</w:t>
            </w:r>
          </w:p>
        </w:tc>
      </w:tr>
    </w:tbl>
    <w:p>
      <w:r>
        <w:t>Note: Urban indicator is a binary variable (1=urban, 0=rural) based on median population density.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