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Date: June 28, 2026</w:t>
      </w:r>
    </w:p>
    <w:p/>
    <w:p>
      <w:r>
        <w:rPr>
          <w:rFonts w:ascii="Times New Roman" w:hAnsi="Times New Roman"/>
          <w:b/>
          <w:sz w:val="24"/>
        </w:rPr>
        <w:t>To: The Editors, International Journal of Environmental Health Research</w:t>
      </w:r>
    </w:p>
    <w:p>
      <w:r>
        <w:rPr>
          <w:rFonts w:ascii="Times New Roman" w:hAnsi="Times New Roman"/>
          <w:b/>
          <w:sz w:val="24"/>
        </w:rPr>
        <w:t>Re: Submission of Research Article — "Not All Environmental Indicators Travel: Lessons from Greenspace and Mental Health Service Use in Japan"</w:t>
      </w:r>
    </w:p>
    <w:p/>
    <w:p>
      <w:r>
        <w:rPr>
          <w:rFonts w:ascii="Times New Roman" w:hAnsi="Times New Roman"/>
          <w:b w:val="0"/>
          <w:sz w:val="24"/>
        </w:rPr>
        <w:t>Dear Editor,</w:t>
      </w:r>
    </w:p>
    <w:p/>
    <w:p>
      <w:r>
        <w:rPr>
          <w:rFonts w:ascii="Times New Roman" w:hAnsi="Times New Roman"/>
          <w:b w:val="0"/>
          <w:sz w:val="24"/>
        </w:rPr>
        <w:t>We are pleased to submit our manuscript entitled "Not All Environmental Indicators Travel: Lessons from Greenspace and Mental Health Service Use in Japan" for consideration as a Research Article in International Journal of Environmental Health Research.</w:t>
      </w:r>
    </w:p>
    <w:p/>
    <w:p>
      <w:r>
        <w:rPr>
          <w:rFonts w:ascii="Times New Roman" w:hAnsi="Times New Roman"/>
          <w:b/>
          <w:sz w:val="24"/>
        </w:rPr>
        <w:t>Summary</w:t>
      </w:r>
    </w:p>
    <w:p>
      <w:r>
        <w:rPr>
          <w:rFonts w:ascii="Times New Roman" w:hAnsi="Times New Roman"/>
          <w:b w:val="0"/>
          <w:sz w:val="24"/>
        </w:rPr>
        <w:t>This nationwide spatial ecological study examines whether prefecture-level greenspace coverage — a widely used administrative environmental indicator — predicts psychiatric medication prescription rates across all 47 Japanese prefectures. Using Moran's I and spatial regression models (OLS, Spatial Lag, Spatial Error, and Spatial Durbin) with National Database of Health Insurance Claims (NDB) Open Data (FY 2023), national land-use statistics, and socioeconomic indicators, we found that greenspace ratio did not significantly predict prescription volume after adjustment, despite significant spatial clustering in both variables. Stratified and interaction analyses showed no statistically meaningful urban-rural effect heterogeneity.</w:t>
      </w:r>
    </w:p>
    <w:p/>
    <w:p>
      <w:r>
        <w:rPr>
          <w:rFonts w:ascii="Times New Roman" w:hAnsi="Times New Roman"/>
          <w:b w:val="0"/>
          <w:sz w:val="24"/>
        </w:rPr>
        <w:t>We interpret these findings as a proxy-validation result: administrative greenspace quantity may be too coarse a proxy for exposure pathways relevant to mental health service use, particularly when outcomes are claims-based healthcare measures rather than direct prevalence indicators.</w:t>
      </w:r>
    </w:p>
    <w:p/>
    <w:p>
      <w:r>
        <w:rPr>
          <w:rFonts w:ascii="Times New Roman" w:hAnsi="Times New Roman"/>
          <w:b/>
          <w:sz w:val="24"/>
        </w:rPr>
        <w:t>Relevance to IJEHR</w:t>
      </w:r>
    </w:p>
    <w:p>
      <w:r>
        <w:rPr>
          <w:rFonts w:ascii="Times New Roman" w:hAnsi="Times New Roman"/>
          <w:b w:val="0"/>
          <w:sz w:val="24"/>
        </w:rPr>
        <w:t>We believe this manuscript aligns with the journal's focus on environmental health research because:</w:t>
      </w:r>
    </w:p>
    <w:p>
      <w:pPr>
        <w:pStyle w:val="ListNumber"/>
      </w:pPr>
      <w:r>
        <w:rPr>
          <w:rFonts w:ascii="Times New Roman" w:hAnsi="Times New Roman"/>
          <w:sz w:val="24"/>
        </w:rPr>
        <w:t>It evaluates an administrative environmental exposure indicator (greenspace coverage) at the population level using nationally comprehensive Japanese data.</w:t>
      </w:r>
    </w:p>
    <w:p>
      <w:pPr>
        <w:pStyle w:val="ListNumber"/>
      </w:pPr>
      <w:r>
        <w:rPr>
          <w:rFonts w:ascii="Times New Roman" w:hAnsi="Times New Roman"/>
          <w:sz w:val="24"/>
        </w:rPr>
        <w:t>It applies spatial epidemiological methods to assess environmental-health associations while accounting for spatial autocorrelation.</w:t>
      </w:r>
    </w:p>
    <w:p>
      <w:pPr>
        <w:pStyle w:val="ListNumber"/>
      </w:pPr>
      <w:r>
        <w:rPr>
          <w:rFonts w:ascii="Times New Roman" w:hAnsi="Times New Roman"/>
          <w:sz w:val="24"/>
        </w:rPr>
        <w:t>The boundary-condition findings offer methodological guidance for environmental health surveillance using open administrative data.</w:t>
      </w:r>
    </w:p>
    <w:p/>
    <w:p>
      <w:r>
        <w:rPr>
          <w:rFonts w:ascii="Times New Roman" w:hAnsi="Times New Roman"/>
          <w:b/>
          <w:sz w:val="24"/>
        </w:rPr>
        <w:t>Declarations</w:t>
      </w:r>
    </w:p>
    <w:p>
      <w:pPr>
        <w:pStyle w:val="ListBullet"/>
      </w:pPr>
      <w:r>
        <w:rPr>
          <w:rFonts w:ascii="Times New Roman" w:hAnsi="Times New Roman"/>
          <w:sz w:val="24"/>
        </w:rPr>
        <w:t>Ethics: Publicly available, de-identified, aggregate-level data only. Ethics committee approval was not required.</w:t>
      </w:r>
    </w:p>
    <w:p>
      <w:pPr>
        <w:pStyle w:val="ListBullet"/>
      </w:pPr>
      <w:r>
        <w:rPr>
          <w:rFonts w:ascii="Times New Roman" w:hAnsi="Times New Roman"/>
          <w:sz w:val="24"/>
        </w:rPr>
        <w:t>Competing interests: The authors report there are no competing interests.</w:t>
      </w:r>
    </w:p>
    <w:p>
      <w:pPr>
        <w:pStyle w:val="ListBullet"/>
      </w:pPr>
      <w:r>
        <w:rPr>
          <w:rFonts w:ascii="Times New Roman" w:hAnsi="Times New Roman"/>
          <w:sz w:val="24"/>
        </w:rPr>
        <w:t>Funding: This research received no specific grant from any funding agency.</w:t>
      </w:r>
    </w:p>
    <w:p>
      <w:pPr>
        <w:pStyle w:val="ListBullet"/>
      </w:pPr>
      <w:r>
        <w:t>Data availability: NDB Open Data, MLIT National Land Numerical Information, e-Stat. Code and data: https://github.com/haruki00430/greenspace-mental-health-japan and https://doi.org/10.5281/zenodo.20986298.</w:t>
      </w:r>
    </w:p>
    <w:p>
      <w:pPr>
        <w:pStyle w:val="ListBullet"/>
      </w:pPr>
      <w:r>
        <w:rPr>
          <w:rFonts w:ascii="Times New Roman" w:hAnsi="Times New Roman"/>
          <w:sz w:val="24"/>
        </w:rPr>
        <w:t>AI use: AI-assisted tools were used for manuscript drafting and analysis scripting; all analyses and interpretations were verified by the authors.</w:t>
      </w:r>
    </w:p>
    <w:p/>
    <w:p>
      <w:r>
        <w:rPr>
          <w:rFonts w:ascii="Times New Roman" w:hAnsi="Times New Roman"/>
          <w:b w:val="0"/>
          <w:sz w:val="24"/>
        </w:rPr>
        <w:t>This manuscript was previously submitted to Community Mental Health Journal and was declined without peer review on 28 June 2026. It has not been published elsewhere and is not under consideration by any other journal.</w:t>
      </w:r>
    </w:p>
    <w:p/>
    <w:p>
      <w:r>
        <w:rPr>
          <w:rFonts w:ascii="Times New Roman" w:hAnsi="Times New Roman"/>
          <w:b w:val="0"/>
          <w:sz w:val="24"/>
        </w:rPr>
        <w:t>We would be grateful if you would consider our manuscript for peer review.</w:t>
      </w:r>
    </w:p>
    <w:p/>
    <w:p>
      <w:r>
        <w:rPr>
          <w:rFonts w:ascii="Times New Roman" w:hAnsi="Times New Roman"/>
          <w:b w:val="0"/>
          <w:sz w:val="24"/>
        </w:rPr>
        <w:t>Sincerely,</w:t>
      </w:r>
    </w:p>
    <w:p/>
    <w:p>
      <w:r>
        <w:rPr>
          <w:rFonts w:ascii="Times New Roman" w:hAnsi="Times New Roman"/>
          <w:b w:val="0"/>
          <w:sz w:val="24"/>
        </w:rPr>
        <w:t>Haruki Saito</w:t>
      </w:r>
    </w:p>
    <w:p>
      <w:r>
        <w:rPr>
          <w:rFonts w:ascii="Times New Roman" w:hAnsi="Times New Roman"/>
          <w:b w:val="0"/>
          <w:sz w:val="24"/>
        </w:rPr>
        <w:t>Department of Epidemiology, Fukushima Medical University School of Medicine</w:t>
      </w:r>
    </w:p>
    <w:p>
      <w:r>
        <w:rPr>
          <w:rFonts w:ascii="Times New Roman" w:hAnsi="Times New Roman"/>
          <w:b w:val="0"/>
          <w:sz w:val="24"/>
        </w:rPr>
        <w:t>1 Hikarigaoka, Fukushima-shi, Fukushima 960-1295, Japan</w:t>
      </w:r>
    </w:p>
    <w:p>
      <w:r>
        <w:rPr>
          <w:rFonts w:ascii="Times New Roman" w:hAnsi="Times New Roman"/>
          <w:b w:val="0"/>
          <w:sz w:val="24"/>
        </w:rPr>
        <w:t>m211039@fmu.ac.jp</w:t>
      </w:r>
    </w:p>
    <w:p>
      <w:r>
        <w:rPr>
          <w:rFonts w:ascii="Times New Roman" w:hAnsi="Times New Roman"/>
          <w:b w:val="0"/>
          <w:sz w:val="24"/>
        </w:rPr>
        <w:t>ORCID: 0009-0009-7890-6068</w:t>
      </w:r>
    </w:p>
    <w:p/>
    <w:p>
      <w:r>
        <w:rPr>
          <w:rFonts w:ascii="Times New Roman" w:hAnsi="Times New Roman"/>
          <w:b w:val="0"/>
          <w:sz w:val="24"/>
        </w:rPr>
        <w:t>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