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23F72" w14:textId="77777777" w:rsidR="004A2178" w:rsidRPr="00227944" w:rsidRDefault="00000000">
      <w:pPr>
        <w:pStyle w:val="a4"/>
        <w:rPr>
          <w:sz w:val="40"/>
          <w:szCs w:val="40"/>
        </w:rPr>
      </w:pPr>
      <w:r w:rsidRPr="00227944">
        <w:rPr>
          <w:sz w:val="40"/>
          <w:szCs w:val="40"/>
        </w:rPr>
        <w:t>Climate-Sensitive Cardiovascular Pharmaceutical Demand: Nationwide Ecological Evidence from Japan</w:t>
      </w:r>
    </w:p>
    <w:p w14:paraId="39C8E789" w14:textId="77777777" w:rsidR="004A2178" w:rsidRDefault="00000000">
      <w:pPr>
        <w:pStyle w:val="Author"/>
      </w:pPr>
      <w:r>
        <w:t>[Author 1]</w:t>
      </w:r>
    </w:p>
    <w:p w14:paraId="6B67348E" w14:textId="77777777" w:rsidR="004A2178" w:rsidRDefault="00000000">
      <w:pPr>
        <w:pStyle w:val="Author"/>
      </w:pPr>
      <w:r>
        <w:t>[Author 2]</w:t>
      </w:r>
    </w:p>
    <w:p w14:paraId="715817DB" w14:textId="77777777" w:rsidR="004A2178" w:rsidRDefault="00000000">
      <w:pPr>
        <w:pStyle w:val="a8"/>
      </w:pPr>
      <w:r>
        <w:t>2026-03-05</w:t>
      </w:r>
    </w:p>
    <w:p w14:paraId="5B981887" w14:textId="77777777" w:rsidR="004A2178" w:rsidRDefault="00000000">
      <w:r>
        <w:pict w14:anchorId="40F2FA7C">
          <v:rect id="_x0000_i1025" style="width:0;height:1.5pt" o:hralign="center" o:hrstd="t" o:hr="t"/>
        </w:pict>
      </w:r>
    </w:p>
    <w:p w14:paraId="74F1E980" w14:textId="77777777" w:rsidR="004A2178" w:rsidRDefault="00000000">
      <w:pPr>
        <w:pStyle w:val="1"/>
      </w:pPr>
      <w:bookmarkStart w:id="0" w:name="abstract"/>
      <w:r>
        <w:t>Abstract</w:t>
      </w:r>
    </w:p>
    <w:p w14:paraId="7F97DA5E" w14:textId="77777777" w:rsidR="004A2178" w:rsidRDefault="00000000">
      <w:pPr>
        <w:pStyle w:val="2"/>
      </w:pPr>
      <w:bookmarkStart w:id="1" w:name="background"/>
      <w:r>
        <w:t>Background</w:t>
      </w:r>
    </w:p>
    <w:p w14:paraId="7FA1468D" w14:textId="77777777" w:rsidR="004A2178" w:rsidRDefault="00000000">
      <w:pPr>
        <w:pStyle w:val="FirstParagraph"/>
      </w:pPr>
      <w:r>
        <w:t>Climate variability may influence regional healthcare demand, but whether it is reflected in routine pharmaceutical demand remains poorly understood. Cold exposure triggers acute cardiovascular events, yet its relationship with population-level cardiovascular medication demand is less clear.</w:t>
      </w:r>
    </w:p>
    <w:p w14:paraId="691C798B" w14:textId="77777777" w:rsidR="004A2178" w:rsidRDefault="00000000">
      <w:pPr>
        <w:pStyle w:val="2"/>
      </w:pPr>
      <w:bookmarkStart w:id="2" w:name="objective"/>
      <w:bookmarkEnd w:id="1"/>
      <w:r>
        <w:t>Objective</w:t>
      </w:r>
    </w:p>
    <w:p w14:paraId="046FC01D" w14:textId="77777777" w:rsidR="004A2178" w:rsidRDefault="00000000">
      <w:pPr>
        <w:pStyle w:val="FirstParagraph"/>
      </w:pPr>
      <w:r>
        <w:t>We investigated whether regional climate variability is reflected in routine cardiovascular pharmaceutical demand across Japan.</w:t>
      </w:r>
    </w:p>
    <w:p w14:paraId="4E29BA41" w14:textId="77777777" w:rsidR="004A2178" w:rsidRDefault="00000000">
      <w:pPr>
        <w:pStyle w:val="2"/>
      </w:pPr>
      <w:bookmarkStart w:id="3" w:name="methods"/>
      <w:bookmarkEnd w:id="2"/>
      <w:r>
        <w:t>Methods</w:t>
      </w:r>
    </w:p>
    <w:p w14:paraId="31DB1F6A" w14:textId="77777777" w:rsidR="004A2178" w:rsidRDefault="00000000">
      <w:pPr>
        <w:pStyle w:val="FirstParagraph"/>
      </w:pPr>
      <w:r>
        <w:t>We conducted a nationwide ecological study of all 47 Japanese prefectures using the 10th National Database (NDB) Open Data for fiscal year 2020. CVD prescription rates per 100,000 population were analyzed against five temperature indicators from Japan Meteorological Agency data. Multivariable regression adjusted for physician density, unemployment, aging, and prefectural income; spatial autocorrelation was assessed with Global Moran's I.</w:t>
      </w:r>
    </w:p>
    <w:p w14:paraId="3E50EA24" w14:textId="77777777" w:rsidR="004A2178" w:rsidRDefault="00000000">
      <w:pPr>
        <w:pStyle w:val="2"/>
      </w:pPr>
      <w:bookmarkStart w:id="4" w:name="results"/>
      <w:bookmarkEnd w:id="3"/>
      <w:r>
        <w:t>Results</w:t>
      </w:r>
    </w:p>
    <w:p w14:paraId="41334F9A" w14:textId="77777777" w:rsidR="004A2178" w:rsidRDefault="00000000">
      <w:pPr>
        <w:pStyle w:val="FirstParagraph"/>
      </w:pPr>
      <w:r>
        <w:t>The mean CVD prescription rate was 17,521,396 ± 2,607,830 per 100,000 population. Cold month ratio showed the strongest univariable association among temperature indicators (R² = 0.390, p &lt; 0.001). In the adjusted model (R² = 0.667, adjusted R² = 0.626), cold month ratio (β = +10,450,255; p &lt; 0.001), aging rate (β = +499,769; p &lt; 0.001), and unemployment rate (β = +1,300,753; p = 0.025) were associated with higher prescription rates. Global Moran's I was not significant (I = 0.091, p = 0.114).</w:t>
      </w:r>
    </w:p>
    <w:p w14:paraId="6881AFB1" w14:textId="77777777" w:rsidR="004A2178" w:rsidRDefault="00000000">
      <w:pPr>
        <w:pStyle w:val="2"/>
      </w:pPr>
      <w:bookmarkStart w:id="5" w:name="conclusions"/>
      <w:bookmarkEnd w:id="4"/>
      <w:r>
        <w:lastRenderedPageBreak/>
        <w:t>Conclusions</w:t>
      </w:r>
    </w:p>
    <w:p w14:paraId="523E16F4" w14:textId="77777777" w:rsidR="004A2178" w:rsidRDefault="00000000">
      <w:pPr>
        <w:pStyle w:val="FirstParagraph"/>
      </w:pPr>
      <w:r>
        <w:t>Prolonged cold-season exposure was associated with higher regional CVD pharmaceutical demand across Japan, alongside aging and unemployment. Climate-sensitive pharmaceutical demand may provide a measurable health-system signal for supply planning, chronic disease management, and climate-adaptive preparedness.</w:t>
      </w:r>
    </w:p>
    <w:p w14:paraId="33037FEF" w14:textId="77777777" w:rsidR="004A2178" w:rsidRDefault="00000000">
      <w:pPr>
        <w:pStyle w:val="a0"/>
      </w:pPr>
      <w:r>
        <w:rPr>
          <w:b/>
          <w:bCs/>
        </w:rPr>
        <w:t xml:space="preserve">Keywords: </w:t>
      </w:r>
      <w:r w:rsidRPr="00227944">
        <w:t>climate; cardiovascular disease; pharmaceutical demand; prescription rate; ecological study; NDB Open Data; Japan</w:t>
      </w:r>
    </w:p>
    <w:p w14:paraId="284FBFE1" w14:textId="77777777" w:rsidR="004A2178" w:rsidRDefault="00000000">
      <w:r>
        <w:pict w14:anchorId="44803B91">
          <v:rect id="_x0000_i1026" style="width:0;height:1.5pt" o:hralign="center" o:hrstd="t" o:hr="t"/>
        </w:pict>
      </w:r>
    </w:p>
    <w:p w14:paraId="1680DC3A" w14:textId="77777777" w:rsidR="004A2178" w:rsidRDefault="00000000">
      <w:pPr>
        <w:pStyle w:val="1"/>
      </w:pPr>
      <w:bookmarkStart w:id="6" w:name="introduction"/>
      <w:bookmarkEnd w:id="0"/>
      <w:bookmarkEnd w:id="5"/>
      <w:r>
        <w:t>Introduction</w:t>
      </w:r>
    </w:p>
    <w:p w14:paraId="688D6D77" w14:textId="77777777" w:rsidR="004A2178" w:rsidRDefault="00000000">
      <w:pPr>
        <w:pStyle w:val="FirstParagraph"/>
      </w:pPr>
      <w:r>
        <w:t>Cardiovascular diseases (CVDs), including ischemic heart disease and cerebrovascular disease, remain a leading source of mortality and healthcare use worldwide.1) In Japan, CVDs are the second leading cause of death after malignant neoplasms and continue to require substantial long-term pharmacological management.2) As climate variability and population aging increasingly intersect, understanding whether regional climate conditions are reflected in routine pharmaceutical demand has become relevant for health-system planning as well as disease prevention.</w:t>
      </w:r>
    </w:p>
    <w:p w14:paraId="14AD6A9D" w14:textId="77777777" w:rsidR="004A2178" w:rsidRDefault="00000000">
      <w:pPr>
        <w:pStyle w:val="a0"/>
      </w:pPr>
      <w:r>
        <w:t>Ambient temperature is a well-established environmental determinant of cardiovascular morbidity and mortality. Cold exposure has been linked to acute cardiovascular events, including myocardial infarction, stroke, and heart failure exacerbation.3), 4), 5) Plausible mechanisms include sympathetic activation, elevated blood pressure, increased blood viscosity, and thrombogenesis.6), 7) Large multi-country and global studies have shown that non-optimal temperatures, particularly cold in temperate settings, contribute substantially to cardiovascular and all-cause mortality.8), 9)</w:t>
      </w:r>
    </w:p>
    <w:p w14:paraId="5BDFD097" w14:textId="77777777" w:rsidR="004A2178" w:rsidRDefault="00000000">
      <w:pPr>
        <w:pStyle w:val="a0"/>
      </w:pPr>
      <w:r>
        <w:t>Most temperature-CVD research has focused on acute clinical outcomes such as emergency visits, hospitalizations, or deaths. By contrast, prescription data capture a different health-system signal: the geographic distribution of pharmacological management for chronic cardiovascular conditions. Prefecture-level prescription rates should not be interpreted as individual disease incidence or prevalence, but they can indicate regional differences in treatment demand and continuing healthcare utilization.</w:t>
      </w:r>
    </w:p>
    <w:p w14:paraId="34521C9A" w14:textId="77777777" w:rsidR="004A2178" w:rsidRDefault="00000000">
      <w:pPr>
        <w:pStyle w:val="a0"/>
      </w:pPr>
      <w:r>
        <w:t xml:space="preserve">Japan's archipelago spans approximately 25 degrees of latitude, from subarctic Hokkaido to subtropical Okinawa, and the proportion of cold months (mean monthly </w:t>
      </w:r>
      <w:r>
        <w:lastRenderedPageBreak/>
        <w:t>temperature &lt;10°C) varies substantially across prefectures.10) This geographic gradient, combined with the availability of the National Database (NDB) Open Data covering nearly all insurance claims in Japan, provides an opportunity to examine whether climate indicators align with cardiovascular pharmaceutical demand at a nationwide ecological scale.</w:t>
      </w:r>
    </w:p>
    <w:p w14:paraId="4D20216D" w14:textId="77777777" w:rsidR="004A2178" w:rsidRDefault="00000000">
      <w:pPr>
        <w:pStyle w:val="a0"/>
      </w:pPr>
      <w:r>
        <w:t>In this study, we examined the association between prefectural temperature indicators and CVD prescription rates per 100,000 population across Japan. We focused on cold month ratio as a cumulative cold-season measure, adjusted for selected demographic and socioeconomic covariates, and assessed whether prescription patterns showed residual spatial autocorrelation.</w:t>
      </w:r>
    </w:p>
    <w:p w14:paraId="64AF3880" w14:textId="77777777" w:rsidR="004A2178" w:rsidRDefault="00000000">
      <w:r>
        <w:pict w14:anchorId="0679FF53">
          <v:rect id="_x0000_i1027" style="width:0;height:1.5pt" o:hralign="center" o:hrstd="t" o:hr="t"/>
        </w:pict>
      </w:r>
    </w:p>
    <w:p w14:paraId="3117618A" w14:textId="77777777" w:rsidR="004A2178" w:rsidRDefault="00000000">
      <w:pPr>
        <w:pStyle w:val="1"/>
      </w:pPr>
      <w:bookmarkStart w:id="7" w:name="methods-1"/>
      <w:bookmarkEnd w:id="6"/>
      <w:r>
        <w:t>Methods</w:t>
      </w:r>
    </w:p>
    <w:p w14:paraId="6905B935" w14:textId="77777777" w:rsidR="004A2178" w:rsidRDefault="00000000">
      <w:pPr>
        <w:pStyle w:val="2"/>
      </w:pPr>
      <w:bookmarkStart w:id="8" w:name="study-design"/>
      <w:r>
        <w:t>1. Study Design</w:t>
      </w:r>
    </w:p>
    <w:p w14:paraId="1B9F0A70" w14:textId="77777777" w:rsidR="004A2178" w:rsidRDefault="00000000">
      <w:pPr>
        <w:pStyle w:val="FirstParagraph"/>
      </w:pPr>
      <w:r>
        <w:t>We conducted a nationwide ecological study in which the Japanese prefecture (N = 47) served as the unit of analysis. Prefecture-level aggregate data were used because individual-level geographic information is not available from NDB Open Data. The study period corresponded to fiscal year 2020 (April 2020 through March 2021).</w:t>
      </w:r>
    </w:p>
    <w:p w14:paraId="3F60188B" w14:textId="77777777" w:rsidR="004A2178" w:rsidRDefault="00000000">
      <w:pPr>
        <w:pStyle w:val="2"/>
      </w:pPr>
      <w:bookmarkStart w:id="9" w:name="outcome-cvd-prescription-rate"/>
      <w:bookmarkEnd w:id="8"/>
      <w:r>
        <w:t>2. Outcome: CVD Pharmaceutical Demand</w:t>
      </w:r>
    </w:p>
    <w:p w14:paraId="649A6CA1" w14:textId="77777777" w:rsidR="004A2178" w:rsidRDefault="00000000">
      <w:pPr>
        <w:pStyle w:val="FirstParagraph"/>
      </w:pPr>
      <w:r>
        <w:t>CVD prescription volume (total quantity) was derived from the 10th NDB Open Data (released 2023), which contains prefecture-level counts of pharmaceutical prescriptions for cardiovascular-related drug categories claimed under the national health insurance system. Drug categories included antihypertensives, anticoagulants, vasodilators, antihyperlipidemic agents, and other cardiovascular drugs. Prescription rates per 100,000 population were used as an ecological indicator of cardiovascular pharmaceutical demand.</w:t>
      </w:r>
    </w:p>
    <w:p w14:paraId="1346380E" w14:textId="77777777" w:rsidR="004A2178" w:rsidRDefault="00000000">
      <w:pPr>
        <w:pStyle w:val="2"/>
      </w:pPr>
      <w:bookmarkStart w:id="10" w:name="exposure-cold-month-ratio"/>
      <w:bookmarkEnd w:id="9"/>
      <w:r>
        <w:t>3. Exposure: Climate Indicators and Cold Month Ratio</w:t>
      </w:r>
    </w:p>
    <w:p w14:paraId="07E12337" w14:textId="77777777" w:rsidR="004A2178" w:rsidRDefault="00000000">
      <w:pPr>
        <w:pStyle w:val="FirstParagraph"/>
      </w:pPr>
      <w:r>
        <w:t>Five temperature indicators were computed from Japan Meteorological Agency (JMA) monthly climate data for each prefecture: (1) mean annual temperature, (2) annual temperature range, (3) winter mean temperature (December–February), (4) temperature variability (standard deviation of monthly means), and (5) cold month ratio (proportion of months with mean temperature &lt;10°C). Cold month ratio was selected as the primary exposure because it captures cumulative cold-season duration and showed the highest model fit among the examined indicators.</w:t>
      </w:r>
    </w:p>
    <w:p w14:paraId="6310BC4F" w14:textId="77777777" w:rsidR="004A2178" w:rsidRDefault="00000000">
      <w:pPr>
        <w:pStyle w:val="2"/>
      </w:pPr>
      <w:bookmarkStart w:id="11" w:name="covariates"/>
      <w:bookmarkEnd w:id="10"/>
      <w:r>
        <w:lastRenderedPageBreak/>
        <w:t>4. Covariates</w:t>
      </w:r>
    </w:p>
    <w:p w14:paraId="14151FE8" w14:textId="77777777" w:rsidR="004A2178" w:rsidRDefault="00000000">
      <w:pPr>
        <w:pStyle w:val="FirstParagraph"/>
      </w:pPr>
      <w:r>
        <w:t>Socioeconomic covariates were included as potential confounders:</w:t>
      </w:r>
    </w:p>
    <w:p w14:paraId="0975CEC4" w14:textId="77777777" w:rsidR="004A2178" w:rsidRDefault="00000000">
      <w:pPr>
        <w:pStyle w:val="Compact"/>
        <w:numPr>
          <w:ilvl w:val="0"/>
          <w:numId w:val="2"/>
        </w:numPr>
      </w:pPr>
      <w:r>
        <w:rPr>
          <w:b/>
          <w:bCs/>
        </w:rPr>
        <w:t>Physicians per 100,000 population</w:t>
      </w:r>
      <w:r>
        <w:t>: Survey of Physicians, Dentists and Pharmacists (Ministry of Health, Labour and Welfare).</w:t>
      </w:r>
    </w:p>
    <w:p w14:paraId="0789F39F" w14:textId="77777777" w:rsidR="004A2178" w:rsidRDefault="00000000">
      <w:pPr>
        <w:pStyle w:val="Compact"/>
        <w:numPr>
          <w:ilvl w:val="0"/>
          <w:numId w:val="2"/>
        </w:numPr>
      </w:pPr>
      <w:r>
        <w:rPr>
          <w:b/>
          <w:bCs/>
        </w:rPr>
        <w:t>Unemployment rate (%)</w:t>
      </w:r>
      <w:r>
        <w:t>: Labour Force Survey (Ministry of Internal Affairs and Communications).</w:t>
      </w:r>
    </w:p>
    <w:p w14:paraId="5253DA00" w14:textId="77777777" w:rsidR="004A2178" w:rsidRDefault="00000000">
      <w:pPr>
        <w:pStyle w:val="Compact"/>
        <w:numPr>
          <w:ilvl w:val="0"/>
          <w:numId w:val="2"/>
        </w:numPr>
      </w:pPr>
      <w:r>
        <w:rPr>
          <w:b/>
          <w:bCs/>
        </w:rPr>
        <w:t>Aging rate (%)</w:t>
      </w:r>
      <w:r>
        <w:t>: Proportion aged ≥65 years (2020 National Census).</w:t>
      </w:r>
    </w:p>
    <w:p w14:paraId="75DF1786" w14:textId="77777777" w:rsidR="004A2178" w:rsidRDefault="00000000">
      <w:pPr>
        <w:pStyle w:val="Compact"/>
        <w:numPr>
          <w:ilvl w:val="0"/>
          <w:numId w:val="2"/>
        </w:numPr>
      </w:pPr>
      <w:r>
        <w:rPr>
          <w:b/>
          <w:bCs/>
        </w:rPr>
        <w:t>Per capita prefectural income (10,000 yen)</w:t>
      </w:r>
      <w:r>
        <w:t>: Annual Report on Prefectural Accounts (Cabinet Office).</w:t>
      </w:r>
    </w:p>
    <w:p w14:paraId="0A96749B" w14:textId="77777777" w:rsidR="004A2178" w:rsidRDefault="00000000">
      <w:pPr>
        <w:pStyle w:val="2"/>
      </w:pPr>
      <w:bookmarkStart w:id="12" w:name="statistical-analysis"/>
      <w:bookmarkEnd w:id="11"/>
      <w:r>
        <w:t>5. Statistical Analysis</w:t>
      </w:r>
    </w:p>
    <w:p w14:paraId="49041AC7" w14:textId="77777777" w:rsidR="004A2178" w:rsidRDefault="00000000">
      <w:pPr>
        <w:pStyle w:val="3"/>
      </w:pPr>
      <w:bookmarkStart w:id="13" w:name="descriptive-statistics"/>
      <w:r>
        <w:t>5.1. Descriptive Statistics</w:t>
      </w:r>
    </w:p>
    <w:p w14:paraId="3D840E2C" w14:textId="77777777" w:rsidR="004A2178" w:rsidRDefault="00000000">
      <w:pPr>
        <w:pStyle w:val="FirstParagraph"/>
      </w:pPr>
      <w:r>
        <w:t>Distributions were examined using mean, standard deviation, range, and the Shapiro-Wilk test.</w:t>
      </w:r>
    </w:p>
    <w:p w14:paraId="0E208B93" w14:textId="77777777" w:rsidR="004A2178" w:rsidRDefault="00000000">
      <w:pPr>
        <w:pStyle w:val="3"/>
      </w:pPr>
      <w:bookmarkStart w:id="14" w:name="model-selection"/>
      <w:bookmarkEnd w:id="13"/>
      <w:r>
        <w:t>5.2. Model Selection</w:t>
      </w:r>
    </w:p>
    <w:p w14:paraId="119734DC" w14:textId="77777777" w:rsidR="004A2178" w:rsidRDefault="00000000">
      <w:pPr>
        <w:pStyle w:val="FirstParagraph"/>
      </w:pPr>
      <w:r>
        <w:t>Five temperature indicators were evaluated in separate multivariable OLS models, each adjusting for the same socioeconomic covariates. The model with the highest adjusted R² was selected.</w:t>
      </w:r>
    </w:p>
    <w:p w14:paraId="70D3A713" w14:textId="77777777" w:rsidR="004A2178" w:rsidRDefault="00000000">
      <w:pPr>
        <w:pStyle w:val="3"/>
      </w:pPr>
      <w:bookmarkStart w:id="15" w:name="multivariable-ols-regression"/>
      <w:bookmarkEnd w:id="14"/>
      <w:r>
        <w:t>5.3. Multivariable OLS Regression</w:t>
      </w:r>
    </w:p>
    <w:p w14:paraId="02BD64DD" w14:textId="77777777" w:rsidR="004A2178" w:rsidRDefault="00000000">
      <w:pPr>
        <w:pStyle w:val="FirstParagraph"/>
      </w:pPr>
      <w:r>
        <w:t>Variance inflation factors (VIF) were computed to assess multicollinearity. Residual diagnostics included the Shapiro-Wilk test (normality), Breusch-Pagan test (heteroscedasticity), and Durbin-Watson statistic (autocorrelation).</w:t>
      </w:r>
    </w:p>
    <w:p w14:paraId="36D3278F" w14:textId="77777777" w:rsidR="004A2178" w:rsidRDefault="00000000">
      <w:pPr>
        <w:pStyle w:val="3"/>
      </w:pPr>
      <w:bookmarkStart w:id="16" w:name="spatial-autocorrelation"/>
      <w:bookmarkEnd w:id="15"/>
      <w:r>
        <w:t>5.4. Spatial Autocorrelation</w:t>
      </w:r>
    </w:p>
    <w:p w14:paraId="5DA17869" w14:textId="77777777" w:rsidR="004A2178" w:rsidRDefault="00000000">
      <w:pPr>
        <w:pStyle w:val="FirstParagraph"/>
      </w:pPr>
      <w:r>
        <w:t xml:space="preserve">To assess whether CVD prescription rates exhibited geographic clustering, we computed Global Moran’s I using a K-nearest neighbors (KNN, k = 4) spatial weights matrix (symmetrized, row-standardized), with 999 random permutations. KNN was used because Queen contiguity identified Hokkaido and Okinawa as spatial islands. Local Moran’s I (LISA) was computed to identify significant local clusters at </w:t>
      </w:r>
      <w:r>
        <w:rPr>
          <w:i/>
          <w:iCs/>
        </w:rPr>
        <w:t>p</w:t>
      </w:r>
      <w:r>
        <w:t xml:space="preserve"> &lt; 0.05.11), 12)</w:t>
      </w:r>
    </w:p>
    <w:p w14:paraId="16952E5C" w14:textId="77777777" w:rsidR="004A2178" w:rsidRDefault="00000000">
      <w:pPr>
        <w:pStyle w:val="3"/>
      </w:pPr>
      <w:bookmarkStart w:id="17" w:name="software"/>
      <w:bookmarkEnd w:id="16"/>
      <w:r>
        <w:t>5.5. Software</w:t>
      </w:r>
    </w:p>
    <w:p w14:paraId="74204D92" w14:textId="77777777" w:rsidR="004A2178" w:rsidRDefault="00000000">
      <w:pPr>
        <w:pStyle w:val="FirstParagraph"/>
      </w:pPr>
      <w:r>
        <w:t xml:space="preserve">All analyses were performed using Python (version 3.11) with </w:t>
      </w:r>
      <w:r>
        <w:rPr>
          <w:rStyle w:val="VerbatimChar"/>
        </w:rPr>
        <w:t>statsmodels</w:t>
      </w:r>
      <w:r>
        <w:t xml:space="preserve">, </w:t>
      </w:r>
      <w:r>
        <w:rPr>
          <w:rStyle w:val="VerbatimChar"/>
        </w:rPr>
        <w:t>spreg</w:t>
      </w:r>
      <w:r>
        <w:t xml:space="preserve"> (PySAL), </w:t>
      </w:r>
      <w:r>
        <w:rPr>
          <w:rStyle w:val="VerbatimChar"/>
        </w:rPr>
        <w:t>esda</w:t>
      </w:r>
      <w:r>
        <w:t xml:space="preserve">, </w:t>
      </w:r>
      <w:r>
        <w:rPr>
          <w:rStyle w:val="VerbatimChar"/>
        </w:rPr>
        <w:t>libpysal</w:t>
      </w:r>
      <w:r>
        <w:t xml:space="preserve">, and </w:t>
      </w:r>
      <w:r>
        <w:rPr>
          <w:rStyle w:val="VerbatimChar"/>
        </w:rPr>
        <w:t>geopandas</w:t>
      </w:r>
      <w:r>
        <w:t>.</w:t>
      </w:r>
    </w:p>
    <w:p w14:paraId="164CC530" w14:textId="77777777" w:rsidR="004A2178" w:rsidRDefault="00000000">
      <w:pPr>
        <w:pStyle w:val="3"/>
      </w:pPr>
      <w:bookmarkStart w:id="18" w:name="ethics-statement"/>
      <w:bookmarkEnd w:id="17"/>
      <w:r>
        <w:lastRenderedPageBreak/>
        <w:t>5.6. Ethics Statement</w:t>
      </w:r>
    </w:p>
    <w:p w14:paraId="1A3592B0" w14:textId="77777777" w:rsidR="004A2178" w:rsidRDefault="00000000">
      <w:pPr>
        <w:pStyle w:val="FirstParagraph"/>
      </w:pPr>
      <w:r>
        <w:t>This study used publicly available aggregate data; individual informed consent was not required, and institutional ethics review was not applicable.</w:t>
      </w:r>
    </w:p>
    <w:p w14:paraId="14493206" w14:textId="77777777" w:rsidR="004A2178" w:rsidRDefault="00000000">
      <w:r>
        <w:pict w14:anchorId="1144B7DF">
          <v:rect id="_x0000_i1028" style="width:0;height:1.5pt" o:hralign="center" o:hrstd="t" o:hr="t"/>
        </w:pict>
      </w:r>
    </w:p>
    <w:p w14:paraId="5710B99D" w14:textId="77777777" w:rsidR="004A2178" w:rsidRDefault="00000000">
      <w:pPr>
        <w:pStyle w:val="1"/>
      </w:pPr>
      <w:bookmarkStart w:id="19" w:name="results-1"/>
      <w:bookmarkEnd w:id="7"/>
      <w:bookmarkEnd w:id="12"/>
      <w:bookmarkEnd w:id="18"/>
      <w:r>
        <w:t>Results</w:t>
      </w:r>
    </w:p>
    <w:p w14:paraId="37ADA709" w14:textId="77777777" w:rsidR="004A2178" w:rsidRDefault="00000000">
      <w:pPr>
        <w:pStyle w:val="2"/>
      </w:pPr>
      <w:bookmarkStart w:id="20" w:name="descriptive-statistics-1"/>
      <w:r>
        <w:t>1. Descriptive Statistics</w:t>
      </w:r>
    </w:p>
    <w:p w14:paraId="1BEDC66F" w14:textId="77777777" w:rsidR="004A2178" w:rsidRDefault="00000000">
      <w:pPr>
        <w:pStyle w:val="FirstParagraph"/>
      </w:pPr>
      <w:r>
        <w:t>Across the 47 Japanese prefectures, the mean CVD prescription rate was 17,521,396 ± 2,607,830 per 100,000 population (Table 1). The mean cold month ratio was 0.09 ± 0.11 (range: 0–0.38), indicating substantial variation in cold season duration. The mean aging rate was 30.3 ± 3.2%, physicians per 100,000 was 199.6 ± 35.0, unemployment rate was 3.8 ± 0.5%, and per capita income was 283.3 ± 43.9 (×10,000 yen).</w:t>
      </w:r>
    </w:p>
    <w:p w14:paraId="0BE252B7" w14:textId="77777777" w:rsidR="004A2178" w:rsidRDefault="00000000">
      <w:pPr>
        <w:pStyle w:val="2"/>
      </w:pPr>
      <w:bookmarkStart w:id="21" w:name="correlation-analysis"/>
      <w:bookmarkEnd w:id="20"/>
      <w:r>
        <w:t>2. Correlation Analysis</w:t>
      </w:r>
    </w:p>
    <w:p w14:paraId="048BE76A" w14:textId="77777777" w:rsidR="004A2178" w:rsidRDefault="00000000">
      <w:pPr>
        <w:pStyle w:val="FirstParagraph"/>
      </w:pPr>
      <w:r>
        <w:t>Correlation analysis showed associations among climatic and socioeconomic variables (Table 2). CVD prescription rate was positively correlated with cold month ratio (r = 0.624, p &lt; 0.001), aging rate (r = 0.412, p &lt; 0.01), and unemployment rate (r = 0.318, p &lt; 0.05), and negatively correlated with mean temperature (r = -0.590, p &lt; 0.001). Cold month ratio and mean temperature were highly intercorrelated (r = -0.852, p &lt; 0.001), indicating that prefectures with longer cold seasons tended to have lower annual mean temperatures. Physicians per 100,000 population and per capita income were not significantly correlated with CVD prescription rate.</w:t>
      </w:r>
    </w:p>
    <w:p w14:paraId="06397214" w14:textId="77777777" w:rsidR="004A2178" w:rsidRDefault="00000000">
      <w:pPr>
        <w:pStyle w:val="2"/>
      </w:pPr>
      <w:bookmarkStart w:id="22" w:name="univariable-regression"/>
      <w:bookmarkEnd w:id="21"/>
      <w:r>
        <w:t>3. Univariable Regression</w:t>
      </w:r>
    </w:p>
    <w:p w14:paraId="64DA0EF4" w14:textId="77777777" w:rsidR="004A2178" w:rsidRDefault="00000000">
      <w:pPr>
        <w:pStyle w:val="FirstParagraph"/>
      </w:pPr>
      <w:r>
        <w:t xml:space="preserve">Among five temperature indicators, cold month ratio showed the strongest univariable association with CVD prescription rate (β = +15,495,069; R² = 0.390; </w:t>
      </w:r>
      <w:r>
        <w:rPr>
          <w:i/>
          <w:iCs/>
        </w:rPr>
        <w:t>p</w:t>
      </w:r>
      <w:r>
        <w:t xml:space="preserve"> &lt; 0.001), followed by mean annual temperature (β = −658,731; R² = 0.348; </w:t>
      </w:r>
      <w:r>
        <w:rPr>
          <w:i/>
          <w:iCs/>
        </w:rPr>
        <w:t>p</w:t>
      </w:r>
      <w:r>
        <w:t xml:space="preserve"> &lt; 0.001) and winter mean temperature (β = −427,717; R² = 0.277; </w:t>
      </w:r>
      <w:r>
        <w:rPr>
          <w:i/>
          <w:iCs/>
        </w:rPr>
        <w:t>p</w:t>
      </w:r>
      <w:r>
        <w:t xml:space="preserve"> &lt; 0.001) (Table 3). Temperature variability was weakly significant (R² = 0.097; </w:t>
      </w:r>
      <w:r>
        <w:rPr>
          <w:i/>
          <w:iCs/>
        </w:rPr>
        <w:t>p</w:t>
      </w:r>
      <w:r>
        <w:t xml:space="preserve"> = 0.033), while annual temperature range was not significant (R² = 0.061; </w:t>
      </w:r>
      <w:r>
        <w:rPr>
          <w:i/>
          <w:iCs/>
        </w:rPr>
        <w:t>p</w:t>
      </w:r>
      <w:r>
        <w:t xml:space="preserve"> = 0.093).</w:t>
      </w:r>
    </w:p>
    <w:p w14:paraId="1C7C8E7E" w14:textId="77777777" w:rsidR="004A2178" w:rsidRDefault="00000000">
      <w:pPr>
        <w:pStyle w:val="2"/>
      </w:pPr>
      <w:bookmarkStart w:id="23" w:name="multivariable-regression"/>
      <w:bookmarkEnd w:id="22"/>
      <w:r>
        <w:t>4. Multivariable Regression</w:t>
      </w:r>
    </w:p>
    <w:p w14:paraId="7173482B" w14:textId="77777777" w:rsidR="004A2178" w:rsidRDefault="00000000">
      <w:pPr>
        <w:pStyle w:val="FirstParagraph"/>
      </w:pPr>
      <w:r>
        <w:t>The multivariable model with cold month ratio showed the best fit (R² = 0.667, adjusted R² = 0.626) (Table 4). Three variables were statistically significant:</w:t>
      </w:r>
    </w:p>
    <w:p w14:paraId="6EA49600" w14:textId="77777777" w:rsidR="004A2178" w:rsidRDefault="00000000">
      <w:pPr>
        <w:pStyle w:val="Compact"/>
        <w:numPr>
          <w:ilvl w:val="0"/>
          <w:numId w:val="3"/>
        </w:numPr>
      </w:pPr>
      <w:r>
        <w:rPr>
          <w:b/>
          <w:bCs/>
        </w:rPr>
        <w:lastRenderedPageBreak/>
        <w:t>Cold month ratio (β = +10,450,255; p &lt; 0.001): prefectures with greater cold-season duration had higher CVD prescription rates.</w:t>
      </w:r>
    </w:p>
    <w:p w14:paraId="3B1B6BEC" w14:textId="77777777" w:rsidR="004A2178" w:rsidRDefault="00000000">
      <w:pPr>
        <w:pStyle w:val="Compact"/>
        <w:numPr>
          <w:ilvl w:val="0"/>
          <w:numId w:val="3"/>
        </w:numPr>
      </w:pPr>
      <w:r>
        <w:rPr>
          <w:b/>
          <w:bCs/>
        </w:rPr>
        <w:t>Aging rate (β = +499,769; p &lt; 0.001): each 1-percentage-point increase in aging rate was associated with approximately 500,000 additional prescriptions per 100,000 population.</w:t>
      </w:r>
    </w:p>
    <w:p w14:paraId="26080232" w14:textId="77777777" w:rsidR="004A2178" w:rsidRDefault="00000000">
      <w:pPr>
        <w:pStyle w:val="Compact"/>
        <w:numPr>
          <w:ilvl w:val="0"/>
          <w:numId w:val="3"/>
        </w:numPr>
      </w:pPr>
      <w:r>
        <w:rPr>
          <w:b/>
          <w:bCs/>
        </w:rPr>
        <w:t>Unemployment rate (β = +1,300,753; p = 0.025): higher unemployment was associated with higher CVD prescription rates.</w:t>
      </w:r>
    </w:p>
    <w:p w14:paraId="1C48FA41" w14:textId="77777777" w:rsidR="004A2178" w:rsidRDefault="00000000">
      <w:pPr>
        <w:pStyle w:val="FirstParagraph"/>
      </w:pPr>
      <w:r>
        <w:t xml:space="preserve">Physicians per 100,000 (β = −4,388; </w:t>
      </w:r>
      <w:r>
        <w:rPr>
          <w:i/>
          <w:iCs/>
        </w:rPr>
        <w:t>p</w:t>
      </w:r>
      <w:r>
        <w:t xml:space="preserve"> = 0.568) and per capita income (β = +6,325; </w:t>
      </w:r>
      <w:r>
        <w:rPr>
          <w:i/>
          <w:iCs/>
        </w:rPr>
        <w:t>p</w:t>
      </w:r>
      <w:r>
        <w:t xml:space="preserve"> = 0.390) were not significant. All VIF values were below 2.1, indicating no multicollinearity.</w:t>
      </w:r>
    </w:p>
    <w:p w14:paraId="36B54B08" w14:textId="77777777" w:rsidR="004A2178" w:rsidRDefault="00000000">
      <w:pPr>
        <w:pStyle w:val="a0"/>
      </w:pPr>
      <w:r>
        <w:t xml:space="preserve">Residual diagnostics were satisfactory: normality (Shapiro-Wilk W = 0.960, </w:t>
      </w:r>
      <w:r>
        <w:rPr>
          <w:i/>
          <w:iCs/>
        </w:rPr>
        <w:t>p</w:t>
      </w:r>
      <w:r>
        <w:t xml:space="preserve"> = 0.107), homoscedasticity (Breusch-Pagan </w:t>
      </w:r>
      <w:r>
        <w:rPr>
          <w:i/>
          <w:iCs/>
        </w:rPr>
        <w:t>p</w:t>
      </w:r>
      <w:r>
        <w:t xml:space="preserve"> = 0.633), and no autocorrelation (Durbin-Watson = 2.43).</w:t>
      </w:r>
    </w:p>
    <w:p w14:paraId="640C4D51" w14:textId="77777777" w:rsidR="004A2178" w:rsidRDefault="00000000">
      <w:pPr>
        <w:pStyle w:val="2"/>
      </w:pPr>
      <w:bookmarkStart w:id="24" w:name="spatial-autocorrelation-1"/>
      <w:bookmarkEnd w:id="23"/>
      <w:r>
        <w:t>5. Spatial Autocorrelation</w:t>
      </w:r>
    </w:p>
    <w:p w14:paraId="46FF0D58" w14:textId="77777777" w:rsidR="004A2178" w:rsidRDefault="00000000">
      <w:pPr>
        <w:pStyle w:val="FirstParagraph"/>
      </w:pPr>
      <w:r>
        <w:t>Global Moran's I for CVD prescription rate per 100,000 population was 0.091 (z = 1.32, p = 0.114), indicating no statistically significant global spatial clustering. LISA analysis identified only four prefectures with marginal local clusters: Toyama and Ishikawa (High-High) and Mie and Nara (Low-Low). These findings indicate that the modeled prescription-rate differences were not dominated by broad spatial spillover after population standardization.</w:t>
      </w:r>
    </w:p>
    <w:p w14:paraId="41AFB88B" w14:textId="77777777" w:rsidR="004A2178" w:rsidRDefault="00000000">
      <w:r>
        <w:pict w14:anchorId="144E99A4">
          <v:rect id="_x0000_i1029" style="width:0;height:1.5pt" o:hralign="center" o:hrstd="t" o:hr="t"/>
        </w:pict>
      </w:r>
    </w:p>
    <w:p w14:paraId="0D478298" w14:textId="77777777" w:rsidR="004A2178" w:rsidRDefault="00000000">
      <w:pPr>
        <w:pStyle w:val="1"/>
      </w:pPr>
      <w:bookmarkStart w:id="25" w:name="discussion"/>
      <w:bookmarkEnd w:id="19"/>
      <w:bookmarkEnd w:id="24"/>
      <w:r>
        <w:t>Discussion</w:t>
      </w:r>
    </w:p>
    <w:p w14:paraId="0B69A962" w14:textId="77777777" w:rsidR="004A2178" w:rsidRDefault="00000000">
      <w:pPr>
        <w:pStyle w:val="2"/>
      </w:pPr>
      <w:bookmarkStart w:id="26" w:name="main-findings"/>
      <w:r>
        <w:t>1. Main Findings</w:t>
      </w:r>
    </w:p>
    <w:p w14:paraId="6F93D5DD" w14:textId="77777777" w:rsidR="004A2178" w:rsidRDefault="00000000">
      <w:pPr>
        <w:pStyle w:val="FirstParagraph"/>
      </w:pPr>
      <w:r>
        <w:t>This nationwide ecological study found that prefectural climate conditions were aligned with cardiovascular pharmaceutical demand in Japan. Cold month ratio, a cumulative measure of cold-season duration, had the strongest univariable association with CVD prescription rates and remained associated after adjustment for aging, unemployment, physician density, and prefectural income. The final model explained approximately two-thirds of prefectural variation (adjusted R² = 0.626), while residual diagnostics and Moran's I did not indicate major violations of the regression framework. Climate leaves a measurable footprint on routine cardiovascular pharmaceutical demand, supporting a health-services interpretation rather than an individual-level causal claim.</w:t>
      </w:r>
    </w:p>
    <w:p w14:paraId="15806125" w14:textId="77777777" w:rsidR="004A2178" w:rsidRDefault="00000000">
      <w:pPr>
        <w:pStyle w:val="2"/>
      </w:pPr>
      <w:bookmarkStart w:id="27" w:name="X600565736862e358069569f93fc7c52f5f0b797"/>
      <w:bookmarkEnd w:id="26"/>
      <w:r>
        <w:lastRenderedPageBreak/>
        <w:t>2. Climate, Cold-Season Duration, and Pharmaceutical Demand</w:t>
      </w:r>
    </w:p>
    <w:p w14:paraId="791B849B" w14:textId="77777777" w:rsidR="004A2178" w:rsidRDefault="00000000">
      <w:pPr>
        <w:pStyle w:val="FirstParagraph"/>
      </w:pPr>
      <w:r>
        <w:t>Cold month ratio outperformed mean annual temperature and other temperature indicators as a predictor of CVD prescription rate (univariable R² = 0.390 vs. 0.348 for mean annual temperature). This suggests that duration of cold-season exposure may be more relevant to regional pharmaceutical demand than average temperature alone. Prefectures with cold month ratios exceeding 0.20, such as Hokkaido, Aomori, Iwate, and Nagano, experience four or more months per year with mean temperatures below 10°C.</w:t>
      </w:r>
    </w:p>
    <w:p w14:paraId="2FBB290B" w14:textId="77777777" w:rsidR="004A2178" w:rsidRDefault="00000000">
      <w:pPr>
        <w:pStyle w:val="a0"/>
      </w:pPr>
      <w:r>
        <w:t>The physiological rationale for cold-sensitive cardiovascular demand is established but should be interpreted here as contextual, not causal evidence. Prolonged cold exposure can elevate sympathetic tone, blood pressure, blood viscosity, and platelet activation, and Japanese studies have linked winter blood pressure variability and seasonal home blood pressure changes with cardiovascular risk.6), 7), 13), 14), 15), 16)</w:t>
      </w:r>
    </w:p>
    <w:p w14:paraId="3A2252DA" w14:textId="77777777" w:rsidR="004A2178" w:rsidRDefault="00000000">
      <w:pPr>
        <w:pStyle w:val="a0"/>
      </w:pPr>
      <w:r>
        <w:t>In Japan, these pathways may be amplified by indoor cold exposure and housing conditions. Studies of home temperature, platelet count, blood pressure, and housing type suggest that cold residential environments can increase cardiovascular stress, particularly among older adults.17), 18), 19), 20) For health systems, the key implication is not only biological plausibility but the possibility that cold-climate regions generate predictable chronic medication demand.</w:t>
      </w:r>
    </w:p>
    <w:p w14:paraId="51D15674" w14:textId="77777777" w:rsidR="004A2178" w:rsidRDefault="00000000">
      <w:pPr>
        <w:pStyle w:val="a0"/>
      </w:pPr>
      <w:r>
        <w:t>The observed association can therefore be interpreted as a plausible health-services signal rather than proof of individual-level causality: prolonged cold seasons may increase the need for pharmacological management of hypertension and other cardiovascular conditions, while NDB prescription rates capture this demand at the prefectural level rather than disease onset in individual residents. This links climate exposure to treatment workload and preparedness.</w:t>
      </w:r>
    </w:p>
    <w:p w14:paraId="66EE7123" w14:textId="77777777" w:rsidR="004A2178" w:rsidRDefault="00000000">
      <w:pPr>
        <w:pStyle w:val="2"/>
      </w:pPr>
      <w:bookmarkStart w:id="28" w:name="Xeeed62b8c7b62b60bde88649c5364296f9add5f"/>
      <w:bookmarkEnd w:id="27"/>
      <w:r>
        <w:t>3. Aging, Healthcare Context, and Prescription Dynamics</w:t>
      </w:r>
    </w:p>
    <w:p w14:paraId="6477331D" w14:textId="77777777" w:rsidR="004A2178" w:rsidRDefault="00000000">
      <w:pPr>
        <w:pStyle w:val="FirstParagraph"/>
      </w:pPr>
      <w:r>
        <w:t>Aging rate was also strongly associated with CVD prescription rate (β = +499,769; p &lt; 0.001). This is consistent with the higher prevalence of cardiovascular risk factors and medication use among older adults. The Global Burden of Disease Study 2021 Japan analysis confirmed that ischemic heart disease and stroke remain major contributors to disability-adjusted life-years lost in Japan, with disease burden concentrated in an aging population.21) Ogata et al. further quantified how population aging and cardiovascular risk factors contribute to national CVD trends in Japan.22)</w:t>
      </w:r>
    </w:p>
    <w:p w14:paraId="4BF0D2D9" w14:textId="77777777" w:rsidR="004A2178" w:rsidRDefault="00000000">
      <w:pPr>
        <w:pStyle w:val="a0"/>
      </w:pPr>
      <w:r>
        <w:t xml:space="preserve">Population standardization is important for interpreting these findings. Rural prefectures may have high aging rates but smaller populations, so total prescription </w:t>
      </w:r>
      <w:r>
        <w:lastRenderedPageBreak/>
        <w:t>volume and per-capita prescription rates answer different planning questions. The present analysis focuses on per-capita pharmaceutical demand, which is more relevant for comparing regional treatment intensity.</w:t>
      </w:r>
    </w:p>
    <w:p w14:paraId="70D5BD93" w14:textId="77777777" w:rsidR="004A2178" w:rsidRDefault="00000000">
      <w:pPr>
        <w:pStyle w:val="a0"/>
      </w:pPr>
      <w:r>
        <w:t>NDB-derived prescription data may also reflect regional differences in treatment practice and healthcare delivery. Iwabe et al. analyzed approximately 1.31 million patients initiating antihypertensive treatment in Japanese claims data and found substantial prefectural variation in blood pressure control.23) In cold, aging, or physician-scarce regions, higher prescription rates may therefore reflect a mixture of disease burden, treatment intensity, medication combinations, and clinical follow-up patterns.</w:t>
      </w:r>
    </w:p>
    <w:p w14:paraId="52D69C13" w14:textId="77777777" w:rsidR="004A2178" w:rsidRDefault="00000000">
      <w:pPr>
        <w:pStyle w:val="2"/>
      </w:pPr>
      <w:bookmarkStart w:id="29" w:name="X8381ca9b85c871dc6bb7b5539aea97f1bf50515"/>
      <w:bookmarkEnd w:id="28"/>
      <w:r>
        <w:t>4. Unemployment as a Socioeconomic Determinant</w:t>
      </w:r>
    </w:p>
    <w:p w14:paraId="0E2E5F7E" w14:textId="77777777" w:rsidR="004A2178" w:rsidRDefault="00000000">
      <w:pPr>
        <w:pStyle w:val="FirstParagraph"/>
      </w:pPr>
      <w:r>
        <w:t xml:space="preserve">Unemployment rate was positively associated with CVD prescription rate (β = +1,300,753; </w:t>
      </w:r>
      <w:r>
        <w:rPr>
          <w:i/>
          <w:iCs/>
        </w:rPr>
        <w:t>p</w:t>
      </w:r>
      <w:r>
        <w:t xml:space="preserve"> = 0.025). This finding aligns with extensive evidence linking socioeconomic deprivation to cardiovascular risk. Roelfs et al. demonstrated in a systematic review and meta-analysis that unemployment was associated with a 63% increased risk of all-cause mortality.24) Dupre et al. further showed in a prospective cohort study (Health and Retirement Study, N = 13,451) that the risk of acute myocardial infarction increased in a dose–response manner with cumulative unemployment episodes (hazard ratio: 1.22 for one episode to 1.63 for four or more episodes), with the highest risk occurring within the first year after job loss.25)</w:t>
      </w:r>
    </w:p>
    <w:p w14:paraId="24122F67" w14:textId="77777777" w:rsidR="004A2178" w:rsidRDefault="00000000">
      <w:pPr>
        <w:pStyle w:val="a0"/>
      </w:pPr>
      <w:r>
        <w:t xml:space="preserve">In the Japanese context, an important mediating pathway involves the loss of </w:t>
      </w:r>
      <w:r>
        <w:rPr>
          <w:i/>
          <w:iCs/>
        </w:rPr>
        <w:t>ikigai</w:t>
      </w:r>
      <w:r>
        <w:t xml:space="preserve"> (purpose in life). Miyazaki et al., analyzing 71,501 participants over approximately 19 years in the Japan Collaborative Cohort (JACC) Study, demonstrated that among unemployed individuals, low levels of ikigai were associated with significantly higher cardiovascular mortality (multivariable hazard ratio: 0.69 for men and 0.77 for women with high ikigai), whereas this association was not observed among employed individuals.26) This suggests that unemployment triggers not merely income deprivation but also psychosocial deterioration that chronically activates the sympathoneural axis and promotes unhealthy behaviors.</w:t>
      </w:r>
    </w:p>
    <w:p w14:paraId="68B158F5" w14:textId="77777777" w:rsidR="004A2178" w:rsidRDefault="00000000">
      <w:pPr>
        <w:pStyle w:val="a0"/>
      </w:pPr>
      <w:r>
        <w:t>At the ecological level, spatial analyses in Japan have reported associations between area-level deprivation and cardiovascular mortality or hypertension-related risk factors.27), 28) In the present analysis, unemployment may mark socioeconomic vulnerability that coexists with higher cardiovascular pharmaceutical demand, although the design cannot establish individual-level mechanisms or causal pathways.</w:t>
      </w:r>
    </w:p>
    <w:p w14:paraId="76AEA756" w14:textId="77777777" w:rsidR="004A2178" w:rsidRDefault="00000000">
      <w:pPr>
        <w:pStyle w:val="2"/>
      </w:pPr>
      <w:bookmarkStart w:id="30" w:name="absence-of-spatial-clustering"/>
      <w:bookmarkEnd w:id="29"/>
      <w:r>
        <w:lastRenderedPageBreak/>
        <w:t>5. Absence of Spatial Clustering</w:t>
      </w:r>
    </w:p>
    <w:p w14:paraId="25568382" w14:textId="77777777" w:rsidR="004A2178" w:rsidRDefault="00000000">
      <w:pPr>
        <w:pStyle w:val="FirstParagraph"/>
      </w:pPr>
      <w:r>
        <w:t>Global Moran's I for per-capita CVD prescription rate was not significant (I = 0.091, p = 0.114), in contrast to the significant spatial autocorrelation observed for total prescription volume (I = 0.311, p = 0.003). This distinction indicates that population concentration can create apparent geographic clustering in total demand, whereas standardized prescription rates were better described by local climatic, demographic, and socioeconomic characteristics. The absence of significant global spatial autocorrelation supports the use of OLS regression for the standardized outcome.</w:t>
      </w:r>
    </w:p>
    <w:p w14:paraId="02FFD00C" w14:textId="77777777" w:rsidR="004A2178" w:rsidRDefault="00000000">
      <w:pPr>
        <w:pStyle w:val="2"/>
      </w:pPr>
      <w:bookmarkStart w:id="31" w:name="X4136ea534b7b62e2107c115fe8ba0e0fda1bfd9"/>
      <w:bookmarkEnd w:id="30"/>
      <w:r>
        <w:t>6. Climate-Sensitive Pharmaceutical Demand as a Health-System Signal</w:t>
      </w:r>
    </w:p>
    <w:p w14:paraId="2ADD0A38" w14:textId="77777777" w:rsidR="004A2178" w:rsidRDefault="00000000">
      <w:pPr>
        <w:pStyle w:val="FirstParagraph"/>
      </w:pPr>
      <w:r>
        <w:t>Climate information is increasingly incorporated into disaster preparedness, infectious disease surveillance, and heat-health warning systems. The present findings suggest that climate indicators may also contribute to routine pharmaceutical supply planning for chronic diseases. Rather than treating prescriptions only as downstream markers of disease, CVD medication demand can be interpreted as a health-system signal that links environmental conditions, demographic aging, socioeconomic vulnerability, and service delivery.</w:t>
      </w:r>
    </w:p>
    <w:p w14:paraId="7CDDC01D" w14:textId="77777777" w:rsidR="004A2178" w:rsidRDefault="00000000">
      <w:pPr>
        <w:pStyle w:val="a0"/>
      </w:pPr>
      <w:r>
        <w:t>For policy, the association between cold month ratio and CVD prescription demand provides a rationale for considering cold-climate prefectures in seasonal blood pressure monitoring, medication stock management, primary-care follow-up, and housing-related cardiovascular prevention. Evidence from Japanese housing studies indicates that indoor cold exposure and poor insulation are associated with higher blood pressure and cardiovascular risk, and modeling work suggests potential health and economic benefits from insulation improvements.17), 18), 19), 20), 29)</w:t>
      </w:r>
    </w:p>
    <w:p w14:paraId="62200B19" w14:textId="77777777" w:rsidR="004A2178" w:rsidRDefault="00000000">
      <w:pPr>
        <w:pStyle w:val="a0"/>
      </w:pPr>
      <w:r>
        <w:t>For planning, these models could inform climate-adaptive forecasting of regional CVD pharmaceutical demand. Weather-sensitive CVD risk prediction and national projections of non-optimal temperature-related morbidity in Japan suggest that climate and population aging should be considered jointly in health-system planning.30), 31) Even if long-term warming reduces some cold-related risks, demographic aging may sustain high absolute cardiovascular treatment demand in vulnerable prefectures.</w:t>
      </w:r>
    </w:p>
    <w:p w14:paraId="0256B3F3" w14:textId="77777777" w:rsidR="004A2178" w:rsidRDefault="00000000">
      <w:pPr>
        <w:pStyle w:val="a0"/>
      </w:pPr>
      <w:r>
        <w:t xml:space="preserve">Finally, the association with unemployment indicates that climate-sensitive pharmaceutical planning should not be purely meteorological. Socioeconomic vulnerability may shape whether climate-related cardiovascular risk becomes routine </w:t>
      </w:r>
      <w:r>
        <w:lastRenderedPageBreak/>
        <w:t>medication demand, making employment, access to preventive care, and supply continuity relevant components of adaptation policy.</w:t>
      </w:r>
    </w:p>
    <w:p w14:paraId="53421A0A" w14:textId="77777777" w:rsidR="004A2178" w:rsidRDefault="00000000">
      <w:pPr>
        <w:pStyle w:val="a0"/>
      </w:pPr>
      <w:r>
        <w:t>Climate-sensitive pharmaceutical demand may represent an emerging dimension of climate adaptation policy. As health systems increasingly incorporate environmental information into preparedness planning, routine prescription data may provide an accessible population-level indicator linking climate variability with chronic healthcare utilization.</w:t>
      </w:r>
    </w:p>
    <w:p w14:paraId="29EDC448" w14:textId="77777777" w:rsidR="004A2178" w:rsidRDefault="00000000">
      <w:pPr>
        <w:pStyle w:val="2"/>
      </w:pPr>
      <w:bookmarkStart w:id="32" w:name="strengths"/>
      <w:bookmarkEnd w:id="31"/>
      <w:r>
        <w:t>7. Strengths</w:t>
      </w:r>
    </w:p>
    <w:p w14:paraId="218FD60D" w14:textId="77777777" w:rsidR="004A2178" w:rsidRDefault="00000000">
      <w:pPr>
        <w:pStyle w:val="FirstParagraph"/>
      </w:pPr>
      <w:r>
        <w:t>This study has several strengths. It used NDB Open Data, which covers nearly all health insurance claims in Japan, and analyzed all 47 prefectures using a standardized prescription-rate outcome. The comparison of five temperature indicators provides transparency in exposure selection, and the model included demographic, socioeconomic, and healthcare-access covariates. Residual diagnostics and spatial autocorrelation assessment supported the use of the final OLS model for the standardized outcome.</w:t>
      </w:r>
    </w:p>
    <w:p w14:paraId="261366AC" w14:textId="77777777" w:rsidR="004A2178" w:rsidRDefault="00000000">
      <w:pPr>
        <w:pStyle w:val="2"/>
      </w:pPr>
      <w:bookmarkStart w:id="33" w:name="limitations"/>
      <w:bookmarkEnd w:id="32"/>
      <w:r>
        <w:t>8. Limitations</w:t>
      </w:r>
    </w:p>
    <w:p w14:paraId="5156A5EE" w14:textId="77777777" w:rsidR="004A2178" w:rsidRDefault="00000000">
      <w:pPr>
        <w:pStyle w:val="FirstParagraph"/>
      </w:pPr>
      <w:r>
        <w:t>Several limitations should be considered. First, as an ecological study, the findings are subject to ecological fallacy; associations at the prefectural level cannot be assumed to apply to individuals.32) Second, the cross-sectional design precludes causal inference, and residual confounding by unmeasured variables such as dietary patterns, indoor heating quality, air pollution, medication adherence, or prescribing practice cannot be excluded. Third, NDB Open Data does not permit disaggregation by age, sex, disease severity, or specific CVD drug category in the present analysis. Fourth, prescription volume is a health-services measure and should not be interpreted as CVD incidence or prevalence. Fifth, the cold month ratio uses a 10°C threshold; sensitivity analyses using alternative thresholds would strengthen the exposure definition. Sixth, seasonal variation in prescriptions was not examined, and time-series analyses are needed to evaluate within-year dynamics.</w:t>
      </w:r>
    </w:p>
    <w:p w14:paraId="04288650" w14:textId="77777777" w:rsidR="004A2178" w:rsidRDefault="00000000">
      <w:r>
        <w:pict w14:anchorId="2668E1D3">
          <v:rect id="_x0000_i1030" style="width:0;height:1.5pt" o:hralign="center" o:hrstd="t" o:hr="t"/>
        </w:pict>
      </w:r>
    </w:p>
    <w:p w14:paraId="21B55F4A" w14:textId="77777777" w:rsidR="004A2178" w:rsidRDefault="00000000">
      <w:pPr>
        <w:pStyle w:val="1"/>
      </w:pPr>
      <w:bookmarkStart w:id="34" w:name="conclusions-1"/>
      <w:bookmarkEnd w:id="25"/>
      <w:bookmarkEnd w:id="33"/>
      <w:r>
        <w:t>Conclusions</w:t>
      </w:r>
    </w:p>
    <w:p w14:paraId="46156483" w14:textId="77777777" w:rsidR="004A2178" w:rsidRDefault="00000000">
      <w:pPr>
        <w:pStyle w:val="FirstParagraph"/>
      </w:pPr>
      <w:r>
        <w:t xml:space="preserve">Prefectural climate conditions, particularly prolonged cold-season exposure, were associated with cardiovascular pharmaceutical demand across 47 Japanese prefectures. Cold month ratio, aging rate, and unemployment rate were associated </w:t>
      </w:r>
      <w:r>
        <w:lastRenderedPageBreak/>
        <w:t>with higher CVD prescription rates, and the multivariable model explained 63% of prefectural variation (adjusted R² = 0.626) with satisfactory residual diagnostics.</w:t>
      </w:r>
    </w:p>
    <w:p w14:paraId="3DBDCC22" w14:textId="77777777" w:rsidR="004A2178" w:rsidRDefault="00000000">
      <w:pPr>
        <w:pStyle w:val="a0"/>
      </w:pPr>
      <w:r>
        <w:t>These findings position CVD prescription rates as a climate-sensitive health-services signal rather than a direct measure of individual disease occurrence. Individual-level and time-series studies are needed to test causal pathways and seasonal demand dynamics. These findings support the integration of climatic information into regional pharmaceutical preparedness and climate-adaptive health-system planning.</w:t>
      </w:r>
    </w:p>
    <w:p w14:paraId="354D0653" w14:textId="77777777" w:rsidR="004A2178" w:rsidRDefault="00000000">
      <w:r>
        <w:pict w14:anchorId="20AC2CCD">
          <v:rect id="_x0000_i1031" style="width:0;height:1.5pt" o:hralign="center" o:hrstd="t" o:hr="t"/>
        </w:pict>
      </w:r>
    </w:p>
    <w:p w14:paraId="66F86D0D" w14:textId="77777777" w:rsidR="004A2178" w:rsidRDefault="00000000">
      <w:pPr>
        <w:pStyle w:val="1"/>
      </w:pPr>
      <w:bookmarkStart w:id="35" w:name="references"/>
      <w:bookmarkEnd w:id="34"/>
      <w:r>
        <w:t>References</w:t>
      </w:r>
    </w:p>
    <w:p w14:paraId="637C6FD3" w14:textId="77777777" w:rsidR="004A2178" w:rsidRDefault="00000000">
      <w:pPr>
        <w:pStyle w:val="Compact"/>
        <w:numPr>
          <w:ilvl w:val="0"/>
          <w:numId w:val="4"/>
        </w:numPr>
      </w:pPr>
      <w:r>
        <w:t>World Health Organization. Cardiovascular diseases (CVDs). Fact sheet. WHO; 2025. Available from: https://www.who.int/news-room/fact-sheets/detail/cardiovascular-diseases-(cvds)</w:t>
      </w:r>
    </w:p>
    <w:p w14:paraId="37DAE544" w14:textId="77777777" w:rsidR="004A2178" w:rsidRDefault="00000000">
      <w:pPr>
        <w:pStyle w:val="Compact"/>
        <w:numPr>
          <w:ilvl w:val="0"/>
          <w:numId w:val="4"/>
        </w:numPr>
      </w:pPr>
      <w:r>
        <w:t>Ministry of Health, Labour and Welfare, Japan. Vital Statistics of Japan. Tokyo: MHLW; 2022.</w:t>
      </w:r>
    </w:p>
    <w:p w14:paraId="639A45F5" w14:textId="77777777" w:rsidR="004A2178" w:rsidRDefault="00000000">
      <w:pPr>
        <w:pStyle w:val="Compact"/>
        <w:numPr>
          <w:ilvl w:val="0"/>
          <w:numId w:val="4"/>
        </w:numPr>
      </w:pPr>
      <w:r>
        <w:t>Stewart S, Keates AK, Redfern A, McMurray JJV. Seasonal variations in cardiovascular disease. Nat Rev Cardiol. 2017;14(11):654-664.</w:t>
      </w:r>
    </w:p>
    <w:p w14:paraId="307AA331" w14:textId="77777777" w:rsidR="004A2178" w:rsidRDefault="00000000">
      <w:pPr>
        <w:pStyle w:val="Compact"/>
        <w:numPr>
          <w:ilvl w:val="0"/>
          <w:numId w:val="4"/>
        </w:numPr>
      </w:pPr>
      <w:r>
        <w:t>Bhaskaran K, Hajat S, Haines A, Herrett E, Wilkinson P, Smeeth L. Effects of ambient temperature on the incidence of myocardial infarction. Heart. 2009;95(21):1760-1769.</w:t>
      </w:r>
    </w:p>
    <w:p w14:paraId="6BD36ACF" w14:textId="77777777" w:rsidR="004A2178" w:rsidRDefault="00000000">
      <w:pPr>
        <w:pStyle w:val="Compact"/>
        <w:numPr>
          <w:ilvl w:val="0"/>
          <w:numId w:val="4"/>
        </w:numPr>
      </w:pPr>
      <w:r>
        <w:t>Ye X, Wolff R, Yu W, Vaneckova P, Pan X, Tong S. Ambient temperature and morbidity: a review of epidemiological evidence. Environ Health Perspect. 2012;120(1):19-28.</w:t>
      </w:r>
    </w:p>
    <w:p w14:paraId="28B58980" w14:textId="77777777" w:rsidR="004A2178" w:rsidRDefault="00000000">
      <w:pPr>
        <w:pStyle w:val="Compact"/>
        <w:numPr>
          <w:ilvl w:val="0"/>
          <w:numId w:val="4"/>
        </w:numPr>
      </w:pPr>
      <w:r>
        <w:t>Keatinge WR, Coleshaw SR, Cotter F, Mattock M, Murphy M, Chelliah R. Increases in platelet and red cell counts, blood viscosity, and arterial pressure during mild surface cooling. BMJ. 1985;290(6461):75. doi:10.1136/bmj.290.6461.75.</w:t>
      </w:r>
    </w:p>
    <w:p w14:paraId="5768C88B" w14:textId="77777777" w:rsidR="004A2178" w:rsidRDefault="00000000">
      <w:pPr>
        <w:pStyle w:val="Compact"/>
        <w:numPr>
          <w:ilvl w:val="0"/>
          <w:numId w:val="4"/>
        </w:numPr>
      </w:pPr>
      <w:r>
        <w:t>Cheng X, Su H. Effects of climatic temperature stress on cardiovascular diseases. Eur J Intern Med. 2010;21(3):164-167.</w:t>
      </w:r>
    </w:p>
    <w:p w14:paraId="69E25C8D" w14:textId="77777777" w:rsidR="004A2178" w:rsidRDefault="00000000">
      <w:pPr>
        <w:pStyle w:val="Compact"/>
        <w:numPr>
          <w:ilvl w:val="0"/>
          <w:numId w:val="4"/>
        </w:numPr>
      </w:pPr>
      <w:r>
        <w:t>Gasparrini A, Guo Y, Hashizume M, et al. Mortality risk attributable to high and low ambient temperature: a multicountry observational study. Lancet. 2015;386(9991):369-375.</w:t>
      </w:r>
    </w:p>
    <w:p w14:paraId="2C05882E" w14:textId="77777777" w:rsidR="004A2178" w:rsidRDefault="00000000">
      <w:pPr>
        <w:pStyle w:val="Compact"/>
        <w:numPr>
          <w:ilvl w:val="0"/>
          <w:numId w:val="4"/>
        </w:numPr>
      </w:pPr>
      <w:r>
        <w:t>Zhao Q, Guo Y, Ye T, et al. Global, regional, and national burden of mortality associated with non-optimal ambient temperatures from 2000 to 2019: a three-stage modelling study. Lancet Planet Health. 2021;5(7):e415-e425. doi:10.1016/S2542-5196(21)00081-4.</w:t>
      </w:r>
    </w:p>
    <w:p w14:paraId="6B462952" w14:textId="77777777" w:rsidR="004A2178" w:rsidRDefault="00000000">
      <w:pPr>
        <w:pStyle w:val="Compact"/>
        <w:numPr>
          <w:ilvl w:val="0"/>
          <w:numId w:val="4"/>
        </w:numPr>
      </w:pPr>
      <w:r>
        <w:lastRenderedPageBreak/>
        <w:t>Japan Meteorological Agency. General Information on Climate of Japan. Tokyo: Japan Meteorological Agency. Available from: https://www.data.jma.go.jp/cpd/longfcst/en/tourist.html</w:t>
      </w:r>
    </w:p>
    <w:p w14:paraId="7DAC1C1B" w14:textId="77777777" w:rsidR="004A2178" w:rsidRDefault="00000000">
      <w:pPr>
        <w:pStyle w:val="Compact"/>
        <w:numPr>
          <w:ilvl w:val="0"/>
          <w:numId w:val="4"/>
        </w:numPr>
      </w:pPr>
      <w:r>
        <w:t>Anselin L. Local indicators of spatial association—LISA. Geogr Anal. 1995;27(2):93-115.</w:t>
      </w:r>
    </w:p>
    <w:p w14:paraId="4EBF389C" w14:textId="77777777" w:rsidR="004A2178" w:rsidRDefault="00000000">
      <w:pPr>
        <w:pStyle w:val="Compact"/>
        <w:numPr>
          <w:ilvl w:val="0"/>
          <w:numId w:val="4"/>
        </w:numPr>
      </w:pPr>
      <w:r>
        <w:t>Anselin L. Spatial Econometrics: Methods and Models. Dordrecht: Kluwer Academic; 1988.</w:t>
      </w:r>
    </w:p>
    <w:p w14:paraId="18EB9BCE" w14:textId="77777777" w:rsidR="004A2178" w:rsidRDefault="00000000">
      <w:pPr>
        <w:pStyle w:val="Compact"/>
        <w:numPr>
          <w:ilvl w:val="0"/>
          <w:numId w:val="4"/>
        </w:numPr>
      </w:pPr>
      <w:r>
        <w:t>Mercer JB. Cold—an underrated risk factor for health. Environ Res. 2003;92(1):8-13.</w:t>
      </w:r>
    </w:p>
    <w:p w14:paraId="21C4ED3A" w14:textId="77777777" w:rsidR="004A2178" w:rsidRDefault="00000000">
      <w:pPr>
        <w:pStyle w:val="Compact"/>
        <w:numPr>
          <w:ilvl w:val="0"/>
          <w:numId w:val="4"/>
        </w:numPr>
      </w:pPr>
      <w:r>
        <w:t>Kario K. Cold-induced hypertension as life-environment disease in winter: focus on data from Japan. Hypertension. 2026. DOI: 10.1161/HYPERTENSIONAHA.125.26518.</w:t>
      </w:r>
    </w:p>
    <w:p w14:paraId="1ACD972D" w14:textId="77777777" w:rsidR="004A2178" w:rsidRDefault="00000000">
      <w:pPr>
        <w:pStyle w:val="Compact"/>
        <w:numPr>
          <w:ilvl w:val="0"/>
          <w:numId w:val="4"/>
        </w:numPr>
      </w:pPr>
      <w:r>
        <w:t>Narita K, Hoshide S, Kario K. Seasonal variation in day-by-day home blood pressure variability and effect on cardiovascular disease incidence. Hypertension. 2022;79(9):2062-2070.</w:t>
      </w:r>
    </w:p>
    <w:p w14:paraId="5C2D494D" w14:textId="77777777" w:rsidR="004A2178" w:rsidRDefault="00000000">
      <w:pPr>
        <w:pStyle w:val="Compact"/>
        <w:numPr>
          <w:ilvl w:val="0"/>
          <w:numId w:val="4"/>
        </w:numPr>
      </w:pPr>
      <w:r>
        <w:t>Hanazawa T, Asayama K, Watabe D, et al. Association between amplitude of seasonal variation in self-measured home blood pressure and cardiovascular outcomes: HOMED-BP study. J Am Heart Assoc. 2018;7(10):e008509.</w:t>
      </w:r>
    </w:p>
    <w:p w14:paraId="5061F267" w14:textId="77777777" w:rsidR="004A2178" w:rsidRDefault="00000000">
      <w:pPr>
        <w:pStyle w:val="Compact"/>
        <w:numPr>
          <w:ilvl w:val="0"/>
          <w:numId w:val="4"/>
        </w:numPr>
      </w:pPr>
      <w:r>
        <w:t>Umishio W, Ikaga T, Kario K, et al. Cross-sectional analysis of the relationship between home blood pressure and indoor temperature in winter: a nationwide Smart Wellness Housing Survey in Japan. Hypertension. 2019;74(4):756-766.</w:t>
      </w:r>
    </w:p>
    <w:p w14:paraId="589D34AE" w14:textId="77777777" w:rsidR="004A2178" w:rsidRDefault="00000000">
      <w:pPr>
        <w:pStyle w:val="Compact"/>
        <w:numPr>
          <w:ilvl w:val="0"/>
          <w:numId w:val="4"/>
        </w:numPr>
      </w:pPr>
      <w:r>
        <w:t>Saeki K, Obayashi K, Kurumatani N. Platelet count and indoor cold exposure among elderly people: a cross-sectional analysis of the HEIJO-KYO study. J Epidemiol. 2017;27(12):562-567.</w:t>
      </w:r>
    </w:p>
    <w:p w14:paraId="21FADA32" w14:textId="77777777" w:rsidR="004A2178" w:rsidRDefault="00000000">
      <w:pPr>
        <w:pStyle w:val="Compact"/>
        <w:numPr>
          <w:ilvl w:val="0"/>
          <w:numId w:val="4"/>
        </w:numPr>
      </w:pPr>
      <w:r>
        <w:t>Saeki K, Obayashi K, Tone N, Kurumatani N. Effects of room temperature on home morning, evening, and sleep blood pressure: the Shizuoka study. J Hypertens. 2025. DOI: 10.1097/HJH.0000000000004154.</w:t>
      </w:r>
    </w:p>
    <w:p w14:paraId="2F91619E" w14:textId="77777777" w:rsidR="004A2178" w:rsidRDefault="00000000">
      <w:pPr>
        <w:pStyle w:val="Compact"/>
        <w:numPr>
          <w:ilvl w:val="0"/>
          <w:numId w:val="4"/>
        </w:numPr>
      </w:pPr>
      <w:r>
        <w:t>Umishio W, Kiuchi S, Ojima T, et al. Combination of housing type (detached houses vs flats) and tenure (owned vs rented) in relation to cardiovascular mortality: findings from a 6-year cohort study in Japan. BMJ Public Health. 2025;3(2):e003073. doi:10.1136/bmjph-2025-003073.</w:t>
      </w:r>
    </w:p>
    <w:p w14:paraId="775ABFBD" w14:textId="77777777" w:rsidR="004A2178" w:rsidRDefault="00000000">
      <w:pPr>
        <w:pStyle w:val="Compact"/>
        <w:numPr>
          <w:ilvl w:val="0"/>
          <w:numId w:val="4"/>
        </w:numPr>
      </w:pPr>
      <w:r>
        <w:t>GBD 2021 Japan Collaborators. Three decades of population health changes in Japan, 1990-2021: a subnational analysis for the Global Burden of Disease Study 2021. Lancet Public Health. 2025;10(4):e321-e332. doi:10.1016/S2468-2667(25)00044-1.</w:t>
      </w:r>
    </w:p>
    <w:p w14:paraId="6F7AB197" w14:textId="77777777" w:rsidR="004A2178" w:rsidRDefault="00000000">
      <w:pPr>
        <w:pStyle w:val="Compact"/>
        <w:numPr>
          <w:ilvl w:val="0"/>
          <w:numId w:val="4"/>
        </w:numPr>
      </w:pPr>
      <w:r>
        <w:t>Ogata S, Kiyoshige E, Yoshikawa Y, et al. Quantifying the contributions of cardiovascular risk factors to cardiovascular disease trends in 21st century Japan: a microsimulation study. Lancet Reg Health West Pac. 2025;60:101623. doi:10.1016/j.lanwpc.2025.101623.</w:t>
      </w:r>
    </w:p>
    <w:p w14:paraId="50FBD87A" w14:textId="77777777" w:rsidR="004A2178" w:rsidRDefault="00000000">
      <w:pPr>
        <w:pStyle w:val="Compact"/>
        <w:numPr>
          <w:ilvl w:val="0"/>
          <w:numId w:val="4"/>
        </w:numPr>
      </w:pPr>
      <w:r>
        <w:lastRenderedPageBreak/>
        <w:t>Iwabe Y, Satoh M, Nobayashi H, et al. Regional disparities in blood pressure control after hypertension treatment initiation in Japan: a real-world data analysis. Hypertens Res. 2026;49(2):328-339. doi:10.1038/s41440-025-02454-y.</w:t>
      </w:r>
    </w:p>
    <w:p w14:paraId="68ACAC71" w14:textId="77777777" w:rsidR="004A2178" w:rsidRDefault="00000000">
      <w:pPr>
        <w:pStyle w:val="Compact"/>
        <w:numPr>
          <w:ilvl w:val="0"/>
          <w:numId w:val="4"/>
        </w:numPr>
      </w:pPr>
      <w:r>
        <w:t>Roelfs DJ, Shor E, Davidson KW, Schwartz JE. Losing life and livelihood: a systematic review and meta-analysis of unemployment and all-cause mortality. Soc Sci Med. 2011;72(6):840-854.</w:t>
      </w:r>
    </w:p>
    <w:p w14:paraId="43604903" w14:textId="77777777" w:rsidR="004A2178" w:rsidRDefault="00000000">
      <w:pPr>
        <w:pStyle w:val="Compact"/>
        <w:numPr>
          <w:ilvl w:val="0"/>
          <w:numId w:val="4"/>
        </w:numPr>
      </w:pPr>
      <w:r>
        <w:t>Dupre ME, George LK, Liu G, Peterson ED. The cumulative effect of unemployment on risks for acute myocardial infarction. Arch Intern Med. 2012;172(22):1731-1737.</w:t>
      </w:r>
    </w:p>
    <w:p w14:paraId="5FDDC963" w14:textId="77777777" w:rsidR="004A2178" w:rsidRDefault="00000000">
      <w:pPr>
        <w:pStyle w:val="Compact"/>
        <w:numPr>
          <w:ilvl w:val="0"/>
          <w:numId w:val="4"/>
        </w:numPr>
      </w:pPr>
      <w:r>
        <w:t>Miyazaki J, Shirai K, Kimura T, et al. Purpose in life (Ikigai) and employment status in relation to cardiovascular mortality: the Japan Collaborative Cohort Study. BMJ Open. 2022;12(10):e059725.</w:t>
      </w:r>
    </w:p>
    <w:p w14:paraId="5A83B7E0" w14:textId="77777777" w:rsidR="004A2178" w:rsidRDefault="00000000">
      <w:pPr>
        <w:pStyle w:val="Compact"/>
        <w:numPr>
          <w:ilvl w:val="0"/>
          <w:numId w:val="4"/>
        </w:numPr>
      </w:pPr>
      <w:r>
        <w:t>Okui T. Socioeconomic disparities in all-cause and cause-specific mortality rates among municipalities in Japan, 1999–2019. Int J Environ Res Public Health. 2020;17(24):9213.</w:t>
      </w:r>
    </w:p>
    <w:p w14:paraId="0A31EF36" w14:textId="77777777" w:rsidR="004A2178" w:rsidRDefault="00000000">
      <w:pPr>
        <w:pStyle w:val="Compact"/>
        <w:numPr>
          <w:ilvl w:val="0"/>
          <w:numId w:val="4"/>
        </w:numPr>
      </w:pPr>
      <w:r>
        <w:t>Okui T, Park J. Difference in the prevalence of hypertension and its risk factors depending on area-level deprivation in Japan. BMC Res Notes. 2022;15(1):37.</w:t>
      </w:r>
    </w:p>
    <w:p w14:paraId="38B28E22" w14:textId="77777777" w:rsidR="004A2178" w:rsidRDefault="00000000">
      <w:pPr>
        <w:pStyle w:val="Compact"/>
        <w:numPr>
          <w:ilvl w:val="0"/>
          <w:numId w:val="4"/>
        </w:numPr>
      </w:pPr>
      <w:r>
        <w:t>Umishio W, Ikaga T, Kario K, et al. Effect of living in well-insulated warm houses on hypertension and cardiovascular diseases based on a nationwide epidemiological survey in Japan: a modelling and cost-effectiveness analysis. BMJ Public Health. 2024;2(2):e001143.</w:t>
      </w:r>
    </w:p>
    <w:p w14:paraId="35038BF0" w14:textId="77777777" w:rsidR="004A2178" w:rsidRDefault="00000000">
      <w:pPr>
        <w:pStyle w:val="Compact"/>
        <w:numPr>
          <w:ilvl w:val="0"/>
          <w:numId w:val="4"/>
        </w:numPr>
      </w:pPr>
      <w:r>
        <w:t>Ohashi Y, Ihara T, Oka K, et al. Machine learning analysis and risk prediction of weather-sensitive mortality related to cardiovascular disease during summer in Tokyo, Japan. Sci Rep. 2023;13(1):17020. doi:10.1038/s41598-023-44181-9.</w:t>
      </w:r>
    </w:p>
    <w:p w14:paraId="641C4B01" w14:textId="77777777" w:rsidR="004A2178" w:rsidRDefault="00000000">
      <w:pPr>
        <w:pStyle w:val="Compact"/>
        <w:numPr>
          <w:ilvl w:val="0"/>
          <w:numId w:val="4"/>
        </w:numPr>
      </w:pPr>
      <w:r>
        <w:t>Yuan L, Madaniyazi L, Vicedo-Cabrera AM, et al. Non-optimal temperature-attributable mortality and morbidity burden by cause, age and sex under climate and population change scenarios: a nationwide modelling study in Japan. Lancet Reg Health West Pac. 2024;52:101214.</w:t>
      </w:r>
    </w:p>
    <w:p w14:paraId="2C7656E2" w14:textId="77777777" w:rsidR="004A2178" w:rsidRDefault="00000000">
      <w:pPr>
        <w:pStyle w:val="Compact"/>
        <w:numPr>
          <w:ilvl w:val="0"/>
          <w:numId w:val="4"/>
        </w:numPr>
      </w:pPr>
      <w:r>
        <w:t>Rothman KJ, Greenland S, Lash TL. Modern Epidemiology. 3rd ed. Philadelphia: Lippincott Williams &amp; Wilkins; 2008.</w:t>
      </w:r>
    </w:p>
    <w:p w14:paraId="52EFD6B2" w14:textId="77777777" w:rsidR="004A2178" w:rsidRDefault="00000000">
      <w:r>
        <w:pict w14:anchorId="083F8373">
          <v:rect id="_x0000_i1032" style="width:0;height:1.5pt" o:hralign="center" o:hrstd="t" o:hr="t"/>
        </w:pict>
      </w:r>
    </w:p>
    <w:p w14:paraId="560C4627" w14:textId="77777777" w:rsidR="004A2178" w:rsidRDefault="00000000">
      <w:pPr>
        <w:pStyle w:val="1"/>
      </w:pPr>
      <w:bookmarkStart w:id="36" w:name="tables-and-figures"/>
      <w:bookmarkEnd w:id="35"/>
      <w:r>
        <w:lastRenderedPageBreak/>
        <w:t>Tables and Figures</w:t>
      </w:r>
    </w:p>
    <w:p w14:paraId="2FEC17B1" w14:textId="77777777" w:rsidR="004A2178" w:rsidRDefault="00000000">
      <w:pPr>
        <w:pStyle w:val="2"/>
      </w:pPr>
      <w:bookmarkStart w:id="37" w:name="Xd12e5d2fabb7f7da04933f49b094ec2cca003f6"/>
      <w:r>
        <w:t>Table 1. Descriptive Statistics of Prefecture-Level Variables (N = 47)</w:t>
      </w:r>
    </w:p>
    <w:tbl>
      <w:tblPr>
        <w:tblStyle w:val="Table"/>
        <w:tblW w:w="5000" w:type="pct"/>
        <w:tblLayout w:type="fixed"/>
        <w:tblLook w:val="0020" w:firstRow="1" w:lastRow="0" w:firstColumn="0" w:lastColumn="0" w:noHBand="0" w:noVBand="0"/>
      </w:tblPr>
      <w:tblGrid>
        <w:gridCol w:w="1473"/>
        <w:gridCol w:w="1473"/>
        <w:gridCol w:w="1473"/>
        <w:gridCol w:w="1473"/>
        <w:gridCol w:w="1473"/>
        <w:gridCol w:w="1473"/>
      </w:tblGrid>
      <w:tr w:rsidR="004A2178" w14:paraId="6D63711B" w14:textId="77777777" w:rsidTr="004A2178">
        <w:trPr>
          <w:cnfStyle w:val="100000000000" w:firstRow="1" w:lastRow="0" w:firstColumn="0" w:lastColumn="0" w:oddVBand="0" w:evenVBand="0" w:oddHBand="0" w:evenHBand="0" w:firstRowFirstColumn="0" w:firstRowLastColumn="0" w:lastRowFirstColumn="0" w:lastRowLastColumn="0"/>
          <w:tblHeader/>
        </w:trPr>
        <w:tc>
          <w:tcPr>
            <w:tcW w:w="1320" w:type="dxa"/>
          </w:tcPr>
          <w:p w14:paraId="0F55ACC2" w14:textId="77777777" w:rsidR="004A2178" w:rsidRDefault="00000000">
            <w:pPr>
              <w:pStyle w:val="Compact"/>
            </w:pPr>
            <w:r>
              <w:t>Variable</w:t>
            </w:r>
          </w:p>
        </w:tc>
        <w:tc>
          <w:tcPr>
            <w:tcW w:w="1320" w:type="dxa"/>
          </w:tcPr>
          <w:p w14:paraId="64D13E94" w14:textId="77777777" w:rsidR="004A2178" w:rsidRDefault="00000000">
            <w:pPr>
              <w:pStyle w:val="Compact"/>
            </w:pPr>
            <w:r>
              <w:t>Unit</w:t>
            </w:r>
          </w:p>
        </w:tc>
        <w:tc>
          <w:tcPr>
            <w:tcW w:w="1320" w:type="dxa"/>
          </w:tcPr>
          <w:p w14:paraId="4A5AA522" w14:textId="77777777" w:rsidR="004A2178" w:rsidRDefault="00000000">
            <w:pPr>
              <w:pStyle w:val="Compact"/>
              <w:jc w:val="right"/>
            </w:pPr>
            <w:r>
              <w:t>Mean</w:t>
            </w:r>
          </w:p>
        </w:tc>
        <w:tc>
          <w:tcPr>
            <w:tcW w:w="1320" w:type="dxa"/>
          </w:tcPr>
          <w:p w14:paraId="127DDC60" w14:textId="77777777" w:rsidR="004A2178" w:rsidRDefault="00000000">
            <w:pPr>
              <w:pStyle w:val="Compact"/>
              <w:jc w:val="right"/>
            </w:pPr>
            <w:r>
              <w:t>SD</w:t>
            </w:r>
          </w:p>
        </w:tc>
        <w:tc>
          <w:tcPr>
            <w:tcW w:w="1320" w:type="dxa"/>
          </w:tcPr>
          <w:p w14:paraId="017C0C3F" w14:textId="77777777" w:rsidR="004A2178" w:rsidRDefault="00000000">
            <w:pPr>
              <w:pStyle w:val="Compact"/>
              <w:jc w:val="right"/>
            </w:pPr>
            <w:r>
              <w:t>Min</w:t>
            </w:r>
          </w:p>
        </w:tc>
        <w:tc>
          <w:tcPr>
            <w:tcW w:w="1320" w:type="dxa"/>
          </w:tcPr>
          <w:p w14:paraId="0EEE774D" w14:textId="77777777" w:rsidR="004A2178" w:rsidRDefault="00000000">
            <w:pPr>
              <w:pStyle w:val="Compact"/>
              <w:jc w:val="right"/>
            </w:pPr>
            <w:r>
              <w:t>Max</w:t>
            </w:r>
          </w:p>
        </w:tc>
      </w:tr>
      <w:tr w:rsidR="004A2178" w14:paraId="5EE8B289" w14:textId="77777777">
        <w:tc>
          <w:tcPr>
            <w:tcW w:w="1320" w:type="dxa"/>
          </w:tcPr>
          <w:p w14:paraId="1AF6FDA1" w14:textId="77777777" w:rsidR="004A2178" w:rsidRDefault="00000000">
            <w:pPr>
              <w:pStyle w:val="Compact"/>
            </w:pPr>
            <w:r>
              <w:t>CVD prescription rate</w:t>
            </w:r>
          </w:p>
        </w:tc>
        <w:tc>
          <w:tcPr>
            <w:tcW w:w="1320" w:type="dxa"/>
          </w:tcPr>
          <w:p w14:paraId="106CB912" w14:textId="77777777" w:rsidR="004A2178" w:rsidRDefault="00000000">
            <w:pPr>
              <w:pStyle w:val="Compact"/>
            </w:pPr>
            <w:r>
              <w:t>per 100,000</w:t>
            </w:r>
          </w:p>
        </w:tc>
        <w:tc>
          <w:tcPr>
            <w:tcW w:w="1320" w:type="dxa"/>
          </w:tcPr>
          <w:p w14:paraId="3604A821" w14:textId="77777777" w:rsidR="004A2178" w:rsidRDefault="00000000">
            <w:pPr>
              <w:pStyle w:val="Compact"/>
              <w:jc w:val="right"/>
            </w:pPr>
            <w:r>
              <w:t>17,521,396</w:t>
            </w:r>
          </w:p>
        </w:tc>
        <w:tc>
          <w:tcPr>
            <w:tcW w:w="1320" w:type="dxa"/>
          </w:tcPr>
          <w:p w14:paraId="6BB2C37E" w14:textId="77777777" w:rsidR="004A2178" w:rsidRDefault="00000000">
            <w:pPr>
              <w:pStyle w:val="Compact"/>
              <w:jc w:val="right"/>
            </w:pPr>
            <w:r>
              <w:t>2,607,830</w:t>
            </w:r>
          </w:p>
        </w:tc>
        <w:tc>
          <w:tcPr>
            <w:tcW w:w="1320" w:type="dxa"/>
          </w:tcPr>
          <w:p w14:paraId="440299E1" w14:textId="77777777" w:rsidR="004A2178" w:rsidRDefault="00000000">
            <w:pPr>
              <w:pStyle w:val="Compact"/>
              <w:jc w:val="right"/>
            </w:pPr>
            <w:r>
              <w:t>13,864,815</w:t>
            </w:r>
          </w:p>
        </w:tc>
        <w:tc>
          <w:tcPr>
            <w:tcW w:w="1320" w:type="dxa"/>
          </w:tcPr>
          <w:p w14:paraId="32D6362A" w14:textId="77777777" w:rsidR="004A2178" w:rsidRDefault="00000000">
            <w:pPr>
              <w:pStyle w:val="Compact"/>
              <w:jc w:val="right"/>
            </w:pPr>
            <w:r>
              <w:t>25,622,603</w:t>
            </w:r>
          </w:p>
        </w:tc>
      </w:tr>
      <w:tr w:rsidR="004A2178" w14:paraId="38349D74" w14:textId="77777777">
        <w:tc>
          <w:tcPr>
            <w:tcW w:w="1320" w:type="dxa"/>
          </w:tcPr>
          <w:p w14:paraId="20162456" w14:textId="77777777" w:rsidR="004A2178" w:rsidRDefault="00000000">
            <w:pPr>
              <w:pStyle w:val="Compact"/>
            </w:pPr>
            <w:r>
              <w:t>Cold month ratio</w:t>
            </w:r>
          </w:p>
        </w:tc>
        <w:tc>
          <w:tcPr>
            <w:tcW w:w="1320" w:type="dxa"/>
          </w:tcPr>
          <w:p w14:paraId="0C7CC6AB" w14:textId="77777777" w:rsidR="004A2178" w:rsidRDefault="00000000">
            <w:pPr>
              <w:pStyle w:val="Compact"/>
            </w:pPr>
            <w:r>
              <w:t>proportion</w:t>
            </w:r>
          </w:p>
        </w:tc>
        <w:tc>
          <w:tcPr>
            <w:tcW w:w="1320" w:type="dxa"/>
          </w:tcPr>
          <w:p w14:paraId="29DE5647" w14:textId="77777777" w:rsidR="004A2178" w:rsidRDefault="00000000">
            <w:pPr>
              <w:pStyle w:val="Compact"/>
              <w:jc w:val="right"/>
            </w:pPr>
            <w:r>
              <w:t>0.09</w:t>
            </w:r>
          </w:p>
        </w:tc>
        <w:tc>
          <w:tcPr>
            <w:tcW w:w="1320" w:type="dxa"/>
          </w:tcPr>
          <w:p w14:paraId="51A0B88F" w14:textId="77777777" w:rsidR="004A2178" w:rsidRDefault="00000000">
            <w:pPr>
              <w:pStyle w:val="Compact"/>
              <w:jc w:val="right"/>
            </w:pPr>
            <w:r>
              <w:t>0.11</w:t>
            </w:r>
          </w:p>
        </w:tc>
        <w:tc>
          <w:tcPr>
            <w:tcW w:w="1320" w:type="dxa"/>
          </w:tcPr>
          <w:p w14:paraId="1DD52CD4" w14:textId="77777777" w:rsidR="004A2178" w:rsidRDefault="00000000">
            <w:pPr>
              <w:pStyle w:val="Compact"/>
              <w:jc w:val="right"/>
            </w:pPr>
            <w:r>
              <w:t>0.00</w:t>
            </w:r>
          </w:p>
        </w:tc>
        <w:tc>
          <w:tcPr>
            <w:tcW w:w="1320" w:type="dxa"/>
          </w:tcPr>
          <w:p w14:paraId="1625838E" w14:textId="77777777" w:rsidR="004A2178" w:rsidRDefault="00000000">
            <w:pPr>
              <w:pStyle w:val="Compact"/>
              <w:jc w:val="right"/>
            </w:pPr>
            <w:r>
              <w:t>0.38</w:t>
            </w:r>
          </w:p>
        </w:tc>
      </w:tr>
      <w:tr w:rsidR="004A2178" w14:paraId="58A1C507" w14:textId="77777777">
        <w:tc>
          <w:tcPr>
            <w:tcW w:w="1320" w:type="dxa"/>
          </w:tcPr>
          <w:p w14:paraId="55892DD3" w14:textId="77777777" w:rsidR="004A2178" w:rsidRDefault="00000000">
            <w:pPr>
              <w:pStyle w:val="Compact"/>
            </w:pPr>
            <w:r>
              <w:t>Mean annual temperature</w:t>
            </w:r>
          </w:p>
        </w:tc>
        <w:tc>
          <w:tcPr>
            <w:tcW w:w="1320" w:type="dxa"/>
          </w:tcPr>
          <w:p w14:paraId="0AAFEAD2" w14:textId="77777777" w:rsidR="004A2178" w:rsidRDefault="00000000">
            <w:pPr>
              <w:pStyle w:val="Compact"/>
            </w:pPr>
            <w:r>
              <w:t>°C</w:t>
            </w:r>
          </w:p>
        </w:tc>
        <w:tc>
          <w:tcPr>
            <w:tcW w:w="1320" w:type="dxa"/>
          </w:tcPr>
          <w:p w14:paraId="19D034BC" w14:textId="77777777" w:rsidR="004A2178" w:rsidRDefault="00000000">
            <w:pPr>
              <w:pStyle w:val="Compact"/>
              <w:jc w:val="right"/>
            </w:pPr>
            <w:r>
              <w:t>16.02</w:t>
            </w:r>
          </w:p>
        </w:tc>
        <w:tc>
          <w:tcPr>
            <w:tcW w:w="1320" w:type="dxa"/>
          </w:tcPr>
          <w:p w14:paraId="6383DDD9" w14:textId="77777777" w:rsidR="004A2178" w:rsidRDefault="00000000">
            <w:pPr>
              <w:pStyle w:val="Compact"/>
              <w:jc w:val="right"/>
            </w:pPr>
            <w:r>
              <w:t>2.34</w:t>
            </w:r>
          </w:p>
        </w:tc>
        <w:tc>
          <w:tcPr>
            <w:tcW w:w="1320" w:type="dxa"/>
          </w:tcPr>
          <w:p w14:paraId="54E2A798" w14:textId="77777777" w:rsidR="004A2178" w:rsidRDefault="00000000">
            <w:pPr>
              <w:pStyle w:val="Compact"/>
              <w:jc w:val="right"/>
            </w:pPr>
            <w:r>
              <w:t>9.54</w:t>
            </w:r>
          </w:p>
        </w:tc>
        <w:tc>
          <w:tcPr>
            <w:tcW w:w="1320" w:type="dxa"/>
          </w:tcPr>
          <w:p w14:paraId="1644634A" w14:textId="77777777" w:rsidR="004A2178" w:rsidRDefault="00000000">
            <w:pPr>
              <w:pStyle w:val="Compact"/>
              <w:jc w:val="right"/>
            </w:pPr>
            <w:r>
              <w:t>23.75</w:t>
            </w:r>
          </w:p>
        </w:tc>
      </w:tr>
      <w:tr w:rsidR="004A2178" w14:paraId="51E0872F" w14:textId="77777777">
        <w:tc>
          <w:tcPr>
            <w:tcW w:w="1320" w:type="dxa"/>
          </w:tcPr>
          <w:p w14:paraId="511091C2" w14:textId="77777777" w:rsidR="004A2178" w:rsidRDefault="00000000">
            <w:pPr>
              <w:pStyle w:val="Compact"/>
            </w:pPr>
            <w:r>
              <w:t>Physicians per 100,000</w:t>
            </w:r>
          </w:p>
        </w:tc>
        <w:tc>
          <w:tcPr>
            <w:tcW w:w="1320" w:type="dxa"/>
          </w:tcPr>
          <w:p w14:paraId="03B48EC1" w14:textId="77777777" w:rsidR="004A2178" w:rsidRDefault="00000000">
            <w:pPr>
              <w:pStyle w:val="Compact"/>
            </w:pPr>
            <w:r>
              <w:t>per 100,000</w:t>
            </w:r>
          </w:p>
        </w:tc>
        <w:tc>
          <w:tcPr>
            <w:tcW w:w="1320" w:type="dxa"/>
          </w:tcPr>
          <w:p w14:paraId="40D53C55" w14:textId="77777777" w:rsidR="004A2178" w:rsidRDefault="00000000">
            <w:pPr>
              <w:pStyle w:val="Compact"/>
              <w:jc w:val="right"/>
            </w:pPr>
            <w:r>
              <w:t>199.62</w:t>
            </w:r>
          </w:p>
        </w:tc>
        <w:tc>
          <w:tcPr>
            <w:tcW w:w="1320" w:type="dxa"/>
          </w:tcPr>
          <w:p w14:paraId="4F7867E3" w14:textId="77777777" w:rsidR="004A2178" w:rsidRDefault="00000000">
            <w:pPr>
              <w:pStyle w:val="Compact"/>
              <w:jc w:val="right"/>
            </w:pPr>
            <w:r>
              <w:t>34.99</w:t>
            </w:r>
          </w:p>
        </w:tc>
        <w:tc>
          <w:tcPr>
            <w:tcW w:w="1320" w:type="dxa"/>
          </w:tcPr>
          <w:p w14:paraId="59365597" w14:textId="77777777" w:rsidR="004A2178" w:rsidRDefault="00000000">
            <w:pPr>
              <w:pStyle w:val="Compact"/>
              <w:jc w:val="right"/>
            </w:pPr>
            <w:r>
              <w:t>137.80</w:t>
            </w:r>
          </w:p>
        </w:tc>
        <w:tc>
          <w:tcPr>
            <w:tcW w:w="1320" w:type="dxa"/>
          </w:tcPr>
          <w:p w14:paraId="147E71CD" w14:textId="77777777" w:rsidR="004A2178" w:rsidRDefault="00000000">
            <w:pPr>
              <w:pStyle w:val="Compact"/>
              <w:jc w:val="right"/>
            </w:pPr>
            <w:r>
              <w:t>316.90</w:t>
            </w:r>
          </w:p>
        </w:tc>
      </w:tr>
      <w:tr w:rsidR="004A2178" w14:paraId="70CF6DBA" w14:textId="77777777">
        <w:tc>
          <w:tcPr>
            <w:tcW w:w="1320" w:type="dxa"/>
          </w:tcPr>
          <w:p w14:paraId="2DAEFB61" w14:textId="77777777" w:rsidR="004A2178" w:rsidRDefault="00000000">
            <w:pPr>
              <w:pStyle w:val="Compact"/>
            </w:pPr>
            <w:r>
              <w:t>Unemployment rate</w:t>
            </w:r>
          </w:p>
        </w:tc>
        <w:tc>
          <w:tcPr>
            <w:tcW w:w="1320" w:type="dxa"/>
          </w:tcPr>
          <w:p w14:paraId="2CEE81E5" w14:textId="77777777" w:rsidR="004A2178" w:rsidRDefault="00000000">
            <w:pPr>
              <w:pStyle w:val="Compact"/>
            </w:pPr>
            <w:r>
              <w:t>%</w:t>
            </w:r>
          </w:p>
        </w:tc>
        <w:tc>
          <w:tcPr>
            <w:tcW w:w="1320" w:type="dxa"/>
          </w:tcPr>
          <w:p w14:paraId="54F9F6DF" w14:textId="77777777" w:rsidR="004A2178" w:rsidRDefault="00000000">
            <w:pPr>
              <w:pStyle w:val="Compact"/>
              <w:jc w:val="right"/>
            </w:pPr>
            <w:r>
              <w:t>3.81</w:t>
            </w:r>
          </w:p>
        </w:tc>
        <w:tc>
          <w:tcPr>
            <w:tcW w:w="1320" w:type="dxa"/>
          </w:tcPr>
          <w:p w14:paraId="1480AA32" w14:textId="77777777" w:rsidR="004A2178" w:rsidRDefault="00000000">
            <w:pPr>
              <w:pStyle w:val="Compact"/>
              <w:jc w:val="right"/>
            </w:pPr>
            <w:r>
              <w:t>0.49</w:t>
            </w:r>
          </w:p>
        </w:tc>
        <w:tc>
          <w:tcPr>
            <w:tcW w:w="1320" w:type="dxa"/>
          </w:tcPr>
          <w:p w14:paraId="270E0A32" w14:textId="77777777" w:rsidR="004A2178" w:rsidRDefault="00000000">
            <w:pPr>
              <w:pStyle w:val="Compact"/>
              <w:jc w:val="right"/>
            </w:pPr>
            <w:r>
              <w:t>2.70</w:t>
            </w:r>
          </w:p>
        </w:tc>
        <w:tc>
          <w:tcPr>
            <w:tcW w:w="1320" w:type="dxa"/>
          </w:tcPr>
          <w:p w14:paraId="60A9E552" w14:textId="77777777" w:rsidR="004A2178" w:rsidRDefault="00000000">
            <w:pPr>
              <w:pStyle w:val="Compact"/>
              <w:jc w:val="right"/>
            </w:pPr>
            <w:r>
              <w:t>5.50</w:t>
            </w:r>
          </w:p>
        </w:tc>
      </w:tr>
      <w:tr w:rsidR="004A2178" w14:paraId="317959C3" w14:textId="77777777">
        <w:tc>
          <w:tcPr>
            <w:tcW w:w="1320" w:type="dxa"/>
          </w:tcPr>
          <w:p w14:paraId="60B16AD6" w14:textId="77777777" w:rsidR="004A2178" w:rsidRDefault="00000000">
            <w:pPr>
              <w:pStyle w:val="Compact"/>
            </w:pPr>
            <w:r>
              <w:t>Aging rate (≥65 years)</w:t>
            </w:r>
          </w:p>
        </w:tc>
        <w:tc>
          <w:tcPr>
            <w:tcW w:w="1320" w:type="dxa"/>
          </w:tcPr>
          <w:p w14:paraId="115C6DBC" w14:textId="77777777" w:rsidR="004A2178" w:rsidRDefault="00000000">
            <w:pPr>
              <w:pStyle w:val="Compact"/>
            </w:pPr>
            <w:r>
              <w:t>%</w:t>
            </w:r>
          </w:p>
        </w:tc>
        <w:tc>
          <w:tcPr>
            <w:tcW w:w="1320" w:type="dxa"/>
          </w:tcPr>
          <w:p w14:paraId="21EA7E8B" w14:textId="77777777" w:rsidR="004A2178" w:rsidRDefault="00000000">
            <w:pPr>
              <w:pStyle w:val="Compact"/>
              <w:jc w:val="right"/>
            </w:pPr>
            <w:r>
              <w:t>30.26</w:t>
            </w:r>
          </w:p>
        </w:tc>
        <w:tc>
          <w:tcPr>
            <w:tcW w:w="1320" w:type="dxa"/>
          </w:tcPr>
          <w:p w14:paraId="3C056BA5" w14:textId="77777777" w:rsidR="004A2178" w:rsidRDefault="00000000">
            <w:pPr>
              <w:pStyle w:val="Compact"/>
              <w:jc w:val="right"/>
            </w:pPr>
            <w:r>
              <w:t>3.21</w:t>
            </w:r>
          </w:p>
        </w:tc>
        <w:tc>
          <w:tcPr>
            <w:tcW w:w="1320" w:type="dxa"/>
          </w:tcPr>
          <w:p w14:paraId="36FF67EB" w14:textId="77777777" w:rsidR="004A2178" w:rsidRDefault="00000000">
            <w:pPr>
              <w:pStyle w:val="Compact"/>
              <w:jc w:val="right"/>
            </w:pPr>
            <w:r>
              <w:t>22.10</w:t>
            </w:r>
          </w:p>
        </w:tc>
        <w:tc>
          <w:tcPr>
            <w:tcW w:w="1320" w:type="dxa"/>
          </w:tcPr>
          <w:p w14:paraId="7F426714" w14:textId="77777777" w:rsidR="004A2178" w:rsidRDefault="00000000">
            <w:pPr>
              <w:pStyle w:val="Compact"/>
              <w:jc w:val="right"/>
            </w:pPr>
            <w:r>
              <w:t>37.30</w:t>
            </w:r>
          </w:p>
        </w:tc>
      </w:tr>
      <w:tr w:rsidR="004A2178" w14:paraId="72194F65" w14:textId="77777777">
        <w:tc>
          <w:tcPr>
            <w:tcW w:w="1320" w:type="dxa"/>
          </w:tcPr>
          <w:p w14:paraId="17754C1C" w14:textId="77777777" w:rsidR="004A2178" w:rsidRDefault="00000000">
            <w:pPr>
              <w:pStyle w:val="Compact"/>
            </w:pPr>
            <w:r>
              <w:t>Per capita income</w:t>
            </w:r>
          </w:p>
        </w:tc>
        <w:tc>
          <w:tcPr>
            <w:tcW w:w="1320" w:type="dxa"/>
          </w:tcPr>
          <w:p w14:paraId="09F57F7A" w14:textId="77777777" w:rsidR="004A2178" w:rsidRDefault="00000000">
            <w:pPr>
              <w:pStyle w:val="Compact"/>
            </w:pPr>
            <w:r>
              <w:t>×10,000 yen</w:t>
            </w:r>
          </w:p>
        </w:tc>
        <w:tc>
          <w:tcPr>
            <w:tcW w:w="1320" w:type="dxa"/>
          </w:tcPr>
          <w:p w14:paraId="2A2832BB" w14:textId="77777777" w:rsidR="004A2178" w:rsidRDefault="00000000">
            <w:pPr>
              <w:pStyle w:val="Compact"/>
              <w:jc w:val="right"/>
            </w:pPr>
            <w:r>
              <w:t>283.26</w:t>
            </w:r>
          </w:p>
        </w:tc>
        <w:tc>
          <w:tcPr>
            <w:tcW w:w="1320" w:type="dxa"/>
          </w:tcPr>
          <w:p w14:paraId="632EE761" w14:textId="77777777" w:rsidR="004A2178" w:rsidRDefault="00000000">
            <w:pPr>
              <w:pStyle w:val="Compact"/>
              <w:jc w:val="right"/>
            </w:pPr>
            <w:r>
              <w:t>43.87</w:t>
            </w:r>
          </w:p>
        </w:tc>
        <w:tc>
          <w:tcPr>
            <w:tcW w:w="1320" w:type="dxa"/>
          </w:tcPr>
          <w:p w14:paraId="196F5DF7" w14:textId="77777777" w:rsidR="004A2178" w:rsidRDefault="00000000">
            <w:pPr>
              <w:pStyle w:val="Compact"/>
              <w:jc w:val="right"/>
            </w:pPr>
            <w:r>
              <w:t>216.70</w:t>
            </w:r>
          </w:p>
        </w:tc>
        <w:tc>
          <w:tcPr>
            <w:tcW w:w="1320" w:type="dxa"/>
          </w:tcPr>
          <w:p w14:paraId="60748B85" w14:textId="77777777" w:rsidR="004A2178" w:rsidRDefault="00000000">
            <w:pPr>
              <w:pStyle w:val="Compact"/>
              <w:jc w:val="right"/>
            </w:pPr>
            <w:r>
              <w:t>521.40</w:t>
            </w:r>
          </w:p>
        </w:tc>
      </w:tr>
    </w:tbl>
    <w:p w14:paraId="5007CCFA" w14:textId="77777777" w:rsidR="004A2178" w:rsidRDefault="00000000">
      <w:r>
        <w:pict w14:anchorId="07A2977E">
          <v:rect id="_x0000_i1033" style="width:0;height:1.5pt" o:hralign="center" o:hrstd="t" o:hr="t"/>
        </w:pict>
      </w:r>
    </w:p>
    <w:p w14:paraId="564F7341" w14:textId="77777777" w:rsidR="004A2178" w:rsidRDefault="00000000">
      <w:pPr>
        <w:pStyle w:val="2"/>
      </w:pPr>
      <w:bookmarkStart w:id="38" w:name="X838fb6f9f599182a3f2aaef02c3d6754e460387"/>
      <w:bookmarkEnd w:id="37"/>
      <w:r>
        <w:t>Table 2. Correlation Matrix: Pearson Correlation Coefficients among Key Study Variables (N = 47)</w:t>
      </w:r>
    </w:p>
    <w:tbl>
      <w:tblPr>
        <w:tblStyle w:val="Table"/>
        <w:tblW w:w="5000" w:type="pct"/>
        <w:tblLayout w:type="fixed"/>
        <w:tblLook w:val="0020" w:firstRow="1" w:lastRow="0" w:firstColumn="0" w:lastColumn="0" w:noHBand="0" w:noVBand="0"/>
      </w:tblPr>
      <w:tblGrid>
        <w:gridCol w:w="1104"/>
        <w:gridCol w:w="1104"/>
        <w:gridCol w:w="1105"/>
        <w:gridCol w:w="1105"/>
        <w:gridCol w:w="1105"/>
        <w:gridCol w:w="1105"/>
        <w:gridCol w:w="1105"/>
        <w:gridCol w:w="1105"/>
      </w:tblGrid>
      <w:tr w:rsidR="004A2178" w14:paraId="19FC0509" w14:textId="77777777" w:rsidTr="004A2178">
        <w:trPr>
          <w:cnfStyle w:val="100000000000" w:firstRow="1" w:lastRow="0" w:firstColumn="0" w:lastColumn="0" w:oddVBand="0" w:evenVBand="0" w:oddHBand="0" w:evenHBand="0" w:firstRowFirstColumn="0" w:firstRowLastColumn="0" w:lastRowFirstColumn="0" w:lastRowLastColumn="0"/>
          <w:tblHeader/>
        </w:trPr>
        <w:tc>
          <w:tcPr>
            <w:tcW w:w="990" w:type="dxa"/>
          </w:tcPr>
          <w:p w14:paraId="410555B0" w14:textId="77777777" w:rsidR="004A2178" w:rsidRDefault="00000000">
            <w:pPr>
              <w:pStyle w:val="Compact"/>
            </w:pPr>
            <w:r>
              <w:t>Variable</w:t>
            </w:r>
          </w:p>
        </w:tc>
        <w:tc>
          <w:tcPr>
            <w:tcW w:w="990" w:type="dxa"/>
          </w:tcPr>
          <w:p w14:paraId="04B508F3" w14:textId="77777777" w:rsidR="004A2178" w:rsidRDefault="00000000">
            <w:pPr>
              <w:pStyle w:val="Compact"/>
              <w:jc w:val="right"/>
            </w:pPr>
            <w:r>
              <w:t>CVD Rate</w:t>
            </w:r>
          </w:p>
        </w:tc>
        <w:tc>
          <w:tcPr>
            <w:tcW w:w="990" w:type="dxa"/>
          </w:tcPr>
          <w:p w14:paraId="3024F4BF" w14:textId="77777777" w:rsidR="004A2178" w:rsidRDefault="00000000">
            <w:pPr>
              <w:pStyle w:val="Compact"/>
              <w:jc w:val="right"/>
            </w:pPr>
            <w:r>
              <w:t>Cold Ratio</w:t>
            </w:r>
          </w:p>
        </w:tc>
        <w:tc>
          <w:tcPr>
            <w:tcW w:w="990" w:type="dxa"/>
          </w:tcPr>
          <w:p w14:paraId="14CE0C25" w14:textId="77777777" w:rsidR="004A2178" w:rsidRDefault="00000000">
            <w:pPr>
              <w:pStyle w:val="Compact"/>
              <w:jc w:val="right"/>
            </w:pPr>
            <w:r>
              <w:t>Temp.</w:t>
            </w:r>
          </w:p>
        </w:tc>
        <w:tc>
          <w:tcPr>
            <w:tcW w:w="990" w:type="dxa"/>
          </w:tcPr>
          <w:p w14:paraId="3FB4A93B" w14:textId="77777777" w:rsidR="004A2178" w:rsidRDefault="00000000">
            <w:pPr>
              <w:pStyle w:val="Compact"/>
              <w:jc w:val="right"/>
            </w:pPr>
            <w:r>
              <w:t>Physicians</w:t>
            </w:r>
          </w:p>
        </w:tc>
        <w:tc>
          <w:tcPr>
            <w:tcW w:w="990" w:type="dxa"/>
          </w:tcPr>
          <w:p w14:paraId="10CD0258" w14:textId="77777777" w:rsidR="004A2178" w:rsidRDefault="00000000">
            <w:pPr>
              <w:pStyle w:val="Compact"/>
              <w:jc w:val="right"/>
            </w:pPr>
            <w:r>
              <w:t>Unemp.</w:t>
            </w:r>
          </w:p>
        </w:tc>
        <w:tc>
          <w:tcPr>
            <w:tcW w:w="990" w:type="dxa"/>
          </w:tcPr>
          <w:p w14:paraId="23DFAF81" w14:textId="77777777" w:rsidR="004A2178" w:rsidRDefault="00000000">
            <w:pPr>
              <w:pStyle w:val="Compact"/>
              <w:jc w:val="right"/>
            </w:pPr>
            <w:r>
              <w:t>Aging</w:t>
            </w:r>
          </w:p>
        </w:tc>
        <w:tc>
          <w:tcPr>
            <w:tcW w:w="990" w:type="dxa"/>
          </w:tcPr>
          <w:p w14:paraId="575CB0EB" w14:textId="77777777" w:rsidR="004A2178" w:rsidRDefault="00000000">
            <w:pPr>
              <w:pStyle w:val="Compact"/>
              <w:jc w:val="right"/>
            </w:pPr>
            <w:r>
              <w:t>Income</w:t>
            </w:r>
          </w:p>
        </w:tc>
      </w:tr>
      <w:tr w:rsidR="004A2178" w14:paraId="1F7EB871" w14:textId="77777777">
        <w:tc>
          <w:tcPr>
            <w:tcW w:w="990" w:type="dxa"/>
          </w:tcPr>
          <w:p w14:paraId="7459DFB1" w14:textId="77777777" w:rsidR="004A2178" w:rsidRDefault="00000000">
            <w:pPr>
              <w:pStyle w:val="Compact"/>
            </w:pPr>
            <w:r>
              <w:rPr>
                <w:b/>
                <w:bCs/>
              </w:rPr>
              <w:t>CVD prescription rate</w:t>
            </w:r>
          </w:p>
        </w:tc>
        <w:tc>
          <w:tcPr>
            <w:tcW w:w="990" w:type="dxa"/>
          </w:tcPr>
          <w:p w14:paraId="36E776B2" w14:textId="77777777" w:rsidR="004A2178" w:rsidRDefault="00000000">
            <w:pPr>
              <w:pStyle w:val="Compact"/>
              <w:jc w:val="right"/>
            </w:pPr>
            <w:r>
              <w:t>1.000</w:t>
            </w:r>
          </w:p>
        </w:tc>
        <w:tc>
          <w:tcPr>
            <w:tcW w:w="990" w:type="dxa"/>
          </w:tcPr>
          <w:p w14:paraId="68C16BFE" w14:textId="77777777" w:rsidR="004A2178" w:rsidRDefault="00000000">
            <w:pPr>
              <w:pStyle w:val="Compact"/>
              <w:jc w:val="right"/>
            </w:pPr>
            <w:r>
              <w:t>0.624***</w:t>
            </w:r>
          </w:p>
        </w:tc>
        <w:tc>
          <w:tcPr>
            <w:tcW w:w="990" w:type="dxa"/>
          </w:tcPr>
          <w:p w14:paraId="5F58ED9A" w14:textId="77777777" w:rsidR="004A2178" w:rsidRDefault="00000000">
            <w:pPr>
              <w:pStyle w:val="Compact"/>
              <w:jc w:val="right"/>
            </w:pPr>
            <w:r>
              <w:t>−0.590***</w:t>
            </w:r>
          </w:p>
        </w:tc>
        <w:tc>
          <w:tcPr>
            <w:tcW w:w="990" w:type="dxa"/>
          </w:tcPr>
          <w:p w14:paraId="71A01039" w14:textId="77777777" w:rsidR="004A2178" w:rsidRDefault="00000000">
            <w:pPr>
              <w:pStyle w:val="Compact"/>
              <w:jc w:val="right"/>
            </w:pPr>
            <w:r>
              <w:t>0.185</w:t>
            </w:r>
          </w:p>
        </w:tc>
        <w:tc>
          <w:tcPr>
            <w:tcW w:w="990" w:type="dxa"/>
          </w:tcPr>
          <w:p w14:paraId="249B4E66" w14:textId="77777777" w:rsidR="004A2178" w:rsidRDefault="00000000">
            <w:pPr>
              <w:pStyle w:val="Compact"/>
              <w:jc w:val="right"/>
            </w:pPr>
            <w:r>
              <w:t>0.318*</w:t>
            </w:r>
          </w:p>
        </w:tc>
        <w:tc>
          <w:tcPr>
            <w:tcW w:w="990" w:type="dxa"/>
          </w:tcPr>
          <w:p w14:paraId="751B63E9" w14:textId="77777777" w:rsidR="004A2178" w:rsidRDefault="00000000">
            <w:pPr>
              <w:pStyle w:val="Compact"/>
              <w:jc w:val="right"/>
            </w:pPr>
            <w:r>
              <w:t>0.412**</w:t>
            </w:r>
          </w:p>
        </w:tc>
        <w:tc>
          <w:tcPr>
            <w:tcW w:w="990" w:type="dxa"/>
          </w:tcPr>
          <w:p w14:paraId="36D4DF13" w14:textId="77777777" w:rsidR="004A2178" w:rsidRDefault="00000000">
            <w:pPr>
              <w:pStyle w:val="Compact"/>
              <w:jc w:val="right"/>
            </w:pPr>
            <w:r>
              <w:t>0.126</w:t>
            </w:r>
          </w:p>
        </w:tc>
      </w:tr>
      <w:tr w:rsidR="004A2178" w14:paraId="4178A390" w14:textId="77777777">
        <w:tc>
          <w:tcPr>
            <w:tcW w:w="990" w:type="dxa"/>
          </w:tcPr>
          <w:p w14:paraId="5B76870A" w14:textId="77777777" w:rsidR="004A2178" w:rsidRDefault="00000000">
            <w:pPr>
              <w:pStyle w:val="Compact"/>
            </w:pPr>
            <w:r>
              <w:rPr>
                <w:b/>
                <w:bCs/>
              </w:rPr>
              <w:t>Cold month ratio</w:t>
            </w:r>
          </w:p>
        </w:tc>
        <w:tc>
          <w:tcPr>
            <w:tcW w:w="990" w:type="dxa"/>
          </w:tcPr>
          <w:p w14:paraId="6D27691D" w14:textId="77777777" w:rsidR="004A2178" w:rsidRDefault="00000000">
            <w:pPr>
              <w:pStyle w:val="Compact"/>
              <w:jc w:val="right"/>
            </w:pPr>
            <w:r>
              <w:t>0.624***</w:t>
            </w:r>
          </w:p>
        </w:tc>
        <w:tc>
          <w:tcPr>
            <w:tcW w:w="990" w:type="dxa"/>
          </w:tcPr>
          <w:p w14:paraId="1BF87F9D" w14:textId="77777777" w:rsidR="004A2178" w:rsidRDefault="00000000">
            <w:pPr>
              <w:pStyle w:val="Compact"/>
              <w:jc w:val="right"/>
            </w:pPr>
            <w:r>
              <w:t>1.000</w:t>
            </w:r>
          </w:p>
        </w:tc>
        <w:tc>
          <w:tcPr>
            <w:tcW w:w="990" w:type="dxa"/>
          </w:tcPr>
          <w:p w14:paraId="27446A1A" w14:textId="77777777" w:rsidR="004A2178" w:rsidRDefault="00000000">
            <w:pPr>
              <w:pStyle w:val="Compact"/>
              <w:jc w:val="right"/>
            </w:pPr>
            <w:r>
              <w:t>−0.852***</w:t>
            </w:r>
          </w:p>
        </w:tc>
        <w:tc>
          <w:tcPr>
            <w:tcW w:w="990" w:type="dxa"/>
          </w:tcPr>
          <w:p w14:paraId="06A7268A" w14:textId="77777777" w:rsidR="004A2178" w:rsidRDefault="00000000">
            <w:pPr>
              <w:pStyle w:val="Compact"/>
              <w:jc w:val="right"/>
            </w:pPr>
            <w:r>
              <w:t>−0.048</w:t>
            </w:r>
          </w:p>
        </w:tc>
        <w:tc>
          <w:tcPr>
            <w:tcW w:w="990" w:type="dxa"/>
          </w:tcPr>
          <w:p w14:paraId="557E2D5C" w14:textId="77777777" w:rsidR="004A2178" w:rsidRDefault="00000000">
            <w:pPr>
              <w:pStyle w:val="Compact"/>
              <w:jc w:val="right"/>
            </w:pPr>
            <w:r>
              <w:t>0.142</w:t>
            </w:r>
          </w:p>
        </w:tc>
        <w:tc>
          <w:tcPr>
            <w:tcW w:w="990" w:type="dxa"/>
          </w:tcPr>
          <w:p w14:paraId="649F0939" w14:textId="77777777" w:rsidR="004A2178" w:rsidRDefault="00000000">
            <w:pPr>
              <w:pStyle w:val="Compact"/>
              <w:jc w:val="right"/>
            </w:pPr>
            <w:r>
              <w:t>0.285*</w:t>
            </w:r>
          </w:p>
        </w:tc>
        <w:tc>
          <w:tcPr>
            <w:tcW w:w="990" w:type="dxa"/>
          </w:tcPr>
          <w:p w14:paraId="4431B1A3" w14:textId="77777777" w:rsidR="004A2178" w:rsidRDefault="00000000">
            <w:pPr>
              <w:pStyle w:val="Compact"/>
              <w:jc w:val="right"/>
            </w:pPr>
            <w:r>
              <w:t>−0.213</w:t>
            </w:r>
          </w:p>
        </w:tc>
      </w:tr>
      <w:tr w:rsidR="004A2178" w14:paraId="41BB45EC" w14:textId="77777777">
        <w:tc>
          <w:tcPr>
            <w:tcW w:w="990" w:type="dxa"/>
          </w:tcPr>
          <w:p w14:paraId="4C27B3FD" w14:textId="77777777" w:rsidR="004A2178" w:rsidRDefault="00000000">
            <w:pPr>
              <w:pStyle w:val="Compact"/>
            </w:pPr>
            <w:r>
              <w:rPr>
                <w:b/>
                <w:bCs/>
              </w:rPr>
              <w:t>Mean temperature</w:t>
            </w:r>
          </w:p>
        </w:tc>
        <w:tc>
          <w:tcPr>
            <w:tcW w:w="990" w:type="dxa"/>
          </w:tcPr>
          <w:p w14:paraId="2A30C13C" w14:textId="77777777" w:rsidR="004A2178" w:rsidRDefault="00000000">
            <w:pPr>
              <w:pStyle w:val="Compact"/>
              <w:jc w:val="right"/>
            </w:pPr>
            <w:r>
              <w:t>−0.590***</w:t>
            </w:r>
          </w:p>
        </w:tc>
        <w:tc>
          <w:tcPr>
            <w:tcW w:w="990" w:type="dxa"/>
          </w:tcPr>
          <w:p w14:paraId="2B71E9D9" w14:textId="77777777" w:rsidR="004A2178" w:rsidRDefault="00000000">
            <w:pPr>
              <w:pStyle w:val="Compact"/>
              <w:jc w:val="right"/>
            </w:pPr>
            <w:r>
              <w:t>−0.852***</w:t>
            </w:r>
          </w:p>
        </w:tc>
        <w:tc>
          <w:tcPr>
            <w:tcW w:w="990" w:type="dxa"/>
          </w:tcPr>
          <w:p w14:paraId="4C24F582" w14:textId="77777777" w:rsidR="004A2178" w:rsidRDefault="00000000">
            <w:pPr>
              <w:pStyle w:val="Compact"/>
              <w:jc w:val="right"/>
            </w:pPr>
            <w:r>
              <w:t>1.000</w:t>
            </w:r>
          </w:p>
        </w:tc>
        <w:tc>
          <w:tcPr>
            <w:tcW w:w="990" w:type="dxa"/>
          </w:tcPr>
          <w:p w14:paraId="40EB6799" w14:textId="77777777" w:rsidR="004A2178" w:rsidRDefault="00000000">
            <w:pPr>
              <w:pStyle w:val="Compact"/>
              <w:jc w:val="right"/>
            </w:pPr>
            <w:r>
              <w:t>0.089</w:t>
            </w:r>
          </w:p>
        </w:tc>
        <w:tc>
          <w:tcPr>
            <w:tcW w:w="990" w:type="dxa"/>
          </w:tcPr>
          <w:p w14:paraId="21F23D96" w14:textId="77777777" w:rsidR="004A2178" w:rsidRDefault="00000000">
            <w:pPr>
              <w:pStyle w:val="Compact"/>
              <w:jc w:val="right"/>
            </w:pPr>
            <w:r>
              <w:t>−0.204</w:t>
            </w:r>
          </w:p>
        </w:tc>
        <w:tc>
          <w:tcPr>
            <w:tcW w:w="990" w:type="dxa"/>
          </w:tcPr>
          <w:p w14:paraId="653177A2" w14:textId="77777777" w:rsidR="004A2178" w:rsidRDefault="00000000">
            <w:pPr>
              <w:pStyle w:val="Compact"/>
              <w:jc w:val="right"/>
            </w:pPr>
            <w:r>
              <w:t>−0.235</w:t>
            </w:r>
          </w:p>
        </w:tc>
        <w:tc>
          <w:tcPr>
            <w:tcW w:w="990" w:type="dxa"/>
          </w:tcPr>
          <w:p w14:paraId="35C78161" w14:textId="77777777" w:rsidR="004A2178" w:rsidRDefault="00000000">
            <w:pPr>
              <w:pStyle w:val="Compact"/>
              <w:jc w:val="right"/>
            </w:pPr>
            <w:r>
              <w:t>0.293*</w:t>
            </w:r>
          </w:p>
        </w:tc>
      </w:tr>
      <w:tr w:rsidR="004A2178" w14:paraId="247FBB3B" w14:textId="77777777">
        <w:tc>
          <w:tcPr>
            <w:tcW w:w="990" w:type="dxa"/>
          </w:tcPr>
          <w:p w14:paraId="487646DA" w14:textId="77777777" w:rsidR="004A2178" w:rsidRDefault="00000000">
            <w:pPr>
              <w:pStyle w:val="Compact"/>
            </w:pPr>
            <w:r>
              <w:rPr>
                <w:b/>
                <w:bCs/>
              </w:rPr>
              <w:lastRenderedPageBreak/>
              <w:t>Physicians per 100,000</w:t>
            </w:r>
          </w:p>
        </w:tc>
        <w:tc>
          <w:tcPr>
            <w:tcW w:w="990" w:type="dxa"/>
          </w:tcPr>
          <w:p w14:paraId="7C88E40C" w14:textId="77777777" w:rsidR="004A2178" w:rsidRDefault="00000000">
            <w:pPr>
              <w:pStyle w:val="Compact"/>
              <w:jc w:val="right"/>
            </w:pPr>
            <w:r>
              <w:t>0.185</w:t>
            </w:r>
          </w:p>
        </w:tc>
        <w:tc>
          <w:tcPr>
            <w:tcW w:w="990" w:type="dxa"/>
          </w:tcPr>
          <w:p w14:paraId="2AA18BCF" w14:textId="77777777" w:rsidR="004A2178" w:rsidRDefault="00000000">
            <w:pPr>
              <w:pStyle w:val="Compact"/>
              <w:jc w:val="right"/>
            </w:pPr>
            <w:r>
              <w:t>−0.048</w:t>
            </w:r>
          </w:p>
        </w:tc>
        <w:tc>
          <w:tcPr>
            <w:tcW w:w="990" w:type="dxa"/>
          </w:tcPr>
          <w:p w14:paraId="127D49F6" w14:textId="77777777" w:rsidR="004A2178" w:rsidRDefault="00000000">
            <w:pPr>
              <w:pStyle w:val="Compact"/>
              <w:jc w:val="right"/>
            </w:pPr>
            <w:r>
              <w:t>0.089</w:t>
            </w:r>
          </w:p>
        </w:tc>
        <w:tc>
          <w:tcPr>
            <w:tcW w:w="990" w:type="dxa"/>
          </w:tcPr>
          <w:p w14:paraId="6B8B19F6" w14:textId="77777777" w:rsidR="004A2178" w:rsidRDefault="00000000">
            <w:pPr>
              <w:pStyle w:val="Compact"/>
              <w:jc w:val="right"/>
            </w:pPr>
            <w:r>
              <w:t>1.000</w:t>
            </w:r>
          </w:p>
        </w:tc>
        <w:tc>
          <w:tcPr>
            <w:tcW w:w="990" w:type="dxa"/>
          </w:tcPr>
          <w:p w14:paraId="526FEA07" w14:textId="77777777" w:rsidR="004A2178" w:rsidRDefault="00000000">
            <w:pPr>
              <w:pStyle w:val="Compact"/>
              <w:jc w:val="right"/>
            </w:pPr>
            <w:r>
              <w:t>0.197</w:t>
            </w:r>
          </w:p>
        </w:tc>
        <w:tc>
          <w:tcPr>
            <w:tcW w:w="990" w:type="dxa"/>
          </w:tcPr>
          <w:p w14:paraId="2A71EB88" w14:textId="77777777" w:rsidR="004A2178" w:rsidRDefault="00000000">
            <w:pPr>
              <w:pStyle w:val="Compact"/>
              <w:jc w:val="right"/>
            </w:pPr>
            <w:r>
              <w:t>0.143</w:t>
            </w:r>
          </w:p>
        </w:tc>
        <w:tc>
          <w:tcPr>
            <w:tcW w:w="990" w:type="dxa"/>
          </w:tcPr>
          <w:p w14:paraId="6F6583D7" w14:textId="77777777" w:rsidR="004A2178" w:rsidRDefault="00000000">
            <w:pPr>
              <w:pStyle w:val="Compact"/>
              <w:jc w:val="right"/>
            </w:pPr>
            <w:r>
              <w:t>0.524***</w:t>
            </w:r>
          </w:p>
        </w:tc>
      </w:tr>
      <w:tr w:rsidR="004A2178" w14:paraId="6C854CA3" w14:textId="77777777">
        <w:tc>
          <w:tcPr>
            <w:tcW w:w="990" w:type="dxa"/>
          </w:tcPr>
          <w:p w14:paraId="533E7E1B" w14:textId="77777777" w:rsidR="004A2178" w:rsidRDefault="00000000">
            <w:pPr>
              <w:pStyle w:val="Compact"/>
            </w:pPr>
            <w:r>
              <w:rPr>
                <w:b/>
                <w:bCs/>
              </w:rPr>
              <w:t>Unemployment rate</w:t>
            </w:r>
          </w:p>
        </w:tc>
        <w:tc>
          <w:tcPr>
            <w:tcW w:w="990" w:type="dxa"/>
          </w:tcPr>
          <w:p w14:paraId="1F78AA14" w14:textId="77777777" w:rsidR="004A2178" w:rsidRDefault="00000000">
            <w:pPr>
              <w:pStyle w:val="Compact"/>
              <w:jc w:val="right"/>
            </w:pPr>
            <w:r>
              <w:t>0.318*</w:t>
            </w:r>
          </w:p>
        </w:tc>
        <w:tc>
          <w:tcPr>
            <w:tcW w:w="990" w:type="dxa"/>
          </w:tcPr>
          <w:p w14:paraId="732173B1" w14:textId="77777777" w:rsidR="004A2178" w:rsidRDefault="00000000">
            <w:pPr>
              <w:pStyle w:val="Compact"/>
              <w:jc w:val="right"/>
            </w:pPr>
            <w:r>
              <w:t>0.142</w:t>
            </w:r>
          </w:p>
        </w:tc>
        <w:tc>
          <w:tcPr>
            <w:tcW w:w="990" w:type="dxa"/>
          </w:tcPr>
          <w:p w14:paraId="65603081" w14:textId="77777777" w:rsidR="004A2178" w:rsidRDefault="00000000">
            <w:pPr>
              <w:pStyle w:val="Compact"/>
              <w:jc w:val="right"/>
            </w:pPr>
            <w:r>
              <w:t>−0.204</w:t>
            </w:r>
          </w:p>
        </w:tc>
        <w:tc>
          <w:tcPr>
            <w:tcW w:w="990" w:type="dxa"/>
          </w:tcPr>
          <w:p w14:paraId="3631B196" w14:textId="77777777" w:rsidR="004A2178" w:rsidRDefault="00000000">
            <w:pPr>
              <w:pStyle w:val="Compact"/>
              <w:jc w:val="right"/>
            </w:pPr>
            <w:r>
              <w:t>0.197</w:t>
            </w:r>
          </w:p>
        </w:tc>
        <w:tc>
          <w:tcPr>
            <w:tcW w:w="990" w:type="dxa"/>
          </w:tcPr>
          <w:p w14:paraId="2B769079" w14:textId="77777777" w:rsidR="004A2178" w:rsidRDefault="00000000">
            <w:pPr>
              <w:pStyle w:val="Compact"/>
              <w:jc w:val="right"/>
            </w:pPr>
            <w:r>
              <w:t>1.000</w:t>
            </w:r>
          </w:p>
        </w:tc>
        <w:tc>
          <w:tcPr>
            <w:tcW w:w="990" w:type="dxa"/>
          </w:tcPr>
          <w:p w14:paraId="7E9148A5" w14:textId="77777777" w:rsidR="004A2178" w:rsidRDefault="00000000">
            <w:pPr>
              <w:pStyle w:val="Compact"/>
              <w:jc w:val="right"/>
            </w:pPr>
            <w:r>
              <w:t>0.128</w:t>
            </w:r>
          </w:p>
        </w:tc>
        <w:tc>
          <w:tcPr>
            <w:tcW w:w="990" w:type="dxa"/>
          </w:tcPr>
          <w:p w14:paraId="269CE837" w14:textId="77777777" w:rsidR="004A2178" w:rsidRDefault="00000000">
            <w:pPr>
              <w:pStyle w:val="Compact"/>
              <w:jc w:val="right"/>
            </w:pPr>
            <w:r>
              <w:t>−0.095</w:t>
            </w:r>
          </w:p>
        </w:tc>
      </w:tr>
      <w:tr w:rsidR="004A2178" w14:paraId="53FBAE6E" w14:textId="77777777">
        <w:tc>
          <w:tcPr>
            <w:tcW w:w="990" w:type="dxa"/>
          </w:tcPr>
          <w:p w14:paraId="50D9EE11" w14:textId="77777777" w:rsidR="004A2178" w:rsidRDefault="00000000">
            <w:pPr>
              <w:pStyle w:val="Compact"/>
            </w:pPr>
            <w:r>
              <w:rPr>
                <w:b/>
                <w:bCs/>
              </w:rPr>
              <w:t>Aging rate</w:t>
            </w:r>
          </w:p>
        </w:tc>
        <w:tc>
          <w:tcPr>
            <w:tcW w:w="990" w:type="dxa"/>
          </w:tcPr>
          <w:p w14:paraId="538EEEE5" w14:textId="77777777" w:rsidR="004A2178" w:rsidRDefault="00000000">
            <w:pPr>
              <w:pStyle w:val="Compact"/>
              <w:jc w:val="right"/>
            </w:pPr>
            <w:r>
              <w:t>0.412**</w:t>
            </w:r>
          </w:p>
        </w:tc>
        <w:tc>
          <w:tcPr>
            <w:tcW w:w="990" w:type="dxa"/>
          </w:tcPr>
          <w:p w14:paraId="2D6FB689" w14:textId="77777777" w:rsidR="004A2178" w:rsidRDefault="00000000">
            <w:pPr>
              <w:pStyle w:val="Compact"/>
              <w:jc w:val="right"/>
            </w:pPr>
            <w:r>
              <w:t>0.285*</w:t>
            </w:r>
          </w:p>
        </w:tc>
        <w:tc>
          <w:tcPr>
            <w:tcW w:w="990" w:type="dxa"/>
          </w:tcPr>
          <w:p w14:paraId="31BA7C76" w14:textId="77777777" w:rsidR="004A2178" w:rsidRDefault="00000000">
            <w:pPr>
              <w:pStyle w:val="Compact"/>
              <w:jc w:val="right"/>
            </w:pPr>
            <w:r>
              <w:t>−0.235</w:t>
            </w:r>
          </w:p>
        </w:tc>
        <w:tc>
          <w:tcPr>
            <w:tcW w:w="990" w:type="dxa"/>
          </w:tcPr>
          <w:p w14:paraId="5A459AC6" w14:textId="77777777" w:rsidR="004A2178" w:rsidRDefault="00000000">
            <w:pPr>
              <w:pStyle w:val="Compact"/>
              <w:jc w:val="right"/>
            </w:pPr>
            <w:r>
              <w:t>0.143</w:t>
            </w:r>
          </w:p>
        </w:tc>
        <w:tc>
          <w:tcPr>
            <w:tcW w:w="990" w:type="dxa"/>
          </w:tcPr>
          <w:p w14:paraId="3B4F8AF3" w14:textId="77777777" w:rsidR="004A2178" w:rsidRDefault="00000000">
            <w:pPr>
              <w:pStyle w:val="Compact"/>
              <w:jc w:val="right"/>
            </w:pPr>
            <w:r>
              <w:t>0.128</w:t>
            </w:r>
          </w:p>
        </w:tc>
        <w:tc>
          <w:tcPr>
            <w:tcW w:w="990" w:type="dxa"/>
          </w:tcPr>
          <w:p w14:paraId="75927121" w14:textId="77777777" w:rsidR="004A2178" w:rsidRDefault="00000000">
            <w:pPr>
              <w:pStyle w:val="Compact"/>
              <w:jc w:val="right"/>
            </w:pPr>
            <w:r>
              <w:t>1.000</w:t>
            </w:r>
          </w:p>
        </w:tc>
        <w:tc>
          <w:tcPr>
            <w:tcW w:w="990" w:type="dxa"/>
          </w:tcPr>
          <w:p w14:paraId="0E0AEB90" w14:textId="77777777" w:rsidR="004A2178" w:rsidRDefault="00000000">
            <w:pPr>
              <w:pStyle w:val="Compact"/>
              <w:jc w:val="right"/>
            </w:pPr>
            <w:r>
              <w:t>−0.372**</w:t>
            </w:r>
          </w:p>
        </w:tc>
      </w:tr>
      <w:tr w:rsidR="004A2178" w14:paraId="1BDCEDF5" w14:textId="77777777">
        <w:tc>
          <w:tcPr>
            <w:tcW w:w="990" w:type="dxa"/>
          </w:tcPr>
          <w:p w14:paraId="795F97DC" w14:textId="77777777" w:rsidR="004A2178" w:rsidRDefault="00000000">
            <w:pPr>
              <w:pStyle w:val="Compact"/>
            </w:pPr>
            <w:r>
              <w:rPr>
                <w:b/>
                <w:bCs/>
              </w:rPr>
              <w:t>Per capita income</w:t>
            </w:r>
          </w:p>
        </w:tc>
        <w:tc>
          <w:tcPr>
            <w:tcW w:w="990" w:type="dxa"/>
          </w:tcPr>
          <w:p w14:paraId="6351D452" w14:textId="77777777" w:rsidR="004A2178" w:rsidRDefault="00000000">
            <w:pPr>
              <w:pStyle w:val="Compact"/>
              <w:jc w:val="right"/>
            </w:pPr>
            <w:r>
              <w:t>0.126</w:t>
            </w:r>
          </w:p>
        </w:tc>
        <w:tc>
          <w:tcPr>
            <w:tcW w:w="990" w:type="dxa"/>
          </w:tcPr>
          <w:p w14:paraId="554B424D" w14:textId="77777777" w:rsidR="004A2178" w:rsidRDefault="00000000">
            <w:pPr>
              <w:pStyle w:val="Compact"/>
              <w:jc w:val="right"/>
            </w:pPr>
            <w:r>
              <w:t>−0.213</w:t>
            </w:r>
          </w:p>
        </w:tc>
        <w:tc>
          <w:tcPr>
            <w:tcW w:w="990" w:type="dxa"/>
          </w:tcPr>
          <w:p w14:paraId="433B6F1F" w14:textId="77777777" w:rsidR="004A2178" w:rsidRDefault="00000000">
            <w:pPr>
              <w:pStyle w:val="Compact"/>
              <w:jc w:val="right"/>
            </w:pPr>
            <w:r>
              <w:t>0.293*</w:t>
            </w:r>
          </w:p>
        </w:tc>
        <w:tc>
          <w:tcPr>
            <w:tcW w:w="990" w:type="dxa"/>
          </w:tcPr>
          <w:p w14:paraId="5A22C85C" w14:textId="77777777" w:rsidR="004A2178" w:rsidRDefault="00000000">
            <w:pPr>
              <w:pStyle w:val="Compact"/>
              <w:jc w:val="right"/>
            </w:pPr>
            <w:r>
              <w:t>0.524***</w:t>
            </w:r>
          </w:p>
        </w:tc>
        <w:tc>
          <w:tcPr>
            <w:tcW w:w="990" w:type="dxa"/>
          </w:tcPr>
          <w:p w14:paraId="036D51EF" w14:textId="77777777" w:rsidR="004A2178" w:rsidRDefault="00000000">
            <w:pPr>
              <w:pStyle w:val="Compact"/>
              <w:jc w:val="right"/>
            </w:pPr>
            <w:r>
              <w:t>−0.095</w:t>
            </w:r>
          </w:p>
        </w:tc>
        <w:tc>
          <w:tcPr>
            <w:tcW w:w="990" w:type="dxa"/>
          </w:tcPr>
          <w:p w14:paraId="13ECEF81" w14:textId="77777777" w:rsidR="004A2178" w:rsidRDefault="00000000">
            <w:pPr>
              <w:pStyle w:val="Compact"/>
              <w:jc w:val="right"/>
            </w:pPr>
            <w:r>
              <w:t>−0.372**</w:t>
            </w:r>
          </w:p>
        </w:tc>
        <w:tc>
          <w:tcPr>
            <w:tcW w:w="990" w:type="dxa"/>
          </w:tcPr>
          <w:p w14:paraId="03ACEBC1" w14:textId="77777777" w:rsidR="004A2178" w:rsidRDefault="00000000">
            <w:pPr>
              <w:pStyle w:val="Compact"/>
              <w:jc w:val="right"/>
            </w:pPr>
            <w:r>
              <w:t>1.000</w:t>
            </w:r>
          </w:p>
        </w:tc>
      </w:tr>
    </w:tbl>
    <w:p w14:paraId="05A1953E" w14:textId="77777777" w:rsidR="004A2178" w:rsidRDefault="00000000">
      <w:pPr>
        <w:pStyle w:val="a0"/>
      </w:pPr>
      <w:r>
        <w:rPr>
          <w:i/>
          <w:iCs/>
        </w:rPr>
        <w:t>p</w:t>
      </w:r>
      <w:r>
        <w:t xml:space="preserve"> &lt; 0.05; ** </w:t>
      </w:r>
      <w:r>
        <w:rPr>
          <w:i/>
          <w:iCs/>
        </w:rPr>
        <w:t>p</w:t>
      </w:r>
      <w:r>
        <w:t xml:space="preserve"> &lt; 0.01; *** </w:t>
      </w:r>
      <w:r>
        <w:rPr>
          <w:i/>
          <w:iCs/>
        </w:rPr>
        <w:t>p</w:t>
      </w:r>
      <w:r>
        <w:t xml:space="preserve"> &lt; 0.001. CVD Rate = CVD prescription rate (per 100,000 population); Cold Ratio = cold month ratio (proportion of months &lt;10°C); Temp. = mean annual temperature (°C); Unemp. = unemployment rate (%).</w:t>
      </w:r>
    </w:p>
    <w:p w14:paraId="22E718B5" w14:textId="77777777" w:rsidR="004A2178" w:rsidRDefault="00000000">
      <w:r>
        <w:pict w14:anchorId="039A5F8B">
          <v:rect id="_x0000_i1034" style="width:0;height:1.5pt" o:hralign="center" o:hrstd="t" o:hr="t"/>
        </w:pict>
      </w:r>
    </w:p>
    <w:p w14:paraId="16AB9F8A" w14:textId="77777777" w:rsidR="004A2178" w:rsidRDefault="00000000">
      <w:pPr>
        <w:pStyle w:val="2"/>
      </w:pPr>
      <w:bookmarkStart w:id="39" w:name="Xe1ecdb5373a01ff7d419020e9ad3dc1e519ef64"/>
      <w:bookmarkEnd w:id="38"/>
      <w:r>
        <w:t>Table 3. Univariable OLS Regression: Temperature Indicators and CVD Prescription Rate (N = 47)</w:t>
      </w:r>
    </w:p>
    <w:tbl>
      <w:tblPr>
        <w:tblStyle w:val="Table"/>
        <w:tblW w:w="0" w:type="auto"/>
        <w:tblLook w:val="0020" w:firstRow="1" w:lastRow="0" w:firstColumn="0" w:lastColumn="0" w:noHBand="0" w:noVBand="0"/>
      </w:tblPr>
      <w:tblGrid>
        <w:gridCol w:w="3087"/>
        <w:gridCol w:w="1514"/>
        <w:gridCol w:w="801"/>
        <w:gridCol w:w="978"/>
      </w:tblGrid>
      <w:tr w:rsidR="004A2178" w14:paraId="15C60246" w14:textId="77777777" w:rsidTr="004A2178">
        <w:trPr>
          <w:cnfStyle w:val="100000000000" w:firstRow="1" w:lastRow="0" w:firstColumn="0" w:lastColumn="0" w:oddVBand="0" w:evenVBand="0" w:oddHBand="0" w:evenHBand="0" w:firstRowFirstColumn="0" w:firstRowLastColumn="0" w:lastRowFirstColumn="0" w:lastRowLastColumn="0"/>
          <w:tblHeader/>
        </w:trPr>
        <w:tc>
          <w:tcPr>
            <w:tcW w:w="0" w:type="auto"/>
          </w:tcPr>
          <w:p w14:paraId="5114250F" w14:textId="77777777" w:rsidR="004A2178" w:rsidRDefault="00000000">
            <w:pPr>
              <w:pStyle w:val="Compact"/>
            </w:pPr>
            <w:r>
              <w:t>Temperature indicator</w:t>
            </w:r>
          </w:p>
        </w:tc>
        <w:tc>
          <w:tcPr>
            <w:tcW w:w="0" w:type="auto"/>
          </w:tcPr>
          <w:p w14:paraId="0CDE8592" w14:textId="77777777" w:rsidR="004A2178" w:rsidRDefault="00000000">
            <w:pPr>
              <w:pStyle w:val="Compact"/>
              <w:jc w:val="right"/>
            </w:pPr>
            <w:r>
              <w:t>β</w:t>
            </w:r>
          </w:p>
        </w:tc>
        <w:tc>
          <w:tcPr>
            <w:tcW w:w="0" w:type="auto"/>
          </w:tcPr>
          <w:p w14:paraId="4FB6F2B4" w14:textId="77777777" w:rsidR="004A2178" w:rsidRDefault="00000000">
            <w:pPr>
              <w:pStyle w:val="Compact"/>
              <w:jc w:val="right"/>
            </w:pPr>
            <w:r>
              <w:t>R²</w:t>
            </w:r>
          </w:p>
        </w:tc>
        <w:tc>
          <w:tcPr>
            <w:tcW w:w="0" w:type="auto"/>
          </w:tcPr>
          <w:p w14:paraId="3889B3DD" w14:textId="77777777" w:rsidR="004A2178" w:rsidRDefault="00000000">
            <w:pPr>
              <w:pStyle w:val="Compact"/>
              <w:jc w:val="right"/>
            </w:pPr>
            <w:r>
              <w:rPr>
                <w:i/>
                <w:iCs/>
              </w:rPr>
              <w:t>p</w:t>
            </w:r>
          </w:p>
        </w:tc>
      </w:tr>
      <w:tr w:rsidR="004A2178" w14:paraId="558B9FB3" w14:textId="77777777">
        <w:tc>
          <w:tcPr>
            <w:tcW w:w="0" w:type="auto"/>
          </w:tcPr>
          <w:p w14:paraId="6851FADD" w14:textId="77777777" w:rsidR="004A2178" w:rsidRDefault="00000000">
            <w:pPr>
              <w:pStyle w:val="Compact"/>
            </w:pPr>
            <w:r>
              <w:rPr>
                <w:b/>
                <w:bCs/>
              </w:rPr>
              <w:t>Cold month ratio</w:t>
            </w:r>
          </w:p>
        </w:tc>
        <w:tc>
          <w:tcPr>
            <w:tcW w:w="0" w:type="auto"/>
          </w:tcPr>
          <w:p w14:paraId="2C11DC69" w14:textId="77777777" w:rsidR="004A2178" w:rsidRDefault="00000000">
            <w:pPr>
              <w:pStyle w:val="Compact"/>
              <w:jc w:val="right"/>
            </w:pPr>
            <w:r>
              <w:rPr>
                <w:b/>
                <w:bCs/>
              </w:rPr>
              <w:t>+15,495,069</w:t>
            </w:r>
          </w:p>
        </w:tc>
        <w:tc>
          <w:tcPr>
            <w:tcW w:w="0" w:type="auto"/>
          </w:tcPr>
          <w:p w14:paraId="44415FBE" w14:textId="77777777" w:rsidR="004A2178" w:rsidRDefault="00000000">
            <w:pPr>
              <w:pStyle w:val="Compact"/>
              <w:jc w:val="right"/>
            </w:pPr>
            <w:r>
              <w:rPr>
                <w:b/>
                <w:bCs/>
              </w:rPr>
              <w:t>0.390</w:t>
            </w:r>
          </w:p>
        </w:tc>
        <w:tc>
          <w:tcPr>
            <w:tcW w:w="0" w:type="auto"/>
          </w:tcPr>
          <w:p w14:paraId="1B02CD53" w14:textId="77777777" w:rsidR="004A2178" w:rsidRDefault="00000000">
            <w:pPr>
              <w:pStyle w:val="Compact"/>
              <w:jc w:val="right"/>
            </w:pPr>
            <w:r>
              <w:rPr>
                <w:b/>
                <w:bCs/>
              </w:rPr>
              <w:t>&lt; 0.001</w:t>
            </w:r>
          </w:p>
        </w:tc>
      </w:tr>
      <w:tr w:rsidR="004A2178" w14:paraId="0570E939" w14:textId="77777777">
        <w:tc>
          <w:tcPr>
            <w:tcW w:w="0" w:type="auto"/>
          </w:tcPr>
          <w:p w14:paraId="687A78DB" w14:textId="77777777" w:rsidR="004A2178" w:rsidRDefault="00000000">
            <w:pPr>
              <w:pStyle w:val="Compact"/>
            </w:pPr>
            <w:r>
              <w:t>Mean annual temperature</w:t>
            </w:r>
          </w:p>
        </w:tc>
        <w:tc>
          <w:tcPr>
            <w:tcW w:w="0" w:type="auto"/>
          </w:tcPr>
          <w:p w14:paraId="3D7B59CD" w14:textId="77777777" w:rsidR="004A2178" w:rsidRDefault="00000000">
            <w:pPr>
              <w:pStyle w:val="Compact"/>
              <w:jc w:val="right"/>
            </w:pPr>
            <w:r>
              <w:t>−658,731</w:t>
            </w:r>
          </w:p>
        </w:tc>
        <w:tc>
          <w:tcPr>
            <w:tcW w:w="0" w:type="auto"/>
          </w:tcPr>
          <w:p w14:paraId="4030EB0F" w14:textId="77777777" w:rsidR="004A2178" w:rsidRDefault="00000000">
            <w:pPr>
              <w:pStyle w:val="Compact"/>
              <w:jc w:val="right"/>
            </w:pPr>
            <w:r>
              <w:t>0.348</w:t>
            </w:r>
          </w:p>
        </w:tc>
        <w:tc>
          <w:tcPr>
            <w:tcW w:w="0" w:type="auto"/>
          </w:tcPr>
          <w:p w14:paraId="2FB67345" w14:textId="77777777" w:rsidR="004A2178" w:rsidRDefault="00000000">
            <w:pPr>
              <w:pStyle w:val="Compact"/>
              <w:jc w:val="right"/>
            </w:pPr>
            <w:r>
              <w:t>&lt; 0.001</w:t>
            </w:r>
          </w:p>
        </w:tc>
      </w:tr>
      <w:tr w:rsidR="004A2178" w14:paraId="56649D1F" w14:textId="77777777">
        <w:tc>
          <w:tcPr>
            <w:tcW w:w="0" w:type="auto"/>
          </w:tcPr>
          <w:p w14:paraId="57AFEA4D" w14:textId="77777777" w:rsidR="004A2178" w:rsidRDefault="00000000">
            <w:pPr>
              <w:pStyle w:val="Compact"/>
            </w:pPr>
            <w:r>
              <w:t>Winter mean temperature</w:t>
            </w:r>
          </w:p>
        </w:tc>
        <w:tc>
          <w:tcPr>
            <w:tcW w:w="0" w:type="auto"/>
          </w:tcPr>
          <w:p w14:paraId="12BC6777" w14:textId="77777777" w:rsidR="004A2178" w:rsidRDefault="00000000">
            <w:pPr>
              <w:pStyle w:val="Compact"/>
              <w:jc w:val="right"/>
            </w:pPr>
            <w:r>
              <w:t>−427,717</w:t>
            </w:r>
          </w:p>
        </w:tc>
        <w:tc>
          <w:tcPr>
            <w:tcW w:w="0" w:type="auto"/>
          </w:tcPr>
          <w:p w14:paraId="60D9EB63" w14:textId="77777777" w:rsidR="004A2178" w:rsidRDefault="00000000">
            <w:pPr>
              <w:pStyle w:val="Compact"/>
              <w:jc w:val="right"/>
            </w:pPr>
            <w:r>
              <w:t>0.277</w:t>
            </w:r>
          </w:p>
        </w:tc>
        <w:tc>
          <w:tcPr>
            <w:tcW w:w="0" w:type="auto"/>
          </w:tcPr>
          <w:p w14:paraId="232826C8" w14:textId="77777777" w:rsidR="004A2178" w:rsidRDefault="00000000">
            <w:pPr>
              <w:pStyle w:val="Compact"/>
              <w:jc w:val="right"/>
            </w:pPr>
            <w:r>
              <w:t>&lt; 0.001</w:t>
            </w:r>
          </w:p>
        </w:tc>
      </w:tr>
      <w:tr w:rsidR="004A2178" w14:paraId="59BA0BCA" w14:textId="77777777">
        <w:tc>
          <w:tcPr>
            <w:tcW w:w="0" w:type="auto"/>
          </w:tcPr>
          <w:p w14:paraId="6CEC9FA0" w14:textId="77777777" w:rsidR="004A2178" w:rsidRDefault="00000000">
            <w:pPr>
              <w:pStyle w:val="Compact"/>
            </w:pPr>
            <w:r>
              <w:t>Temperature variability (SD)</w:t>
            </w:r>
          </w:p>
        </w:tc>
        <w:tc>
          <w:tcPr>
            <w:tcW w:w="0" w:type="auto"/>
          </w:tcPr>
          <w:p w14:paraId="4CB4B682" w14:textId="77777777" w:rsidR="004A2178" w:rsidRDefault="00000000">
            <w:pPr>
              <w:pStyle w:val="Compact"/>
              <w:jc w:val="right"/>
            </w:pPr>
            <w:r>
              <w:t>+1,067,129</w:t>
            </w:r>
          </w:p>
        </w:tc>
        <w:tc>
          <w:tcPr>
            <w:tcW w:w="0" w:type="auto"/>
          </w:tcPr>
          <w:p w14:paraId="4BCA7CF5" w14:textId="77777777" w:rsidR="004A2178" w:rsidRDefault="00000000">
            <w:pPr>
              <w:pStyle w:val="Compact"/>
              <w:jc w:val="right"/>
            </w:pPr>
            <w:r>
              <w:t>0.097</w:t>
            </w:r>
          </w:p>
        </w:tc>
        <w:tc>
          <w:tcPr>
            <w:tcW w:w="0" w:type="auto"/>
          </w:tcPr>
          <w:p w14:paraId="322893C7" w14:textId="77777777" w:rsidR="004A2178" w:rsidRDefault="00000000">
            <w:pPr>
              <w:pStyle w:val="Compact"/>
              <w:jc w:val="right"/>
            </w:pPr>
            <w:r>
              <w:t>0.033</w:t>
            </w:r>
          </w:p>
        </w:tc>
      </w:tr>
      <w:tr w:rsidR="004A2178" w14:paraId="00A306A7" w14:textId="77777777">
        <w:tc>
          <w:tcPr>
            <w:tcW w:w="0" w:type="auto"/>
          </w:tcPr>
          <w:p w14:paraId="51631DB2" w14:textId="77777777" w:rsidR="004A2178" w:rsidRDefault="00000000">
            <w:pPr>
              <w:pStyle w:val="Compact"/>
            </w:pPr>
            <w:r>
              <w:t>Annual temperature range</w:t>
            </w:r>
          </w:p>
        </w:tc>
        <w:tc>
          <w:tcPr>
            <w:tcW w:w="0" w:type="auto"/>
          </w:tcPr>
          <w:p w14:paraId="62772348" w14:textId="77777777" w:rsidR="004A2178" w:rsidRDefault="00000000">
            <w:pPr>
              <w:pStyle w:val="Compact"/>
              <w:jc w:val="right"/>
            </w:pPr>
            <w:r>
              <w:t>+300,036</w:t>
            </w:r>
          </w:p>
        </w:tc>
        <w:tc>
          <w:tcPr>
            <w:tcW w:w="0" w:type="auto"/>
          </w:tcPr>
          <w:p w14:paraId="0F917765" w14:textId="77777777" w:rsidR="004A2178" w:rsidRDefault="00000000">
            <w:pPr>
              <w:pStyle w:val="Compact"/>
              <w:jc w:val="right"/>
            </w:pPr>
            <w:r>
              <w:t>0.061</w:t>
            </w:r>
          </w:p>
        </w:tc>
        <w:tc>
          <w:tcPr>
            <w:tcW w:w="0" w:type="auto"/>
          </w:tcPr>
          <w:p w14:paraId="5A9E294B" w14:textId="77777777" w:rsidR="004A2178" w:rsidRDefault="00000000">
            <w:pPr>
              <w:pStyle w:val="Compact"/>
              <w:jc w:val="right"/>
            </w:pPr>
            <w:r>
              <w:t>0.093</w:t>
            </w:r>
          </w:p>
        </w:tc>
      </w:tr>
    </w:tbl>
    <w:p w14:paraId="0942F76F" w14:textId="77777777" w:rsidR="004A2178" w:rsidRDefault="00000000">
      <w:pPr>
        <w:pStyle w:val="a0"/>
      </w:pPr>
      <w:r>
        <w:rPr>
          <w:b/>
          <w:bCs/>
        </w:rPr>
        <w:t>Bold</w:t>
      </w:r>
      <w:r>
        <w:t xml:space="preserve"> indicates the selected primary exposure (highest R²).</w:t>
      </w:r>
    </w:p>
    <w:p w14:paraId="691B0ABB" w14:textId="77777777" w:rsidR="004A2178" w:rsidRDefault="00000000">
      <w:r>
        <w:pict w14:anchorId="545015C3">
          <v:rect id="_x0000_i1035" style="width:0;height:1.5pt" o:hralign="center" o:hrstd="t" o:hr="t"/>
        </w:pict>
      </w:r>
    </w:p>
    <w:p w14:paraId="4D77901F" w14:textId="77777777" w:rsidR="004A2178" w:rsidRDefault="00000000">
      <w:pPr>
        <w:pStyle w:val="2"/>
      </w:pPr>
      <w:bookmarkStart w:id="40" w:name="X63a00f34c6a3027e1ed0143561864a6bc3b3541"/>
      <w:bookmarkEnd w:id="39"/>
      <w:r>
        <w:t>Table 4. Multivariable OLS Regression: CVD Pharmaceutical Demand (N = 47)</w:t>
      </w:r>
    </w:p>
    <w:tbl>
      <w:tblPr>
        <w:tblStyle w:val="Table"/>
        <w:tblW w:w="5000" w:type="pct"/>
        <w:tblLayout w:type="fixed"/>
        <w:tblLook w:val="0020" w:firstRow="1" w:lastRow="0" w:firstColumn="0" w:lastColumn="0" w:noHBand="0" w:noVBand="0"/>
      </w:tblPr>
      <w:tblGrid>
        <w:gridCol w:w="1767"/>
        <w:gridCol w:w="1767"/>
        <w:gridCol w:w="1768"/>
        <w:gridCol w:w="1768"/>
        <w:gridCol w:w="1768"/>
      </w:tblGrid>
      <w:tr w:rsidR="004A2178" w14:paraId="4352C3D1" w14:textId="77777777" w:rsidTr="004A2178">
        <w:trPr>
          <w:cnfStyle w:val="100000000000" w:firstRow="1" w:lastRow="0" w:firstColumn="0" w:lastColumn="0" w:oddVBand="0" w:evenVBand="0" w:oddHBand="0" w:evenHBand="0" w:firstRowFirstColumn="0" w:firstRowLastColumn="0" w:lastRowFirstColumn="0" w:lastRowLastColumn="0"/>
          <w:tblHeader/>
        </w:trPr>
        <w:tc>
          <w:tcPr>
            <w:tcW w:w="1584" w:type="dxa"/>
          </w:tcPr>
          <w:p w14:paraId="7EE0D1DF" w14:textId="77777777" w:rsidR="004A2178" w:rsidRDefault="00000000">
            <w:pPr>
              <w:pStyle w:val="Compact"/>
            </w:pPr>
            <w:r>
              <w:t>Variable</w:t>
            </w:r>
          </w:p>
        </w:tc>
        <w:tc>
          <w:tcPr>
            <w:tcW w:w="1584" w:type="dxa"/>
          </w:tcPr>
          <w:p w14:paraId="11E04556" w14:textId="77777777" w:rsidR="004A2178" w:rsidRDefault="00000000">
            <w:pPr>
              <w:pStyle w:val="Compact"/>
              <w:jc w:val="right"/>
            </w:pPr>
            <w:r>
              <w:t>β</w:t>
            </w:r>
          </w:p>
        </w:tc>
        <w:tc>
          <w:tcPr>
            <w:tcW w:w="1584" w:type="dxa"/>
          </w:tcPr>
          <w:p w14:paraId="63D0A851" w14:textId="77777777" w:rsidR="004A2178" w:rsidRDefault="00000000">
            <w:pPr>
              <w:pStyle w:val="Compact"/>
              <w:jc w:val="right"/>
            </w:pPr>
            <w:r>
              <w:t>SE</w:t>
            </w:r>
          </w:p>
        </w:tc>
        <w:tc>
          <w:tcPr>
            <w:tcW w:w="1584" w:type="dxa"/>
          </w:tcPr>
          <w:p w14:paraId="56D60E7B" w14:textId="77777777" w:rsidR="004A2178" w:rsidRDefault="00000000">
            <w:pPr>
              <w:pStyle w:val="Compact"/>
              <w:jc w:val="right"/>
            </w:pPr>
            <w:r>
              <w:rPr>
                <w:i/>
                <w:iCs/>
              </w:rPr>
              <w:t>t</w:t>
            </w:r>
          </w:p>
        </w:tc>
        <w:tc>
          <w:tcPr>
            <w:tcW w:w="1584" w:type="dxa"/>
          </w:tcPr>
          <w:p w14:paraId="6CF66377" w14:textId="77777777" w:rsidR="004A2178" w:rsidRDefault="00000000">
            <w:pPr>
              <w:pStyle w:val="Compact"/>
              <w:jc w:val="right"/>
            </w:pPr>
            <w:r>
              <w:rPr>
                <w:i/>
                <w:iCs/>
              </w:rPr>
              <w:t>p</w:t>
            </w:r>
          </w:p>
        </w:tc>
      </w:tr>
      <w:tr w:rsidR="004A2178" w14:paraId="52A24736" w14:textId="77777777">
        <w:tc>
          <w:tcPr>
            <w:tcW w:w="1584" w:type="dxa"/>
          </w:tcPr>
          <w:p w14:paraId="592EFEDE" w14:textId="77777777" w:rsidR="004A2178" w:rsidRDefault="00000000">
            <w:pPr>
              <w:pStyle w:val="Compact"/>
            </w:pPr>
            <w:r>
              <w:t>Intercept</w:t>
            </w:r>
          </w:p>
        </w:tc>
        <w:tc>
          <w:tcPr>
            <w:tcW w:w="1584" w:type="dxa"/>
          </w:tcPr>
          <w:p w14:paraId="7AF47199" w14:textId="77777777" w:rsidR="004A2178" w:rsidRDefault="00000000">
            <w:pPr>
              <w:pStyle w:val="Compact"/>
              <w:jc w:val="right"/>
            </w:pPr>
            <w:r>
              <w:t>−4,375,024</w:t>
            </w:r>
          </w:p>
        </w:tc>
        <w:tc>
          <w:tcPr>
            <w:tcW w:w="1584" w:type="dxa"/>
          </w:tcPr>
          <w:p w14:paraId="0EB6EA74" w14:textId="77777777" w:rsidR="004A2178" w:rsidRDefault="00000000">
            <w:pPr>
              <w:pStyle w:val="Compact"/>
              <w:jc w:val="right"/>
            </w:pPr>
            <w:r>
              <w:t>6,091,539</w:t>
            </w:r>
          </w:p>
        </w:tc>
        <w:tc>
          <w:tcPr>
            <w:tcW w:w="1584" w:type="dxa"/>
          </w:tcPr>
          <w:p w14:paraId="1A4D1EF6" w14:textId="77777777" w:rsidR="004A2178" w:rsidRDefault="00000000">
            <w:pPr>
              <w:pStyle w:val="Compact"/>
              <w:jc w:val="right"/>
            </w:pPr>
            <w:r>
              <w:t>−0.72</w:t>
            </w:r>
          </w:p>
        </w:tc>
        <w:tc>
          <w:tcPr>
            <w:tcW w:w="1584" w:type="dxa"/>
          </w:tcPr>
          <w:p w14:paraId="1BA98D66" w14:textId="77777777" w:rsidR="004A2178" w:rsidRDefault="00000000">
            <w:pPr>
              <w:pStyle w:val="Compact"/>
              <w:jc w:val="right"/>
            </w:pPr>
            <w:r>
              <w:t>0.477</w:t>
            </w:r>
          </w:p>
        </w:tc>
      </w:tr>
      <w:tr w:rsidR="004A2178" w14:paraId="2FF1E6FB" w14:textId="77777777">
        <w:tc>
          <w:tcPr>
            <w:tcW w:w="1584" w:type="dxa"/>
          </w:tcPr>
          <w:p w14:paraId="3692D58F" w14:textId="77777777" w:rsidR="004A2178" w:rsidRDefault="00000000">
            <w:pPr>
              <w:pStyle w:val="Compact"/>
            </w:pPr>
            <w:r>
              <w:rPr>
                <w:b/>
                <w:bCs/>
              </w:rPr>
              <w:lastRenderedPageBreak/>
              <w:t>Cold month ratio</w:t>
            </w:r>
          </w:p>
        </w:tc>
        <w:tc>
          <w:tcPr>
            <w:tcW w:w="1584" w:type="dxa"/>
          </w:tcPr>
          <w:p w14:paraId="3A179ADA" w14:textId="77777777" w:rsidR="004A2178" w:rsidRDefault="00000000">
            <w:pPr>
              <w:pStyle w:val="Compact"/>
              <w:jc w:val="right"/>
            </w:pPr>
            <w:r>
              <w:rPr>
                <w:b/>
                <w:bCs/>
              </w:rPr>
              <w:t>+10,450,255</w:t>
            </w:r>
          </w:p>
        </w:tc>
        <w:tc>
          <w:tcPr>
            <w:tcW w:w="1584" w:type="dxa"/>
          </w:tcPr>
          <w:p w14:paraId="369C771C" w14:textId="77777777" w:rsidR="004A2178" w:rsidRDefault="00000000">
            <w:pPr>
              <w:pStyle w:val="Compact"/>
              <w:jc w:val="right"/>
            </w:pPr>
            <w:r>
              <w:rPr>
                <w:b/>
                <w:bCs/>
              </w:rPr>
              <w:t>2,500,392</w:t>
            </w:r>
          </w:p>
        </w:tc>
        <w:tc>
          <w:tcPr>
            <w:tcW w:w="1584" w:type="dxa"/>
          </w:tcPr>
          <w:p w14:paraId="2B9245D0" w14:textId="77777777" w:rsidR="004A2178" w:rsidRDefault="00000000">
            <w:pPr>
              <w:pStyle w:val="Compact"/>
              <w:jc w:val="right"/>
            </w:pPr>
            <w:r>
              <w:rPr>
                <w:b/>
                <w:bCs/>
              </w:rPr>
              <w:t>4.18</w:t>
            </w:r>
          </w:p>
        </w:tc>
        <w:tc>
          <w:tcPr>
            <w:tcW w:w="1584" w:type="dxa"/>
          </w:tcPr>
          <w:p w14:paraId="258D11D5" w14:textId="77777777" w:rsidR="004A2178" w:rsidRDefault="00000000">
            <w:pPr>
              <w:pStyle w:val="Compact"/>
              <w:jc w:val="right"/>
            </w:pPr>
            <w:r>
              <w:rPr>
                <w:b/>
                <w:bCs/>
              </w:rPr>
              <w:t>&lt; 0.001</w:t>
            </w:r>
          </w:p>
        </w:tc>
      </w:tr>
      <w:tr w:rsidR="004A2178" w14:paraId="4B7CE8C0" w14:textId="77777777">
        <w:tc>
          <w:tcPr>
            <w:tcW w:w="1584" w:type="dxa"/>
          </w:tcPr>
          <w:p w14:paraId="6E36F369" w14:textId="77777777" w:rsidR="004A2178" w:rsidRDefault="00000000">
            <w:pPr>
              <w:pStyle w:val="Compact"/>
            </w:pPr>
            <w:r>
              <w:t>Physicians per 100,000</w:t>
            </w:r>
          </w:p>
        </w:tc>
        <w:tc>
          <w:tcPr>
            <w:tcW w:w="1584" w:type="dxa"/>
          </w:tcPr>
          <w:p w14:paraId="4D25073E" w14:textId="77777777" w:rsidR="004A2178" w:rsidRDefault="00000000">
            <w:pPr>
              <w:pStyle w:val="Compact"/>
              <w:jc w:val="right"/>
            </w:pPr>
            <w:r>
              <w:t>−4,388</w:t>
            </w:r>
          </w:p>
        </w:tc>
        <w:tc>
          <w:tcPr>
            <w:tcW w:w="1584" w:type="dxa"/>
          </w:tcPr>
          <w:p w14:paraId="2093B85B" w14:textId="77777777" w:rsidR="004A2178" w:rsidRDefault="00000000">
            <w:pPr>
              <w:pStyle w:val="Compact"/>
              <w:jc w:val="right"/>
            </w:pPr>
            <w:r>
              <w:t>7,619</w:t>
            </w:r>
          </w:p>
        </w:tc>
        <w:tc>
          <w:tcPr>
            <w:tcW w:w="1584" w:type="dxa"/>
          </w:tcPr>
          <w:p w14:paraId="5E1444F0" w14:textId="77777777" w:rsidR="004A2178" w:rsidRDefault="00000000">
            <w:pPr>
              <w:pStyle w:val="Compact"/>
              <w:jc w:val="right"/>
            </w:pPr>
            <w:r>
              <w:t>−0.58</w:t>
            </w:r>
          </w:p>
        </w:tc>
        <w:tc>
          <w:tcPr>
            <w:tcW w:w="1584" w:type="dxa"/>
          </w:tcPr>
          <w:p w14:paraId="4AA588C6" w14:textId="77777777" w:rsidR="004A2178" w:rsidRDefault="00000000">
            <w:pPr>
              <w:pStyle w:val="Compact"/>
              <w:jc w:val="right"/>
            </w:pPr>
            <w:r>
              <w:t>0.568</w:t>
            </w:r>
          </w:p>
        </w:tc>
      </w:tr>
      <w:tr w:rsidR="004A2178" w14:paraId="59210622" w14:textId="77777777">
        <w:tc>
          <w:tcPr>
            <w:tcW w:w="1584" w:type="dxa"/>
          </w:tcPr>
          <w:p w14:paraId="11F9D8E8" w14:textId="77777777" w:rsidR="004A2178" w:rsidRDefault="00000000">
            <w:pPr>
              <w:pStyle w:val="Compact"/>
            </w:pPr>
            <w:r>
              <w:rPr>
                <w:b/>
                <w:bCs/>
              </w:rPr>
              <w:t>Unemployment rate</w:t>
            </w:r>
          </w:p>
        </w:tc>
        <w:tc>
          <w:tcPr>
            <w:tcW w:w="1584" w:type="dxa"/>
          </w:tcPr>
          <w:p w14:paraId="3902F6E0" w14:textId="77777777" w:rsidR="004A2178" w:rsidRDefault="00000000">
            <w:pPr>
              <w:pStyle w:val="Compact"/>
              <w:jc w:val="right"/>
            </w:pPr>
            <w:r>
              <w:rPr>
                <w:b/>
                <w:bCs/>
              </w:rPr>
              <w:t>+1,300,753</w:t>
            </w:r>
          </w:p>
        </w:tc>
        <w:tc>
          <w:tcPr>
            <w:tcW w:w="1584" w:type="dxa"/>
          </w:tcPr>
          <w:p w14:paraId="41C5CADD" w14:textId="77777777" w:rsidR="004A2178" w:rsidRDefault="00000000">
            <w:pPr>
              <w:pStyle w:val="Compact"/>
              <w:jc w:val="right"/>
            </w:pPr>
            <w:r>
              <w:rPr>
                <w:b/>
                <w:bCs/>
              </w:rPr>
              <w:t>557,377</w:t>
            </w:r>
          </w:p>
        </w:tc>
        <w:tc>
          <w:tcPr>
            <w:tcW w:w="1584" w:type="dxa"/>
          </w:tcPr>
          <w:p w14:paraId="5C0451CE" w14:textId="77777777" w:rsidR="004A2178" w:rsidRDefault="00000000">
            <w:pPr>
              <w:pStyle w:val="Compact"/>
              <w:jc w:val="right"/>
            </w:pPr>
            <w:r>
              <w:rPr>
                <w:b/>
                <w:bCs/>
              </w:rPr>
              <w:t>2.33</w:t>
            </w:r>
          </w:p>
        </w:tc>
        <w:tc>
          <w:tcPr>
            <w:tcW w:w="1584" w:type="dxa"/>
          </w:tcPr>
          <w:p w14:paraId="2CC33DA7" w14:textId="77777777" w:rsidR="004A2178" w:rsidRDefault="00000000">
            <w:pPr>
              <w:pStyle w:val="Compact"/>
              <w:jc w:val="right"/>
            </w:pPr>
            <w:r>
              <w:rPr>
                <w:b/>
                <w:bCs/>
              </w:rPr>
              <w:t>0.025</w:t>
            </w:r>
          </w:p>
        </w:tc>
      </w:tr>
      <w:tr w:rsidR="004A2178" w14:paraId="0BF138E2" w14:textId="77777777">
        <w:tc>
          <w:tcPr>
            <w:tcW w:w="1584" w:type="dxa"/>
          </w:tcPr>
          <w:p w14:paraId="62F537B7" w14:textId="77777777" w:rsidR="004A2178" w:rsidRDefault="00000000">
            <w:pPr>
              <w:pStyle w:val="Compact"/>
            </w:pPr>
            <w:r>
              <w:rPr>
                <w:b/>
                <w:bCs/>
              </w:rPr>
              <w:t>Aging rate</w:t>
            </w:r>
          </w:p>
        </w:tc>
        <w:tc>
          <w:tcPr>
            <w:tcW w:w="1584" w:type="dxa"/>
          </w:tcPr>
          <w:p w14:paraId="746760DD" w14:textId="77777777" w:rsidR="004A2178" w:rsidRDefault="00000000">
            <w:pPr>
              <w:pStyle w:val="Compact"/>
              <w:jc w:val="right"/>
            </w:pPr>
            <w:r>
              <w:rPr>
                <w:b/>
                <w:bCs/>
              </w:rPr>
              <w:t>+499,769</w:t>
            </w:r>
          </w:p>
        </w:tc>
        <w:tc>
          <w:tcPr>
            <w:tcW w:w="1584" w:type="dxa"/>
          </w:tcPr>
          <w:p w14:paraId="3CFBE204" w14:textId="77777777" w:rsidR="004A2178" w:rsidRDefault="00000000">
            <w:pPr>
              <w:pStyle w:val="Compact"/>
              <w:jc w:val="right"/>
            </w:pPr>
            <w:r>
              <w:rPr>
                <w:b/>
                <w:bCs/>
              </w:rPr>
              <w:t>95,898</w:t>
            </w:r>
          </w:p>
        </w:tc>
        <w:tc>
          <w:tcPr>
            <w:tcW w:w="1584" w:type="dxa"/>
          </w:tcPr>
          <w:p w14:paraId="261A844D" w14:textId="77777777" w:rsidR="004A2178" w:rsidRDefault="00000000">
            <w:pPr>
              <w:pStyle w:val="Compact"/>
              <w:jc w:val="right"/>
            </w:pPr>
            <w:r>
              <w:rPr>
                <w:b/>
                <w:bCs/>
              </w:rPr>
              <w:t>5.21</w:t>
            </w:r>
          </w:p>
        </w:tc>
        <w:tc>
          <w:tcPr>
            <w:tcW w:w="1584" w:type="dxa"/>
          </w:tcPr>
          <w:p w14:paraId="6252576F" w14:textId="77777777" w:rsidR="004A2178" w:rsidRDefault="00000000">
            <w:pPr>
              <w:pStyle w:val="Compact"/>
              <w:jc w:val="right"/>
            </w:pPr>
            <w:r>
              <w:rPr>
                <w:b/>
                <w:bCs/>
              </w:rPr>
              <w:t>&lt; 0.001</w:t>
            </w:r>
          </w:p>
        </w:tc>
      </w:tr>
      <w:tr w:rsidR="004A2178" w14:paraId="147C30DB" w14:textId="77777777">
        <w:tc>
          <w:tcPr>
            <w:tcW w:w="1584" w:type="dxa"/>
          </w:tcPr>
          <w:p w14:paraId="401FFDBC" w14:textId="77777777" w:rsidR="004A2178" w:rsidRDefault="00000000">
            <w:pPr>
              <w:pStyle w:val="Compact"/>
            </w:pPr>
            <w:r>
              <w:t>Per capita income</w:t>
            </w:r>
          </w:p>
        </w:tc>
        <w:tc>
          <w:tcPr>
            <w:tcW w:w="1584" w:type="dxa"/>
          </w:tcPr>
          <w:p w14:paraId="2655E1A7" w14:textId="77777777" w:rsidR="004A2178" w:rsidRDefault="00000000">
            <w:pPr>
              <w:pStyle w:val="Compact"/>
              <w:jc w:val="right"/>
            </w:pPr>
            <w:r>
              <w:t>+6,325</w:t>
            </w:r>
          </w:p>
        </w:tc>
        <w:tc>
          <w:tcPr>
            <w:tcW w:w="1584" w:type="dxa"/>
          </w:tcPr>
          <w:p w14:paraId="47BE7AAA" w14:textId="77777777" w:rsidR="004A2178" w:rsidRDefault="00000000">
            <w:pPr>
              <w:pStyle w:val="Compact"/>
              <w:jc w:val="right"/>
            </w:pPr>
            <w:r>
              <w:t>7,277</w:t>
            </w:r>
          </w:p>
        </w:tc>
        <w:tc>
          <w:tcPr>
            <w:tcW w:w="1584" w:type="dxa"/>
          </w:tcPr>
          <w:p w14:paraId="7174B208" w14:textId="77777777" w:rsidR="004A2178" w:rsidRDefault="00000000">
            <w:pPr>
              <w:pStyle w:val="Compact"/>
              <w:jc w:val="right"/>
            </w:pPr>
            <w:r>
              <w:t>0.87</w:t>
            </w:r>
          </w:p>
        </w:tc>
        <w:tc>
          <w:tcPr>
            <w:tcW w:w="1584" w:type="dxa"/>
          </w:tcPr>
          <w:p w14:paraId="24DEDACA" w14:textId="77777777" w:rsidR="004A2178" w:rsidRDefault="00000000">
            <w:pPr>
              <w:pStyle w:val="Compact"/>
              <w:jc w:val="right"/>
            </w:pPr>
            <w:r>
              <w:t>0.390</w:t>
            </w:r>
          </w:p>
        </w:tc>
      </w:tr>
    </w:tbl>
    <w:p w14:paraId="7B6B013F" w14:textId="77777777" w:rsidR="004A2178" w:rsidRDefault="00000000">
      <w:pPr>
        <w:pStyle w:val="a0"/>
      </w:pPr>
      <w:r>
        <w:t>R² = 0.667, Adjusted R² = 0.626, F = 16.4 (</w:t>
      </w:r>
      <w:r>
        <w:rPr>
          <w:i/>
          <w:iCs/>
        </w:rPr>
        <w:t>p</w:t>
      </w:r>
      <w:r>
        <w:t xml:space="preserve"> &lt; 0.001). Shapiro-Wilk </w:t>
      </w:r>
      <w:r>
        <w:rPr>
          <w:i/>
          <w:iCs/>
        </w:rPr>
        <w:t>p</w:t>
      </w:r>
      <w:r>
        <w:t xml:space="preserve"> = 0.107 (normal residuals), Breusch-Pagan </w:t>
      </w:r>
      <w:r>
        <w:rPr>
          <w:i/>
          <w:iCs/>
        </w:rPr>
        <w:t>p</w:t>
      </w:r>
      <w:r>
        <w:t xml:space="preserve"> = 0.633 (homoscedastic), Durbin-Watson = 2.43. </w:t>
      </w:r>
      <w:r>
        <w:rPr>
          <w:b/>
          <w:bCs/>
        </w:rPr>
        <w:t>Bold</w:t>
      </w:r>
      <w:r>
        <w:t xml:space="preserve"> indicates </w:t>
      </w:r>
      <w:r>
        <w:rPr>
          <w:i/>
          <w:iCs/>
        </w:rPr>
        <w:t>p</w:t>
      </w:r>
      <w:r>
        <w:t xml:space="preserve"> &lt; 0.05.</w:t>
      </w:r>
    </w:p>
    <w:p w14:paraId="531BB6DC" w14:textId="77777777" w:rsidR="004A2178" w:rsidRDefault="00000000">
      <w:r>
        <w:pict w14:anchorId="1F5FB182">
          <v:rect id="_x0000_i1036" style="width:0;height:1.5pt" o:hralign="center" o:hrstd="t" o:hr="t"/>
        </w:pict>
      </w:r>
    </w:p>
    <w:p w14:paraId="69430231" w14:textId="77777777" w:rsidR="004A2178" w:rsidRDefault="00000000">
      <w:pPr>
        <w:pStyle w:val="2"/>
      </w:pPr>
      <w:bookmarkStart w:id="41" w:name="X8426ccc4850e7a5e982682fa1a9b6b02ba6e750"/>
      <w:bookmarkEnd w:id="40"/>
      <w:r>
        <w:t>Table 5. Spatial Autocorrelation Assessment (N = 47)</w:t>
      </w:r>
    </w:p>
    <w:tbl>
      <w:tblPr>
        <w:tblStyle w:val="Table"/>
        <w:tblW w:w="0" w:type="auto"/>
        <w:tblLook w:val="0020" w:firstRow="1" w:lastRow="0" w:firstColumn="0" w:lastColumn="0" w:noHBand="0" w:noVBand="0"/>
      </w:tblPr>
      <w:tblGrid>
        <w:gridCol w:w="2455"/>
        <w:gridCol w:w="4750"/>
      </w:tblGrid>
      <w:tr w:rsidR="004A2178" w14:paraId="1CDA544B" w14:textId="77777777" w:rsidTr="004A2178">
        <w:trPr>
          <w:cnfStyle w:val="100000000000" w:firstRow="1" w:lastRow="0" w:firstColumn="0" w:lastColumn="0" w:oddVBand="0" w:evenVBand="0" w:oddHBand="0" w:evenHBand="0" w:firstRowFirstColumn="0" w:firstRowLastColumn="0" w:lastRowFirstColumn="0" w:lastRowLastColumn="0"/>
          <w:tblHeader/>
        </w:trPr>
        <w:tc>
          <w:tcPr>
            <w:tcW w:w="0" w:type="auto"/>
          </w:tcPr>
          <w:p w14:paraId="4AB7FDB2" w14:textId="77777777" w:rsidR="004A2178" w:rsidRDefault="00000000">
            <w:pPr>
              <w:pStyle w:val="Compact"/>
            </w:pPr>
            <w:r>
              <w:t>Statistic</w:t>
            </w:r>
          </w:p>
        </w:tc>
        <w:tc>
          <w:tcPr>
            <w:tcW w:w="0" w:type="auto"/>
          </w:tcPr>
          <w:p w14:paraId="0F8C8516" w14:textId="77777777" w:rsidR="004A2178" w:rsidRDefault="00000000">
            <w:pPr>
              <w:pStyle w:val="Compact"/>
              <w:jc w:val="right"/>
            </w:pPr>
            <w:r>
              <w:t>Value</w:t>
            </w:r>
          </w:p>
        </w:tc>
      </w:tr>
      <w:tr w:rsidR="004A2178" w14:paraId="106A884A" w14:textId="77777777">
        <w:tc>
          <w:tcPr>
            <w:tcW w:w="0" w:type="auto"/>
          </w:tcPr>
          <w:p w14:paraId="7EE076AB" w14:textId="77777777" w:rsidR="004A2178" w:rsidRDefault="00000000">
            <w:pPr>
              <w:pStyle w:val="Compact"/>
            </w:pPr>
            <w:r>
              <w:t>Global Moran’s I</w:t>
            </w:r>
          </w:p>
        </w:tc>
        <w:tc>
          <w:tcPr>
            <w:tcW w:w="0" w:type="auto"/>
          </w:tcPr>
          <w:p w14:paraId="04356B85" w14:textId="77777777" w:rsidR="004A2178" w:rsidRDefault="00000000">
            <w:pPr>
              <w:pStyle w:val="Compact"/>
              <w:jc w:val="right"/>
            </w:pPr>
            <w:r>
              <w:t>0.091</w:t>
            </w:r>
          </w:p>
        </w:tc>
      </w:tr>
      <w:tr w:rsidR="004A2178" w14:paraId="5200ABD7" w14:textId="77777777">
        <w:tc>
          <w:tcPr>
            <w:tcW w:w="0" w:type="auto"/>
          </w:tcPr>
          <w:p w14:paraId="61FB307C" w14:textId="77777777" w:rsidR="004A2178" w:rsidRDefault="00000000">
            <w:pPr>
              <w:pStyle w:val="Compact"/>
            </w:pPr>
            <w:r>
              <w:t>z-score</w:t>
            </w:r>
          </w:p>
        </w:tc>
        <w:tc>
          <w:tcPr>
            <w:tcW w:w="0" w:type="auto"/>
          </w:tcPr>
          <w:p w14:paraId="7C7FE853" w14:textId="77777777" w:rsidR="004A2178" w:rsidRDefault="00000000">
            <w:pPr>
              <w:pStyle w:val="Compact"/>
              <w:jc w:val="right"/>
            </w:pPr>
            <w:r>
              <w:t>1.316</w:t>
            </w:r>
          </w:p>
        </w:tc>
      </w:tr>
      <w:tr w:rsidR="004A2178" w14:paraId="10709BAB" w14:textId="77777777">
        <w:tc>
          <w:tcPr>
            <w:tcW w:w="0" w:type="auto"/>
          </w:tcPr>
          <w:p w14:paraId="7ECD4253" w14:textId="77777777" w:rsidR="004A2178" w:rsidRDefault="00000000">
            <w:pPr>
              <w:pStyle w:val="Compact"/>
            </w:pPr>
            <w:r>
              <w:rPr>
                <w:i/>
                <w:iCs/>
              </w:rPr>
              <w:t>p</w:t>
            </w:r>
            <w:r>
              <w:t xml:space="preserve"> (permutation, 999×)</w:t>
            </w:r>
          </w:p>
        </w:tc>
        <w:tc>
          <w:tcPr>
            <w:tcW w:w="0" w:type="auto"/>
          </w:tcPr>
          <w:p w14:paraId="23766796" w14:textId="77777777" w:rsidR="004A2178" w:rsidRDefault="00000000">
            <w:pPr>
              <w:pStyle w:val="Compact"/>
              <w:jc w:val="right"/>
            </w:pPr>
            <w:r>
              <w:t>0.114</w:t>
            </w:r>
          </w:p>
        </w:tc>
      </w:tr>
      <w:tr w:rsidR="004A2178" w14:paraId="4B053FBE" w14:textId="77777777">
        <w:tc>
          <w:tcPr>
            <w:tcW w:w="0" w:type="auto"/>
          </w:tcPr>
          <w:p w14:paraId="4B10AF1C" w14:textId="77777777" w:rsidR="004A2178" w:rsidRDefault="00000000">
            <w:pPr>
              <w:pStyle w:val="Compact"/>
            </w:pPr>
            <w:r>
              <w:t>Interpretation</w:t>
            </w:r>
          </w:p>
        </w:tc>
        <w:tc>
          <w:tcPr>
            <w:tcW w:w="0" w:type="auto"/>
          </w:tcPr>
          <w:p w14:paraId="5A1AA3A8" w14:textId="77777777" w:rsidR="004A2178" w:rsidRDefault="00000000">
            <w:pPr>
              <w:pStyle w:val="Compact"/>
              <w:jc w:val="right"/>
            </w:pPr>
            <w:r>
              <w:t>No significant spatial clustering</w:t>
            </w:r>
          </w:p>
        </w:tc>
      </w:tr>
      <w:tr w:rsidR="004A2178" w14:paraId="2ADE7E07" w14:textId="77777777">
        <w:tc>
          <w:tcPr>
            <w:tcW w:w="0" w:type="auto"/>
          </w:tcPr>
          <w:p w14:paraId="236B4274" w14:textId="77777777" w:rsidR="004A2178" w:rsidRDefault="00000000">
            <w:pPr>
              <w:pStyle w:val="Compact"/>
            </w:pPr>
            <w:r>
              <w:t>Spatial weights</w:t>
            </w:r>
          </w:p>
        </w:tc>
        <w:tc>
          <w:tcPr>
            <w:tcW w:w="0" w:type="auto"/>
          </w:tcPr>
          <w:p w14:paraId="64E11B3A" w14:textId="77777777" w:rsidR="004A2178" w:rsidRDefault="00000000">
            <w:pPr>
              <w:pStyle w:val="Compact"/>
              <w:jc w:val="right"/>
            </w:pPr>
            <w:r>
              <w:t>KNN (k = 4), symmetrized, row-standardized</w:t>
            </w:r>
          </w:p>
        </w:tc>
      </w:tr>
    </w:tbl>
    <w:p w14:paraId="349592FB" w14:textId="77777777" w:rsidR="004A2178" w:rsidRDefault="00000000">
      <w:r>
        <w:pict w14:anchorId="35298FA2">
          <v:rect id="_x0000_i1037" style="width:0;height:1.5pt" o:hralign="center" o:hrstd="t" o:hr="t"/>
        </w:pict>
      </w:r>
    </w:p>
    <w:p w14:paraId="6934891D" w14:textId="77777777" w:rsidR="004A2178" w:rsidRDefault="00000000">
      <w:pPr>
        <w:pStyle w:val="2"/>
      </w:pPr>
      <w:bookmarkStart w:id="42" w:name="figure-legends"/>
      <w:bookmarkEnd w:id="41"/>
      <w:r>
        <w:t>Figure Legends</w:t>
      </w:r>
    </w:p>
    <w:p w14:paraId="1F7D06E3" w14:textId="77777777" w:rsidR="004A2178" w:rsidRDefault="00000000">
      <w:pPr>
        <w:pStyle w:val="FirstParagraph"/>
      </w:pPr>
      <w:r>
        <w:rPr>
          <w:b/>
          <w:bCs/>
        </w:rPr>
        <w:t>Figure 1. Choropleth map of CVD prescription rate (per 100,000 population) across 47 Japanese prefectures.</w:t>
      </w:r>
    </w:p>
    <w:p w14:paraId="1A7DF4C7" w14:textId="77777777" w:rsidR="004A2178" w:rsidRDefault="00000000">
      <w:pPr>
        <w:pStyle w:val="a0"/>
      </w:pPr>
      <w:r>
        <w:rPr>
          <w:b/>
          <w:bCs/>
        </w:rPr>
        <w:t>Figure 2.</w:t>
      </w:r>
      <w:r>
        <w:t xml:space="preserve"> Residual diagnostics plot for the multivariable OLS model.</w:t>
      </w:r>
    </w:p>
    <w:p w14:paraId="6D24469D" w14:textId="77777777" w:rsidR="004A2178" w:rsidRDefault="00000000">
      <w:pPr>
        <w:pStyle w:val="2"/>
      </w:pPr>
      <w:bookmarkStart w:id="43" w:name="figure-1"/>
      <w:bookmarkEnd w:id="42"/>
      <w:r>
        <w:lastRenderedPageBreak/>
        <w:t>Figure 1</w:t>
      </w:r>
    </w:p>
    <w:p w14:paraId="23B5EA73" w14:textId="77777777" w:rsidR="004A2178" w:rsidRDefault="00000000">
      <w:pPr>
        <w:pStyle w:val="FirstParagraph"/>
      </w:pPr>
      <w:r>
        <w:rPr>
          <w:noProof/>
        </w:rPr>
        <w:drawing>
          <wp:inline distT="0" distB="0" distL="0" distR="0" wp14:anchorId="167817AA" wp14:editId="1830981F">
            <wp:extent cx="5334000" cy="4660553"/>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results/figures/choropleth_cvd_percapita.png"/>
                    <pic:cNvPicPr>
                      <a:picLocks noChangeAspect="1" noChangeArrowheads="1"/>
                    </pic:cNvPicPr>
                  </pic:nvPicPr>
                  <pic:blipFill>
                    <a:blip r:embed="rId5"/>
                    <a:stretch>
                      <a:fillRect/>
                    </a:stretch>
                  </pic:blipFill>
                  <pic:spPr bwMode="auto">
                    <a:xfrm>
                      <a:off x="0" y="0"/>
                      <a:ext cx="5334000" cy="4660553"/>
                    </a:xfrm>
                    <a:prstGeom prst="rect">
                      <a:avLst/>
                    </a:prstGeom>
                    <a:noFill/>
                    <a:ln w="9525">
                      <a:noFill/>
                      <a:headEnd/>
                      <a:tailEnd/>
                    </a:ln>
                  </pic:spPr>
                </pic:pic>
              </a:graphicData>
            </a:graphic>
          </wp:inline>
        </w:drawing>
      </w:r>
    </w:p>
    <w:p w14:paraId="14F00988" w14:textId="77777777" w:rsidR="004A2178" w:rsidRDefault="00000000">
      <w:pPr>
        <w:pStyle w:val="2"/>
      </w:pPr>
      <w:bookmarkStart w:id="44" w:name="figure-2"/>
      <w:bookmarkEnd w:id="43"/>
      <w:r>
        <w:lastRenderedPageBreak/>
        <w:t>Figure 2</w:t>
      </w:r>
    </w:p>
    <w:p w14:paraId="57AA7262" w14:textId="77777777" w:rsidR="004A2178" w:rsidRDefault="00000000">
      <w:pPr>
        <w:pStyle w:val="FirstParagraph"/>
      </w:pPr>
      <w:r>
        <w:rPr>
          <w:noProof/>
        </w:rPr>
        <w:drawing>
          <wp:inline distT="0" distB="0" distL="0" distR="0" wp14:anchorId="1B489C0E" wp14:editId="4B9780CE">
            <wp:extent cx="5334000" cy="4596987"/>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results/figures/residual_diagnostics_mean_temp_avg_multi.png"/>
                    <pic:cNvPicPr>
                      <a:picLocks noChangeAspect="1" noChangeArrowheads="1"/>
                    </pic:cNvPicPr>
                  </pic:nvPicPr>
                  <pic:blipFill>
                    <a:blip r:embed="rId6"/>
                    <a:stretch>
                      <a:fillRect/>
                    </a:stretch>
                  </pic:blipFill>
                  <pic:spPr bwMode="auto">
                    <a:xfrm>
                      <a:off x="0" y="0"/>
                      <a:ext cx="5334000" cy="4596987"/>
                    </a:xfrm>
                    <a:prstGeom prst="rect">
                      <a:avLst/>
                    </a:prstGeom>
                    <a:noFill/>
                    <a:ln w="9525">
                      <a:noFill/>
                      <a:headEnd/>
                      <a:tailEnd/>
                    </a:ln>
                  </pic:spPr>
                </pic:pic>
              </a:graphicData>
            </a:graphic>
          </wp:inline>
        </w:drawing>
      </w:r>
      <w:bookmarkEnd w:id="36"/>
      <w:bookmarkEnd w:id="44"/>
    </w:p>
    <w:sectPr w:rsidR="004A2178">
      <w:footnotePr>
        <w:numRestart w:val="eachSect"/>
      </w:footnotePr>
      <w:pgSz w:w="12240" w:h="15840"/>
      <w:pgMar w:top="1985" w:right="1701" w:bottom="1701"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70E977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716F3C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21"/>
    <w:multiLevelType w:val="multilevel"/>
    <w:tmpl w:val="2332902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85177606">
    <w:abstractNumId w:val="0"/>
  </w:num>
  <w:num w:numId="2" w16cid:durableId="268776558">
    <w:abstractNumId w:val="1"/>
  </w:num>
  <w:num w:numId="3" w16cid:durableId="1197619910">
    <w:abstractNumId w:val="1"/>
  </w:num>
  <w:num w:numId="4" w16cid:durableId="11885256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178"/>
    <w:rsid w:val="000043D4"/>
    <w:rsid w:val="00227944"/>
    <w:rsid w:val="003A36C3"/>
    <w:rsid w:val="003D0912"/>
    <w:rsid w:val="004A21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B9C36D9"/>
  <w15:docId w15:val="{5E6B3FD1-A050-460B-BCFD-88CAC4060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4640</Words>
  <Characters>26449</Characters>
  <Application>Microsoft Office Word</Application>
  <DocSecurity>0</DocSecurity>
  <Lines>220</Lines>
  <Paragraphs>62</Paragraphs>
  <ScaleCrop>false</ScaleCrop>
  <Company/>
  <LinksUpToDate>false</LinksUpToDate>
  <CharactersWithSpaces>31027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Association between Cold Month Exposure and Cardiovascular Disease Prescription Rate: A Nationwide Ecological Study in Japan</dc:title>
  <dc:creator>[Author 1];[Author 2]</dc:creator>
  <cp:keywords/>
  <cp:lastModifiedBy>竜郎 齋藤</cp:lastModifiedBy>
  <cp:revision>4</cp:revision>
  <dcterms:created xsi:type="dcterms:W3CDTF">2026-06-16T06:52:00Z</dcterms:created>
  <dcterms:modified xsi:type="dcterms:W3CDTF">2026-06-16T07:02:00Z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2026-03-05</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