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Yu Gothic"/>
          <w:b/>
          <w:color w:val="0B2545"/>
          <w:sz w:val="36"/>
        </w:rPr>
        <w:t>Supplementary Materials for Known Censoring, Not Missingness</w:t>
      </w:r>
    </w:p>
    <w:p>
      <w:pPr>
        <w:pStyle w:val="Heading1"/>
      </w:pPr>
      <w:r>
        <w:t>Supplementary Table S1. Release-by-release inventory and disclosure-rule variant</w:t>
      </w:r>
    </w:p>
    <w:tbl>
      <w:tblPr>
        <w:tblStyle w:val="TableGrid"/>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1337"/>
        <w:gridCol w:w="1337"/>
        <w:gridCol w:w="1337"/>
        <w:gridCol w:w="1337"/>
        <w:gridCol w:w="1337"/>
        <w:gridCol w:w="1337"/>
        <w:gridCol w:w="1337"/>
      </w:tblGrid>
      <w:tr>
        <w:tc>
          <w:tcPr>
            <w:tcW w:type="dxa" w:w="1337"/>
            <w:vAlign w:val="center"/>
            <w:shd w:fill="F2F4F7"/>
          </w:tcPr>
          <w:p>
            <w:pPr>
              <w:spacing w:after="40"/>
            </w:pPr>
            <w:r>
              <w:rPr>
                <w:rFonts w:ascii="Calibri" w:hAnsi="Calibri" w:eastAsia="Yu Gothic"/>
                <w:b/>
                <w:sz w:val="16"/>
              </w:rPr>
              <w:t>NDB release</w:t>
            </w:r>
          </w:p>
        </w:tc>
        <w:tc>
          <w:tcPr>
            <w:tcW w:type="dxa" w:w="1337"/>
            <w:vAlign w:val="center"/>
            <w:shd w:fill="F2F4F7"/>
          </w:tcPr>
          <w:p>
            <w:pPr>
              <w:spacing w:after="40"/>
            </w:pPr>
            <w:r>
              <w:rPr>
                <w:rFonts w:ascii="Calibri" w:hAnsi="Calibri" w:eastAsia="Yu Gothic"/>
                <w:b/>
                <w:sz w:val="16"/>
              </w:rPr>
              <w:t>Fiscal year</w:t>
            </w:r>
          </w:p>
        </w:tc>
        <w:tc>
          <w:tcPr>
            <w:tcW w:type="dxa" w:w="1337"/>
            <w:vAlign w:val="center"/>
            <w:shd w:fill="F2F4F7"/>
          </w:tcPr>
          <w:p>
            <w:pPr>
              <w:spacing w:after="40"/>
            </w:pPr>
            <w:r>
              <w:rPr>
                <w:rFonts w:ascii="Calibri" w:hAnsi="Calibri" w:eastAsia="Yu Gothic"/>
                <w:b/>
                <w:sz w:val="16"/>
              </w:rPr>
              <w:t>Retained</w:t>
            </w:r>
          </w:p>
        </w:tc>
        <w:tc>
          <w:tcPr>
            <w:tcW w:type="dxa" w:w="1337"/>
            <w:vAlign w:val="center"/>
            <w:shd w:fill="F2F4F7"/>
          </w:tcPr>
          <w:p>
            <w:pPr>
              <w:spacing w:after="40"/>
            </w:pPr>
            <w:r>
              <w:rPr>
                <w:rFonts w:ascii="Calibri" w:hAnsi="Calibri" w:eastAsia="Yu Gothic"/>
                <w:b/>
                <w:sz w:val="16"/>
              </w:rPr>
              <w:t>Metric</w:t>
            </w:r>
          </w:p>
        </w:tc>
        <w:tc>
          <w:tcPr>
            <w:tcW w:type="dxa" w:w="1337"/>
            <w:vAlign w:val="center"/>
            <w:shd w:fill="F2F4F7"/>
          </w:tcPr>
          <w:p>
            <w:pPr>
              <w:spacing w:after="40"/>
            </w:pPr>
            <w:r>
              <w:rPr>
                <w:rFonts w:ascii="Calibri" w:hAnsi="Calibri" w:eastAsia="Yu Gothic"/>
                <w:b/>
                <w:sz w:val="16"/>
              </w:rPr>
              <w:t>Rule variant</w:t>
            </w:r>
          </w:p>
        </w:tc>
        <w:tc>
          <w:tcPr>
            <w:tcW w:type="dxa" w:w="1337"/>
            <w:vAlign w:val="center"/>
            <w:shd w:fill="F2F4F7"/>
          </w:tcPr>
          <w:p>
            <w:pPr>
              <w:spacing w:after="40"/>
            </w:pPr>
            <w:r>
              <w:rPr>
                <w:rFonts w:ascii="Calibri" w:hAnsi="Calibri" w:eastAsia="Yu Gothic"/>
                <w:b/>
                <w:sz w:val="16"/>
              </w:rPr>
              <w:t>Threshold</w:t>
            </w:r>
          </w:p>
        </w:tc>
        <w:tc>
          <w:tcPr>
            <w:tcW w:type="dxa" w:w="1337"/>
            <w:vAlign w:val="center"/>
            <w:shd w:fill="F2F4F7"/>
          </w:tcPr>
          <w:p>
            <w:pPr>
              <w:spacing w:after="40"/>
            </w:pPr>
            <w:r>
              <w:rPr>
                <w:rFonts w:ascii="Calibri" w:hAnsi="Calibri" w:eastAsia="Yu Gothic"/>
                <w:b/>
                <w:sz w:val="16"/>
              </w:rPr>
              <w:t>Main note</w:t>
            </w:r>
          </w:p>
        </w:tc>
      </w:tr>
      <w:tr>
        <w:tc>
          <w:tcPr>
            <w:tcW w:type="dxa" w:w="1337"/>
            <w:vAlign w:val="center"/>
          </w:tcPr>
          <w:p>
            <w:pPr>
              <w:spacing w:after="40"/>
            </w:pPr>
            <w:r>
              <w:rPr>
                <w:rFonts w:ascii="Calibri" w:hAnsi="Calibri" w:eastAsia="Yu Gothic"/>
                <w:sz w:val="16"/>
              </w:rPr>
              <w:t>No.1</w:t>
            </w:r>
          </w:p>
        </w:tc>
        <w:tc>
          <w:tcPr>
            <w:tcW w:type="dxa" w:w="1337"/>
            <w:vAlign w:val="center"/>
          </w:tcPr>
          <w:p>
            <w:pPr>
              <w:spacing w:after="40"/>
            </w:pPr>
            <w:r>
              <w:rPr>
                <w:rFonts w:ascii="Calibri" w:hAnsi="Calibri" w:eastAsia="Yu Gothic"/>
                <w:sz w:val="16"/>
              </w:rPr>
              <w:t>2014</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Missing rule text</w:t>
            </w:r>
          </w:p>
        </w:tc>
        <w:tc>
          <w:tcPr>
            <w:tcW w:type="dxa" w:w="1337"/>
            <w:vAlign w:val="center"/>
          </w:tcPr>
          <w:p>
            <w:pPr>
              <w:spacing w:after="40"/>
            </w:pPr>
            <w:r>
              <w:rPr>
                <w:rFonts w:ascii="Calibri" w:hAnsi="Calibri" w:eastAsia="Yu Gothic"/>
                <w:sz w:val="16"/>
              </w:rPr>
            </w:r>
          </w:p>
        </w:tc>
        <w:tc>
          <w:tcPr>
            <w:tcW w:type="dxa" w:w="1337"/>
            <w:vAlign w:val="center"/>
          </w:tcPr>
          <w:p>
            <w:pPr>
              <w:spacing w:after="40"/>
            </w:pPr>
            <w:r>
              <w:rPr>
                <w:rFonts w:ascii="Calibri" w:hAnsi="Calibri" w:eastAsia="Yu Gothic"/>
                <w:sz w:val="16"/>
              </w:rPr>
              <w:t>No suppression-rule text was found in the header.</w:t>
            </w:r>
          </w:p>
        </w:tc>
      </w:tr>
      <w:tr>
        <w:tc>
          <w:tcPr>
            <w:tcW w:type="dxa" w:w="1337"/>
            <w:vAlign w:val="center"/>
          </w:tcPr>
          <w:p>
            <w:pPr>
              <w:spacing w:after="40"/>
            </w:pPr>
            <w:r>
              <w:rPr>
                <w:rFonts w:ascii="Calibri" w:hAnsi="Calibri" w:eastAsia="Yu Gothic"/>
                <w:sz w:val="16"/>
              </w:rPr>
              <w:t>No.2</w:t>
            </w:r>
          </w:p>
        </w:tc>
        <w:tc>
          <w:tcPr>
            <w:tcW w:type="dxa" w:w="1337"/>
            <w:vAlign w:val="center"/>
          </w:tcPr>
          <w:p>
            <w:pPr>
              <w:spacing w:after="40"/>
            </w:pPr>
            <w:r>
              <w:rPr>
                <w:rFonts w:ascii="Calibri" w:hAnsi="Calibri" w:eastAsia="Yu Gothic"/>
                <w:sz w:val="16"/>
              </w:rPr>
              <w:t>2015</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Missing rule text</w:t>
            </w:r>
          </w:p>
        </w:tc>
        <w:tc>
          <w:tcPr>
            <w:tcW w:type="dxa" w:w="1337"/>
            <w:vAlign w:val="center"/>
          </w:tcPr>
          <w:p>
            <w:pPr>
              <w:spacing w:after="40"/>
            </w:pPr>
            <w:r>
              <w:rPr>
                <w:rFonts w:ascii="Calibri" w:hAnsi="Calibri" w:eastAsia="Yu Gothic"/>
                <w:sz w:val="16"/>
              </w:rPr>
            </w:r>
          </w:p>
        </w:tc>
        <w:tc>
          <w:tcPr>
            <w:tcW w:type="dxa" w:w="1337"/>
            <w:vAlign w:val="center"/>
          </w:tcPr>
          <w:p>
            <w:pPr>
              <w:spacing w:after="40"/>
            </w:pPr>
            <w:r>
              <w:rPr>
                <w:rFonts w:ascii="Calibri" w:hAnsi="Calibri" w:eastAsia="Yu Gothic"/>
                <w:sz w:val="16"/>
              </w:rPr>
              <w:t>No suppression-rule text was found in the header.</w:t>
            </w:r>
          </w:p>
        </w:tc>
      </w:tr>
      <w:tr>
        <w:tc>
          <w:tcPr>
            <w:tcW w:type="dxa" w:w="1337"/>
            <w:vAlign w:val="center"/>
          </w:tcPr>
          <w:p>
            <w:pPr>
              <w:spacing w:after="40"/>
            </w:pPr>
            <w:r>
              <w:rPr>
                <w:rFonts w:ascii="Calibri" w:hAnsi="Calibri" w:eastAsia="Yu Gothic"/>
                <w:sz w:val="16"/>
              </w:rPr>
              <w:t>No.3</w:t>
            </w:r>
          </w:p>
        </w:tc>
        <w:tc>
          <w:tcPr>
            <w:tcW w:type="dxa" w:w="1337"/>
            <w:vAlign w:val="center"/>
          </w:tcPr>
          <w:p>
            <w:pPr>
              <w:spacing w:after="40"/>
            </w:pPr>
            <w:r>
              <w:rPr>
                <w:rFonts w:ascii="Calibri" w:hAnsi="Calibri" w:eastAsia="Yu Gothic"/>
                <w:sz w:val="16"/>
              </w:rPr>
              <w:t>2016</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Aggressive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Row-context logic supported primary-bounded classification for some cells.</w:t>
            </w:r>
          </w:p>
        </w:tc>
      </w:tr>
      <w:tr>
        <w:tc>
          <w:tcPr>
            <w:tcW w:type="dxa" w:w="1337"/>
            <w:vAlign w:val="center"/>
          </w:tcPr>
          <w:p>
            <w:pPr>
              <w:spacing w:after="40"/>
            </w:pPr>
            <w:r>
              <w:rPr>
                <w:rFonts w:ascii="Calibri" w:hAnsi="Calibri" w:eastAsia="Yu Gothic"/>
                <w:sz w:val="16"/>
              </w:rPr>
              <w:t>No.4</w:t>
            </w:r>
          </w:p>
        </w:tc>
        <w:tc>
          <w:tcPr>
            <w:tcW w:type="dxa" w:w="1337"/>
            <w:vAlign w:val="center"/>
          </w:tcPr>
          <w:p>
            <w:pPr>
              <w:spacing w:after="40"/>
            </w:pPr>
            <w:r>
              <w:rPr>
                <w:rFonts w:ascii="Calibri" w:hAnsi="Calibri" w:eastAsia="Yu Gothic"/>
                <w:sz w:val="16"/>
              </w:rPr>
              <w:t>2017</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Aggressive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Row-context logic supported primary-bounded classification for some cells.</w:t>
            </w:r>
          </w:p>
        </w:tc>
      </w:tr>
      <w:tr>
        <w:tc>
          <w:tcPr>
            <w:tcW w:type="dxa" w:w="1337"/>
            <w:vAlign w:val="center"/>
          </w:tcPr>
          <w:p>
            <w:pPr>
              <w:spacing w:after="40"/>
            </w:pPr>
            <w:r>
              <w:rPr>
                <w:rFonts w:ascii="Calibri" w:hAnsi="Calibri" w:eastAsia="Yu Gothic"/>
                <w:sz w:val="16"/>
              </w:rPr>
              <w:t>No.5</w:t>
            </w:r>
          </w:p>
        </w:tc>
        <w:tc>
          <w:tcPr>
            <w:tcW w:type="dxa" w:w="1337"/>
            <w:vAlign w:val="center"/>
          </w:tcPr>
          <w:p>
            <w:pPr>
              <w:spacing w:after="40"/>
            </w:pPr>
            <w:r>
              <w:rPr>
                <w:rFonts w:ascii="Calibri" w:hAnsi="Calibri" w:eastAsia="Yu Gothic"/>
                <w:sz w:val="16"/>
              </w:rPr>
              <w:t>2018</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Standard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Suppressed cells were treated conservatively as ambiguous in the primary analysis.</w:t>
            </w:r>
          </w:p>
        </w:tc>
      </w:tr>
      <w:tr>
        <w:tc>
          <w:tcPr>
            <w:tcW w:type="dxa" w:w="1337"/>
            <w:vAlign w:val="center"/>
          </w:tcPr>
          <w:p>
            <w:pPr>
              <w:spacing w:after="40"/>
            </w:pPr>
            <w:r>
              <w:rPr>
                <w:rFonts w:ascii="Calibri" w:hAnsi="Calibri" w:eastAsia="Yu Gothic"/>
                <w:sz w:val="16"/>
              </w:rPr>
              <w:t>No.6</w:t>
            </w:r>
          </w:p>
        </w:tc>
        <w:tc>
          <w:tcPr>
            <w:tcW w:type="dxa" w:w="1337"/>
            <w:vAlign w:val="center"/>
          </w:tcPr>
          <w:p>
            <w:pPr>
              <w:spacing w:after="40"/>
            </w:pPr>
            <w:r>
              <w:rPr>
                <w:rFonts w:ascii="Calibri" w:hAnsi="Calibri" w:eastAsia="Yu Gothic"/>
                <w:sz w:val="16"/>
              </w:rPr>
              <w:t>2019</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Standard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Suppressed cells were treated conservatively as ambiguous in the primary analysis.</w:t>
            </w:r>
          </w:p>
        </w:tc>
      </w:tr>
      <w:tr>
        <w:tc>
          <w:tcPr>
            <w:tcW w:type="dxa" w:w="1337"/>
            <w:vAlign w:val="center"/>
          </w:tcPr>
          <w:p>
            <w:pPr>
              <w:spacing w:after="40"/>
            </w:pPr>
            <w:r>
              <w:rPr>
                <w:rFonts w:ascii="Calibri" w:hAnsi="Calibri" w:eastAsia="Yu Gothic"/>
                <w:sz w:val="16"/>
              </w:rPr>
              <w:t>No.7</w:t>
            </w:r>
          </w:p>
        </w:tc>
        <w:tc>
          <w:tcPr>
            <w:tcW w:type="dxa" w:w="1337"/>
            <w:vAlign w:val="center"/>
          </w:tcPr>
          <w:p>
            <w:pPr>
              <w:spacing w:after="40"/>
            </w:pPr>
            <w:r>
              <w:rPr>
                <w:rFonts w:ascii="Calibri" w:hAnsi="Calibri" w:eastAsia="Yu Gothic"/>
                <w:sz w:val="16"/>
              </w:rPr>
              <w:t>2020</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Standard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Suppressed cells were treated conservatively as ambiguous in the primary analysis.</w:t>
            </w:r>
          </w:p>
        </w:tc>
      </w:tr>
      <w:tr>
        <w:tc>
          <w:tcPr>
            <w:tcW w:type="dxa" w:w="1337"/>
            <w:vAlign w:val="center"/>
          </w:tcPr>
          <w:p>
            <w:pPr>
              <w:spacing w:after="40"/>
            </w:pPr>
            <w:r>
              <w:rPr>
                <w:rFonts w:ascii="Calibri" w:hAnsi="Calibri" w:eastAsia="Yu Gothic"/>
                <w:sz w:val="16"/>
              </w:rPr>
              <w:t>No.8</w:t>
            </w:r>
          </w:p>
        </w:tc>
        <w:tc>
          <w:tcPr>
            <w:tcW w:type="dxa" w:w="1337"/>
            <w:vAlign w:val="center"/>
          </w:tcPr>
          <w:p>
            <w:pPr>
              <w:spacing w:after="40"/>
            </w:pPr>
            <w:r>
              <w:rPr>
                <w:rFonts w:ascii="Calibri" w:hAnsi="Calibri" w:eastAsia="Yu Gothic"/>
                <w:sz w:val="16"/>
              </w:rPr>
              <w:t>2021</w:t>
            </w:r>
          </w:p>
        </w:tc>
        <w:tc>
          <w:tcPr>
            <w:tcW w:type="dxa" w:w="1337"/>
            <w:vAlign w:val="center"/>
          </w:tcPr>
          <w:p>
            <w:pPr>
              <w:spacing w:after="40"/>
            </w:pPr>
            <w:r>
              <w:rPr>
                <w:rFonts w:ascii="Calibri" w:hAnsi="Calibri" w:eastAsia="Yu Gothic"/>
                <w:sz w:val="16"/>
              </w:rPr>
              <w:t>No</w:t>
            </w:r>
          </w:p>
        </w:tc>
        <w:tc>
          <w:tcPr>
            <w:tcW w:type="dxa" w:w="1337"/>
            <w:vAlign w:val="center"/>
          </w:tcPr>
          <w:p>
            <w:pPr>
              <w:spacing w:after="40"/>
            </w:pPr>
            <w:r>
              <w:rPr>
                <w:rFonts w:ascii="Calibri" w:hAnsi="Calibri" w:eastAsia="Yu Gothic"/>
                <w:sz w:val="16"/>
              </w:rPr>
              <w:t>Claim/calculation count</w:t>
            </w:r>
          </w:p>
        </w:tc>
        <w:tc>
          <w:tcPr>
            <w:tcW w:type="dxa" w:w="1337"/>
            <w:vAlign w:val="center"/>
          </w:tcPr>
          <w:p>
            <w:pPr>
              <w:spacing w:after="40"/>
            </w:pPr>
            <w:r>
              <w:rPr>
                <w:rFonts w:ascii="Calibri" w:hAnsi="Calibri" w:eastAsia="Yu Gothic"/>
                <w:sz w:val="16"/>
              </w:rPr>
              <w:t>Standard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Excluded because the metric was not disease count.</w:t>
            </w:r>
          </w:p>
        </w:tc>
      </w:tr>
      <w:tr>
        <w:tc>
          <w:tcPr>
            <w:tcW w:type="dxa" w:w="1337"/>
            <w:vAlign w:val="center"/>
          </w:tcPr>
          <w:p>
            <w:pPr>
              <w:spacing w:after="40"/>
            </w:pPr>
            <w:r>
              <w:rPr>
                <w:rFonts w:ascii="Calibri" w:hAnsi="Calibri" w:eastAsia="Yu Gothic"/>
                <w:sz w:val="16"/>
              </w:rPr>
              <w:t>No.9</w:t>
            </w:r>
          </w:p>
        </w:tc>
        <w:tc>
          <w:tcPr>
            <w:tcW w:type="dxa" w:w="1337"/>
            <w:vAlign w:val="center"/>
          </w:tcPr>
          <w:p>
            <w:pPr>
              <w:spacing w:after="40"/>
            </w:pPr>
            <w:r>
              <w:rPr>
                <w:rFonts w:ascii="Calibri" w:hAnsi="Calibri" w:eastAsia="Yu Gothic"/>
                <w:sz w:val="16"/>
              </w:rPr>
              <w:t>2022</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Standard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Suppressed cells were treated conservatively as ambiguous in the primary analysis.</w:t>
            </w:r>
          </w:p>
        </w:tc>
      </w:tr>
      <w:tr>
        <w:tc>
          <w:tcPr>
            <w:tcW w:type="dxa" w:w="1337"/>
            <w:vAlign w:val="center"/>
          </w:tcPr>
          <w:p>
            <w:pPr>
              <w:spacing w:after="40"/>
            </w:pPr>
            <w:r>
              <w:rPr>
                <w:rFonts w:ascii="Calibri" w:hAnsi="Calibri" w:eastAsia="Yu Gothic"/>
                <w:sz w:val="16"/>
              </w:rPr>
              <w:t>No.10</w:t>
            </w:r>
          </w:p>
        </w:tc>
        <w:tc>
          <w:tcPr>
            <w:tcW w:type="dxa" w:w="1337"/>
            <w:vAlign w:val="center"/>
          </w:tcPr>
          <w:p>
            <w:pPr>
              <w:spacing w:after="40"/>
            </w:pPr>
            <w:r>
              <w:rPr>
                <w:rFonts w:ascii="Calibri" w:hAnsi="Calibri" w:eastAsia="Yu Gothic"/>
                <w:sz w:val="16"/>
              </w:rPr>
              <w:t>2023</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Standard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Public-expense claims excluded from FY2023; suppressed cells treated as ambiguous.</w:t>
            </w:r>
          </w:p>
        </w:tc>
      </w:tr>
      <w:tr>
        <w:tc>
          <w:tcPr>
            <w:tcW w:type="dxa" w:w="1337"/>
            <w:vAlign w:val="center"/>
          </w:tcPr>
          <w:p>
            <w:pPr>
              <w:spacing w:after="40"/>
            </w:pPr>
            <w:r>
              <w:rPr>
                <w:rFonts w:ascii="Calibri" w:hAnsi="Calibri" w:eastAsia="Yu Gothic"/>
                <w:sz w:val="16"/>
              </w:rPr>
              <w:t>No.11</w:t>
            </w:r>
          </w:p>
        </w:tc>
        <w:tc>
          <w:tcPr>
            <w:tcW w:type="dxa" w:w="1337"/>
            <w:vAlign w:val="center"/>
          </w:tcPr>
          <w:p>
            <w:pPr>
              <w:spacing w:after="40"/>
            </w:pPr>
            <w:r>
              <w:rPr>
                <w:rFonts w:ascii="Calibri" w:hAnsi="Calibri" w:eastAsia="Yu Gothic"/>
                <w:sz w:val="16"/>
              </w:rPr>
              <w:t>2024</w:t>
            </w:r>
          </w:p>
        </w:tc>
        <w:tc>
          <w:tcPr>
            <w:tcW w:type="dxa" w:w="1337"/>
            <w:vAlign w:val="center"/>
          </w:tcPr>
          <w:p>
            <w:pPr>
              <w:spacing w:after="40"/>
            </w:pPr>
            <w:r>
              <w:rPr>
                <w:rFonts w:ascii="Calibri" w:hAnsi="Calibri" w:eastAsia="Yu Gothic"/>
                <w:sz w:val="16"/>
              </w:rPr>
              <w:t>Yes</w:t>
            </w:r>
          </w:p>
        </w:tc>
        <w:tc>
          <w:tcPr>
            <w:tcW w:type="dxa" w:w="1337"/>
            <w:vAlign w:val="center"/>
          </w:tcPr>
          <w:p>
            <w:pPr>
              <w:spacing w:after="40"/>
            </w:pPr>
            <w:r>
              <w:rPr>
                <w:rFonts w:ascii="Calibri" w:hAnsi="Calibri" w:eastAsia="Yu Gothic"/>
                <w:sz w:val="16"/>
              </w:rPr>
              <w:t>Disease count</w:t>
            </w:r>
          </w:p>
        </w:tc>
        <w:tc>
          <w:tcPr>
            <w:tcW w:type="dxa" w:w="1337"/>
            <w:vAlign w:val="center"/>
          </w:tcPr>
          <w:p>
            <w:pPr>
              <w:spacing w:after="40"/>
            </w:pPr>
            <w:r>
              <w:rPr>
                <w:rFonts w:ascii="Calibri" w:hAnsi="Calibri" w:eastAsia="Yu Gothic"/>
                <w:sz w:val="16"/>
              </w:rPr>
              <w:t>Standard complementary suppression</w:t>
            </w:r>
          </w:p>
        </w:tc>
        <w:tc>
          <w:tcPr>
            <w:tcW w:type="dxa" w:w="1337"/>
            <w:vAlign w:val="center"/>
          </w:tcPr>
          <w:p>
            <w:pPr>
              <w:spacing w:after="40"/>
            </w:pPr>
            <w:r>
              <w:rPr>
                <w:rFonts w:ascii="Calibri" w:hAnsi="Calibri" w:eastAsia="Yu Gothic"/>
                <w:sz w:val="16"/>
              </w:rPr>
              <w:t>10</w:t>
            </w:r>
          </w:p>
        </w:tc>
        <w:tc>
          <w:tcPr>
            <w:tcW w:type="dxa" w:w="1337"/>
            <w:vAlign w:val="center"/>
          </w:tcPr>
          <w:p>
            <w:pPr>
              <w:spacing w:after="40"/>
            </w:pPr>
            <w:r>
              <w:rPr>
                <w:rFonts w:ascii="Calibri" w:hAnsi="Calibri" w:eastAsia="Yu Gothic"/>
                <w:sz w:val="16"/>
              </w:rPr>
              <w:t>Public-expense claims excluded; suppressed cells treated as ambiguous.</w:t>
            </w:r>
          </w:p>
        </w:tc>
      </w:tr>
    </w:tbl>
    <w:p/>
    <w:p>
      <w:r>
        <w:t>Note: Cell-level primary bounds were assigned only where row-context classification supported primary low-count suppression. Verified rule text alone does not imply that every suppressed cell is eligible for [1, 9] bounds.</w:t>
      </w:r>
    </w:p>
    <w:p>
      <w:pPr>
        <w:pStyle w:val="Heading1"/>
      </w:pPr>
      <w:r>
        <w:t>Supplementary Table S2. Demonstration indicator profiles</w:t>
      </w:r>
    </w:p>
    <w:tbl>
      <w:tblPr>
        <w:tblStyle w:val="TableGrid"/>
        <w:tblW w:type="auto" w:w="0"/>
        <w:jc w:val="center"/>
        <w:tblLayout w:type="autofit"/>
        <w:tblLook w:firstColumn="1" w:firstRow="1" w:lastColumn="0" w:lastRow="0" w:noHBand="0" w:noVBand="1" w:val="04A0"/>
        <w:tblCellMar>
          <w:top w:w="80" w:type="dxa"/>
          <w:start w:w="100" w:type="dxa"/>
          <w:bottom w:w="80" w:type="dxa"/>
          <w:end w:w="100" w:type="dxa"/>
        </w:tblCellMar>
      </w:tblPr>
      <w:tblGrid>
        <w:gridCol w:w="1337"/>
        <w:gridCol w:w="1337"/>
        <w:gridCol w:w="1337"/>
        <w:gridCol w:w="1337"/>
        <w:gridCol w:w="1337"/>
        <w:gridCol w:w="1337"/>
        <w:gridCol w:w="1337"/>
      </w:tblGrid>
      <w:tr>
        <w:tc>
          <w:tcPr>
            <w:tcW w:type="dxa" w:w="1337"/>
            <w:vAlign w:val="center"/>
            <w:shd w:fill="F2F4F7"/>
          </w:tcPr>
          <w:p>
            <w:pPr>
              <w:spacing w:after="40"/>
            </w:pPr>
            <w:r>
              <w:rPr>
                <w:rFonts w:ascii="Calibri" w:hAnsi="Calibri" w:eastAsia="Yu Gothic"/>
                <w:b/>
                <w:sz w:val="16"/>
              </w:rPr>
              <w:t>Demonstration role</w:t>
            </w:r>
          </w:p>
        </w:tc>
        <w:tc>
          <w:tcPr>
            <w:tcW w:type="dxa" w:w="1337"/>
            <w:vAlign w:val="center"/>
            <w:shd w:fill="F2F4F7"/>
          </w:tcPr>
          <w:p>
            <w:pPr>
              <w:spacing w:after="40"/>
            </w:pPr>
            <w:r>
              <w:rPr>
                <w:rFonts w:ascii="Calibri" w:hAnsi="Calibri" w:eastAsia="Yu Gothic"/>
                <w:b/>
                <w:sz w:val="16"/>
              </w:rPr>
              <w:t>Indicator ID</w:t>
            </w:r>
          </w:p>
        </w:tc>
        <w:tc>
          <w:tcPr>
            <w:tcW w:type="dxa" w:w="1337"/>
            <w:vAlign w:val="center"/>
            <w:shd w:fill="F2F4F7"/>
          </w:tcPr>
          <w:p>
            <w:pPr>
              <w:spacing w:after="40"/>
            </w:pPr>
            <w:r>
              <w:rPr>
                <w:rFonts w:ascii="Calibri" w:hAnsi="Calibri" w:eastAsia="Yu Gothic"/>
                <w:b/>
                <w:sz w:val="16"/>
              </w:rPr>
              <w:t>Indicator</w:t>
            </w:r>
          </w:p>
        </w:tc>
        <w:tc>
          <w:tcPr>
            <w:tcW w:type="dxa" w:w="1337"/>
            <w:vAlign w:val="center"/>
            <w:shd w:fill="F2F4F7"/>
          </w:tcPr>
          <w:p>
            <w:pPr>
              <w:spacing w:after="40"/>
            </w:pPr>
            <w:r>
              <w:rPr>
                <w:rFonts w:ascii="Calibri" w:hAnsi="Calibri" w:eastAsia="Yu Gothic"/>
                <w:b/>
                <w:sz w:val="16"/>
              </w:rPr>
              <w:t>Observed cells</w:t>
            </w:r>
          </w:p>
        </w:tc>
        <w:tc>
          <w:tcPr>
            <w:tcW w:type="dxa" w:w="1337"/>
            <w:vAlign w:val="center"/>
            <w:shd w:fill="F2F4F7"/>
          </w:tcPr>
          <w:p>
            <w:pPr>
              <w:spacing w:after="40"/>
            </w:pPr>
            <w:r>
              <w:rPr>
                <w:rFonts w:ascii="Calibri" w:hAnsi="Calibri" w:eastAsia="Yu Gothic"/>
                <w:b/>
                <w:sz w:val="16"/>
              </w:rPr>
              <w:t>Primary-bounded cells</w:t>
            </w:r>
          </w:p>
        </w:tc>
        <w:tc>
          <w:tcPr>
            <w:tcW w:type="dxa" w:w="1337"/>
            <w:vAlign w:val="center"/>
            <w:shd w:fill="F2F4F7"/>
          </w:tcPr>
          <w:p>
            <w:pPr>
              <w:spacing w:after="40"/>
            </w:pPr>
            <w:r>
              <w:rPr>
                <w:rFonts w:ascii="Calibri" w:hAnsi="Calibri" w:eastAsia="Yu Gothic"/>
                <w:b/>
                <w:sz w:val="16"/>
              </w:rPr>
              <w:t>Ambiguous cells</w:t>
            </w:r>
          </w:p>
        </w:tc>
        <w:tc>
          <w:tcPr>
            <w:tcW w:type="dxa" w:w="1337"/>
            <w:vAlign w:val="center"/>
            <w:shd w:fill="F2F4F7"/>
          </w:tcPr>
          <w:p>
            <w:pPr>
              <w:spacing w:after="40"/>
            </w:pPr>
            <w:r>
              <w:rPr>
                <w:rFonts w:ascii="Calibri" w:hAnsi="Calibri" w:eastAsia="Yu Gothic"/>
                <w:b/>
                <w:sz w:val="16"/>
              </w:rPr>
              <w:t>Selection rationale</w:t>
            </w:r>
          </w:p>
        </w:tc>
      </w:tr>
      <w:tr>
        <w:tc>
          <w:tcPr>
            <w:tcW w:type="dxa" w:w="1337"/>
            <w:vAlign w:val="center"/>
          </w:tcPr>
          <w:p>
            <w:pPr>
              <w:spacing w:after="40"/>
            </w:pPr>
            <w:r>
              <w:rPr>
                <w:rFonts w:ascii="Calibri" w:hAnsi="Calibri" w:eastAsia="Yu Gothic"/>
                <w:sz w:val="16"/>
              </w:rPr>
              <w:t>Bounded demonstration</w:t>
            </w:r>
          </w:p>
        </w:tc>
        <w:tc>
          <w:tcPr>
            <w:tcW w:type="dxa" w:w="1337"/>
            <w:vAlign w:val="center"/>
          </w:tcPr>
          <w:p>
            <w:pPr>
              <w:spacing w:after="40"/>
            </w:pPr>
            <w:r>
              <w:rPr>
                <w:rFonts w:ascii="Calibri" w:hAnsi="Calibri" w:eastAsia="Yu Gothic"/>
                <w:sz w:val="16"/>
              </w:rPr>
              <w:t>IND_5220077</w:t>
            </w:r>
          </w:p>
        </w:tc>
        <w:tc>
          <w:tcPr>
            <w:tcW w:type="dxa" w:w="1337"/>
            <w:vAlign w:val="center"/>
          </w:tcPr>
          <w:p>
            <w:pPr>
              <w:spacing w:after="40"/>
            </w:pPr>
            <w:r>
              <w:rPr>
                <w:rFonts w:ascii="Calibri" w:hAnsi="Calibri" w:eastAsia="Yu Gothic"/>
                <w:sz w:val="16"/>
              </w:rPr>
              <w:t>Hematogenous pulpitis</w:t>
            </w:r>
          </w:p>
        </w:tc>
        <w:tc>
          <w:tcPr>
            <w:tcW w:type="dxa" w:w="1337"/>
            <w:vAlign w:val="center"/>
          </w:tcPr>
          <w:p>
            <w:pPr>
              <w:spacing w:after="40"/>
            </w:pPr>
            <w:r>
              <w:rPr>
                <w:rFonts w:ascii="Calibri" w:hAnsi="Calibri" w:eastAsia="Yu Gothic"/>
                <w:sz w:val="16"/>
              </w:rPr>
              <w:t>143</w:t>
            </w:r>
          </w:p>
        </w:tc>
        <w:tc>
          <w:tcPr>
            <w:tcW w:type="dxa" w:w="1337"/>
            <w:vAlign w:val="center"/>
          </w:tcPr>
          <w:p>
            <w:pPr>
              <w:spacing w:after="40"/>
            </w:pPr>
            <w:r>
              <w:rPr>
                <w:rFonts w:ascii="Calibri" w:hAnsi="Calibri" w:eastAsia="Yu Gothic"/>
                <w:sz w:val="16"/>
              </w:rPr>
              <w:t>92</w:t>
            </w:r>
          </w:p>
        </w:tc>
        <w:tc>
          <w:tcPr>
            <w:tcW w:type="dxa" w:w="1337"/>
            <w:vAlign w:val="center"/>
          </w:tcPr>
          <w:p>
            <w:pPr>
              <w:spacing w:after="40"/>
            </w:pPr>
            <w:r>
              <w:rPr>
                <w:rFonts w:ascii="Calibri" w:hAnsi="Calibri" w:eastAsia="Yu Gothic"/>
                <w:sz w:val="16"/>
              </w:rPr>
              <w:t>235</w:t>
            </w:r>
          </w:p>
        </w:tc>
        <w:tc>
          <w:tcPr>
            <w:tcW w:type="dxa" w:w="1337"/>
            <w:vAlign w:val="center"/>
          </w:tcPr>
          <w:p>
            <w:pPr>
              <w:spacing w:after="40"/>
            </w:pPr>
            <w:r>
              <w:rPr>
                <w:rFonts w:ascii="Calibri" w:hAnsi="Calibri" w:eastAsia="Yu Gothic"/>
                <w:sz w:val="16"/>
              </w:rPr>
              <w:t>Represents a mixed state with observed, primary-bounded, and ambiguous cells.</w:t>
            </w:r>
          </w:p>
        </w:tc>
      </w:tr>
      <w:tr>
        <w:tc>
          <w:tcPr>
            <w:tcW w:type="dxa" w:w="1337"/>
            <w:vAlign w:val="center"/>
          </w:tcPr>
          <w:p>
            <w:pPr>
              <w:spacing w:after="40"/>
            </w:pPr>
            <w:r>
              <w:rPr>
                <w:rFonts w:ascii="Calibri" w:hAnsi="Calibri" w:eastAsia="Yu Gothic"/>
                <w:sz w:val="16"/>
              </w:rPr>
              <w:t>Stable observed demonstration</w:t>
            </w:r>
          </w:p>
        </w:tc>
        <w:tc>
          <w:tcPr>
            <w:tcW w:type="dxa" w:w="1337"/>
            <w:vAlign w:val="center"/>
          </w:tcPr>
          <w:p>
            <w:pPr>
              <w:spacing w:after="40"/>
            </w:pPr>
            <w:r>
              <w:rPr>
                <w:rFonts w:ascii="Calibri" w:hAnsi="Calibri" w:eastAsia="Yu Gothic"/>
                <w:sz w:val="16"/>
              </w:rPr>
              <w:t>IND_5210011</w:t>
            </w:r>
          </w:p>
        </w:tc>
        <w:tc>
          <w:tcPr>
            <w:tcW w:type="dxa" w:w="1337"/>
            <w:vAlign w:val="center"/>
          </w:tcPr>
          <w:p>
            <w:pPr>
              <w:spacing w:after="40"/>
            </w:pPr>
            <w:r>
              <w:rPr>
                <w:rFonts w:ascii="Calibri" w:hAnsi="Calibri" w:eastAsia="Yu Gothic"/>
                <w:sz w:val="16"/>
              </w:rPr>
              <w:t>Root canal filling completed</w:t>
            </w:r>
          </w:p>
        </w:tc>
        <w:tc>
          <w:tcPr>
            <w:tcW w:type="dxa" w:w="1337"/>
            <w:vAlign w:val="center"/>
          </w:tcPr>
          <w:p>
            <w:pPr>
              <w:spacing w:after="40"/>
            </w:pPr>
            <w:r>
              <w:rPr>
                <w:rFonts w:ascii="Calibri" w:hAnsi="Calibri" w:eastAsia="Yu Gothic"/>
                <w:sz w:val="16"/>
              </w:rPr>
              <w:t>470</w:t>
            </w:r>
          </w:p>
        </w:tc>
        <w:tc>
          <w:tcPr>
            <w:tcW w:type="dxa" w:w="1337"/>
            <w:vAlign w:val="center"/>
          </w:tcPr>
          <w:p>
            <w:pPr>
              <w:spacing w:after="40"/>
            </w:pPr>
            <w:r>
              <w:rPr>
                <w:rFonts w:ascii="Calibri" w:hAnsi="Calibri" w:eastAsia="Yu Gothic"/>
                <w:sz w:val="16"/>
              </w:rPr>
              <w:t>0</w:t>
            </w:r>
          </w:p>
        </w:tc>
        <w:tc>
          <w:tcPr>
            <w:tcW w:type="dxa" w:w="1337"/>
            <w:vAlign w:val="center"/>
          </w:tcPr>
          <w:p>
            <w:pPr>
              <w:spacing w:after="40"/>
            </w:pPr>
            <w:r>
              <w:rPr>
                <w:rFonts w:ascii="Calibri" w:hAnsi="Calibri" w:eastAsia="Yu Gothic"/>
                <w:sz w:val="16"/>
              </w:rPr>
              <w:t>0</w:t>
            </w:r>
          </w:p>
        </w:tc>
        <w:tc>
          <w:tcPr>
            <w:tcW w:type="dxa" w:w="1337"/>
            <w:vAlign w:val="center"/>
          </w:tcPr>
          <w:p>
            <w:pPr>
              <w:spacing w:after="40"/>
            </w:pPr>
            <w:r>
              <w:rPr>
                <w:rFonts w:ascii="Calibri" w:hAnsi="Calibri" w:eastAsia="Yu Gothic"/>
                <w:sz w:val="16"/>
              </w:rPr>
              <w:t>Represents a fully observed comparison set with point-identified rates and ranks.</w:t>
            </w:r>
          </w:p>
        </w:tc>
      </w:tr>
      <w:tr>
        <w:tc>
          <w:tcPr>
            <w:tcW w:type="dxa" w:w="1337"/>
            <w:vAlign w:val="center"/>
          </w:tcPr>
          <w:p>
            <w:pPr>
              <w:spacing w:after="40"/>
            </w:pPr>
            <w:r>
              <w:rPr>
                <w:rFonts w:ascii="Calibri" w:hAnsi="Calibri" w:eastAsia="Yu Gothic"/>
                <w:sz w:val="16"/>
              </w:rPr>
              <w:t>Ambiguous-limit demonstration</w:t>
            </w:r>
          </w:p>
        </w:tc>
        <w:tc>
          <w:tcPr>
            <w:tcW w:type="dxa" w:w="1337"/>
            <w:vAlign w:val="center"/>
          </w:tcPr>
          <w:p>
            <w:pPr>
              <w:spacing w:after="40"/>
            </w:pPr>
            <w:r>
              <w:rPr>
                <w:rFonts w:ascii="Calibri" w:hAnsi="Calibri" w:eastAsia="Yu Gothic"/>
                <w:sz w:val="16"/>
              </w:rPr>
              <w:t>IND_8843319</w:t>
            </w:r>
          </w:p>
        </w:tc>
        <w:tc>
          <w:tcPr>
            <w:tcW w:type="dxa" w:w="1337"/>
            <w:vAlign w:val="center"/>
          </w:tcPr>
          <w:p>
            <w:pPr>
              <w:spacing w:after="40"/>
            </w:pPr>
            <w:r>
              <w:rPr>
                <w:rFonts w:ascii="Calibri" w:hAnsi="Calibri" w:eastAsia="Yu Gothic"/>
                <w:sz w:val="16"/>
              </w:rPr>
              <w:t>Localized juvenile periodontitis</w:t>
            </w:r>
          </w:p>
        </w:tc>
        <w:tc>
          <w:tcPr>
            <w:tcW w:type="dxa" w:w="1337"/>
            <w:vAlign w:val="center"/>
          </w:tcPr>
          <w:p>
            <w:pPr>
              <w:spacing w:after="40"/>
            </w:pPr>
            <w:r>
              <w:rPr>
                <w:rFonts w:ascii="Calibri" w:hAnsi="Calibri" w:eastAsia="Yu Gothic"/>
                <w:sz w:val="16"/>
              </w:rPr>
              <w:t>87</w:t>
            </w:r>
          </w:p>
        </w:tc>
        <w:tc>
          <w:tcPr>
            <w:tcW w:type="dxa" w:w="1337"/>
            <w:vAlign w:val="center"/>
          </w:tcPr>
          <w:p>
            <w:pPr>
              <w:spacing w:after="40"/>
            </w:pPr>
            <w:r>
              <w:rPr>
                <w:rFonts w:ascii="Calibri" w:hAnsi="Calibri" w:eastAsia="Yu Gothic"/>
                <w:sz w:val="16"/>
              </w:rPr>
              <w:t>0</w:t>
            </w:r>
          </w:p>
        </w:tc>
        <w:tc>
          <w:tcPr>
            <w:tcW w:type="dxa" w:w="1337"/>
            <w:vAlign w:val="center"/>
          </w:tcPr>
          <w:p>
            <w:pPr>
              <w:spacing w:after="40"/>
            </w:pPr>
            <w:r>
              <w:rPr>
                <w:rFonts w:ascii="Calibri" w:hAnsi="Calibri" w:eastAsia="Yu Gothic"/>
                <w:sz w:val="16"/>
              </w:rPr>
              <w:t>383</w:t>
            </w:r>
          </w:p>
        </w:tc>
        <w:tc>
          <w:tcPr>
            <w:tcW w:type="dxa" w:w="1337"/>
            <w:vAlign w:val="center"/>
          </w:tcPr>
          <w:p>
            <w:pPr>
              <w:spacing w:after="40"/>
            </w:pPr>
            <w:r>
              <w:rPr>
                <w:rFonts w:ascii="Calibri" w:hAnsi="Calibri" w:eastAsia="Yu Gothic"/>
                <w:sz w:val="16"/>
              </w:rPr>
              <w:t>Represents a setting where public files do not support numeric rate bounds or full ranking for most cells.</w:t>
            </w:r>
          </w:p>
        </w:tc>
      </w:tr>
    </w:tbl>
    <w:p/>
    <w:p>
      <w:pPr>
        <w:pStyle w:val="Heading1"/>
      </w:pPr>
      <w:r>
        <w:t>Supplementary Figure S1. Naive ranking strategies</w:t>
      </w:r>
    </w:p>
    <w:p>
      <w:pPr>
        <w:jc w:val="center"/>
      </w:pPr>
      <w:r>
        <w:drawing>
          <wp:inline xmlns:a="http://schemas.openxmlformats.org/drawingml/2006/main" xmlns:pic="http://schemas.openxmlformats.org/drawingml/2006/picture">
            <wp:extent cx="17163740" cy="7863840"/>
            <wp:docPr id="1" name="Picture 1"/>
            <wp:cNvGraphicFramePr>
              <a:graphicFrameLocks noChangeAspect="1"/>
            </wp:cNvGraphicFramePr>
            <a:graphic>
              <a:graphicData uri="http://schemas.openxmlformats.org/drawingml/2006/picture">
                <pic:pic>
                  <pic:nvPicPr>
                    <pic:cNvPr id="0" name="supplementary_figure_s1_naive_ranking.png"/>
                    <pic:cNvPicPr/>
                  </pic:nvPicPr>
                  <pic:blipFill>
                    <a:blip r:embed="rId9"/>
                    <a:stretch>
                      <a:fillRect/>
                    </a:stretch>
                  </pic:blipFill>
                  <pic:spPr>
                    <a:xfrm>
                      <a:off x="0" y="0"/>
                      <a:ext cx="17163740" cy="7863840"/>
                    </a:xfrm>
                    <a:prstGeom prst="rect"/>
                  </pic:spPr>
                </pic:pic>
              </a:graphicData>
            </a:graphic>
          </wp:inline>
        </w:drawing>
      </w:r>
    </w:p>
    <w:p>
      <w:pPr>
        <w:spacing w:after="160"/>
        <w:jc w:val="center"/>
      </w:pPr>
      <w:r>
        <w:rPr>
          <w:i/>
          <w:sz w:val="18"/>
        </w:rPr>
        <w:t>Supplementary Figure S1. Naive ranking strategies</w:t>
      </w:r>
    </w:p>
    <w:p>
      <w:r>
        <w:t>Supplementary Figure S1 compares four naive ranking strategies for hematogenous pulpitis as benchmarks only. Complete-case handling, zero substitution, upper-bound substitution, and midpoint substitution produce apparent point rankings, but these rankings are not identified by the public release. This figure should not be interpreted as valid statistical inference or as recovery of hidden suppressed counts.</w:t>
      </w:r>
    </w:p>
    <w:p>
      <w:pPr>
        <w:pStyle w:val="Heading1"/>
      </w:pPr>
      <w:r>
        <w:t>Supplementary Note S1. Conservative Classification in Standard-Rule Releases</w:t>
      </w:r>
    </w:p>
    <w:p>
      <w:r>
        <w:t>In standard-rule releases, suppressed cells were classified conservatively as ambiguous when the public files did not provide enough cell-level information to separate primary low-count suppression from complementary suppression. This rule intentionally restricts the primary analysis to what is identifiable from the public release without additional assumptions. A less conservative analysis might assign bounds to a larger set of cells, but it would require assumptions beyond the released table and disclosure text.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