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Highlights</w:t>
      </w:r>
    </w:p>
    <w:p>
      <w:pPr>
        <w:pStyle w:val="ListBullet"/>
      </w:pPr>
      <w:r>
        <w:t>Nine undocumented structural changes identified across all 11 NDB Open Data releases</w:t>
      </w:r>
    </w:p>
    <w:p>
      <w:pPr>
        <w:pStyle w:val="ListBullet"/>
      </w:pPr>
      <w:r>
        <w:t>Nine metabolic indicators: 100% coverage, zero suppression across all NDB releases</w:t>
      </w:r>
    </w:p>
    <w:p>
      <w:pPr>
        <w:pStyle w:val="ListBullet"/>
      </w:pPr>
      <w:r>
        <w:t>Dental disease-count indicators had 19-47% cell-level suppression across 10 releases</w:t>
      </w:r>
    </w:p>
    <w:p>
      <w:pPr>
        <w:pStyle w:val="ListBullet"/>
      </w:pPr>
      <w:r>
        <w:t>Eight distinct missing states are required; collapsing them masks data quality issues</w:t>
      </w:r>
    </w:p>
    <w:p>
      <w:pPr>
        <w:pStyle w:val="ListBullet"/>
      </w:pPr>
      <w:r>
        <w:t>Administrative data AI-readiness is study-specific, not a generic source property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