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778EB" w14:textId="77777777" w:rsidR="002D5388" w:rsidRDefault="00000000">
      <w:pPr>
        <w:spacing w:before="160" w:after="80"/>
      </w:pPr>
      <w:r>
        <w:rPr>
          <w:b/>
          <w:color w:val="000000"/>
          <w:sz w:val="42"/>
        </w:rPr>
        <w:t>A Pre-Model Audit of Administrative Healthcare Data for AI-Oriented Research</w:t>
      </w:r>
    </w:p>
    <w:p w14:paraId="2F16AF6E" w14:textId="77777777" w:rsidR="002D5388" w:rsidRDefault="00000000">
      <w:pPr>
        <w:spacing w:after="240"/>
      </w:pPr>
      <w:r>
        <w:rPr>
          <w:color w:val="595959"/>
          <w:sz w:val="26"/>
        </w:rPr>
        <w:t>Evidence from NDB Open Data releases No.1-No.11</w:t>
      </w:r>
    </w:p>
    <w:p w14:paraId="1454E38F" w14:textId="77777777" w:rsidR="002D5388" w:rsidRDefault="00000000">
      <w:r>
        <w:rPr>
          <w:b/>
        </w:rPr>
        <w:t>Haruki Saito¹, Tetsuya Ohira¹²</w:t>
      </w:r>
    </w:p>
    <w:p w14:paraId="17AA9B33" w14:textId="77777777" w:rsidR="002D5388" w:rsidRDefault="00000000">
      <w:r>
        <w:t>¹ Department of Epidemiology, Fukushima Medical University School of Medicine, Fukushima, Japan. ² Radiation Medical Science Center for the Fukushima Health Management Survey, Fukushima Medical University, Fukushima, Japan.</w:t>
      </w:r>
    </w:p>
    <w:p w14:paraId="0710BA7D" w14:textId="77777777" w:rsidR="002D5388" w:rsidRDefault="00000000">
      <w:r>
        <w:rPr>
          <w:b/>
        </w:rPr>
        <w:t xml:space="preserve">Corresponding author: </w:t>
      </w:r>
      <w:r>
        <w:t>Haruki Saito, Department of Epidemiology, Fukushima Medical University School of Medicine, Fukushima, Japan. Email: m211039@fmu.ac.jp. ORCID: 0009-0009-7890-6068.</w:t>
      </w:r>
    </w:p>
    <w:p w14:paraId="27CF016A" w14:textId="77777777" w:rsidR="002D5388" w:rsidRDefault="00000000">
      <w:r>
        <w:rPr>
          <w:b/>
        </w:rPr>
        <w:t>Article type:</w:t>
      </w:r>
      <w:r>
        <w:t xml:space="preserve"> Research Paper</w:t>
      </w:r>
    </w:p>
    <w:p w14:paraId="4B75F53B" w14:textId="77777777" w:rsidR="002D5388" w:rsidRDefault="002D5388">
      <w:pPr>
        <w:pBdr>
          <w:bottom w:val="single" w:sz="8" w:space="6" w:color="D9E2F3"/>
        </w:pBdr>
      </w:pPr>
    </w:p>
    <w:p w14:paraId="074DBB58" w14:textId="77777777" w:rsidR="002D5388" w:rsidRDefault="00000000">
      <w:pPr>
        <w:pStyle w:val="1"/>
      </w:pPr>
      <w:r>
        <w:t>Abstract</w:t>
      </w:r>
    </w:p>
    <w:p w14:paraId="4C18C974" w14:textId="77777777" w:rsidR="002D5388" w:rsidRDefault="00000000">
      <w:r>
        <w:rPr>
          <w:b/>
        </w:rPr>
        <w:t xml:space="preserve">Objective: </w:t>
      </w:r>
      <w:r>
        <w:t>To demonstrate a pre-model audit of administrative healthcare data for AI-oriented research using NDB Open Data releases No.1-No.11.</w:t>
      </w:r>
    </w:p>
    <w:p w14:paraId="6DF5409A" w14:textId="77777777" w:rsidR="002D5388" w:rsidRDefault="00000000">
      <w:r>
        <w:rPr>
          <w:b/>
        </w:rPr>
        <w:t xml:space="preserve">Methods: </w:t>
      </w:r>
      <w:r>
        <w:t>We assessed release coverage, prefecture coverage, missing-state categories, unit and label stability, metric changes, structural changes, and sensitivity to handling of non-comparable or unknown-geography records. The audit was conducted before model development; no AI model fitting, prediction, calibration, or validation was performed.</w:t>
      </w:r>
    </w:p>
    <w:p w14:paraId="74BC4F80" w14:textId="77777777" w:rsidR="002D5388" w:rsidRDefault="00000000">
      <w:r>
        <w:rPr>
          <w:b/>
        </w:rPr>
        <w:t xml:space="preserve">Results: </w:t>
      </w:r>
      <w:r>
        <w:t>The extraction generated 146,376 long-format records. Overall, 119,733 records (81.8%) were observed, 25,732 (17.6%) were suppressed, 864 (0.6%) were prefecture_unknown, and 47 (0.03%) were metric_change. Nine selected diabetes/metabolic mean-value indicators were available in all 11 releases and 47 prefectures, with 100% observed cells and no suppression. Dental/oral disease-count indicators were available for 10 of 11 releases but had cell-level suppression and one non-comparable metric-change release.</w:t>
      </w:r>
    </w:p>
    <w:p w14:paraId="7742CF91" w14:textId="77777777" w:rsidR="002D5388" w:rsidRDefault="00000000">
      <w:r>
        <w:rPr>
          <w:b/>
        </w:rPr>
        <w:t xml:space="preserve">Conclusion: </w:t>
      </w:r>
      <w:r>
        <w:t>Administrative data readiness for AI-oriented research is conditional on the measurement construct, geographic unit, temporal window, and extraction logic. A pre-model audit can help distinguish file availability from study-ready data before AI-oriented analysis.</w:t>
      </w:r>
    </w:p>
    <w:p w14:paraId="5921E76F" w14:textId="77777777" w:rsidR="002D5388" w:rsidRDefault="00000000">
      <w:r>
        <w:rPr>
          <w:b/>
        </w:rPr>
        <w:t>Keywords:</w:t>
      </w:r>
      <w:r>
        <w:t xml:space="preserve"> Biomedical informatics; Administrative data; Data quality; Artificial intelligence; NDB Open Data; Reproducibility</w:t>
      </w:r>
    </w:p>
    <w:p w14:paraId="5F71C8A1" w14:textId="77777777" w:rsidR="002D5388" w:rsidRDefault="00000000">
      <w:pPr>
        <w:pStyle w:val="1"/>
      </w:pPr>
      <w:r>
        <w:t>1. Introduction</w:t>
      </w:r>
    </w:p>
    <w:p w14:paraId="2B2AB13D" w14:textId="77777777" w:rsidR="002D5388" w:rsidRDefault="00000000">
      <w:r>
        <w:t>Administrative healthcare data are increasingly used for AI-oriented research in medical informatics, health services research, epidemiology, and policy evaluation. These data are attractive because they can cover large populations, multiple years, and routine healthcare processes that would be difficult to collect prospectively. However, the availability of large administrative datasets does not by itself determine whether the data are ready for a specific AI-oriented research use. Before model development, investigators need to know whether the data provide stable, interpretable, and study-relevant measurements. [1-4]</w:t>
      </w:r>
    </w:p>
    <w:p w14:paraId="1FDE4874" w14:textId="77777777" w:rsidR="002D5388" w:rsidRDefault="00000000">
      <w:r>
        <w:t>NDB Open Data provides a useful case for examining this problem because it is public, large, repeatedly released, and structured around both health checkup indicators and claims-based healthcare information. At the same time, it is a released administrative dataset with formatting, labeling, aggregation, and suppression rules that may change over time. In this setting, AI-readiness cannot be assessed only by whether a file exists or whether a variable appears human-readable. It also requires checking whether variables remain machine-identifiable, whether units remain explicit, whether definitions remain stable, and whether cell-level observability differs across domains.</w:t>
      </w:r>
    </w:p>
    <w:p w14:paraId="2D8E5512" w14:textId="77777777" w:rsidR="002D5388" w:rsidRDefault="00000000">
      <w:r>
        <w:t>This study demonstrates a pre-model audit of NDB Open Data for AI-oriented research. We use releases No.1 to No.11 to examine whether selected diabetes/metabolic mean-value indicators and dental/oral disease-count indicators can support reproducible prefecture-year panels. We focus on data-side measurement conditions rather than model performance. Specifically, we assess release coverage, prefecture coverage, missing-state categories, unit and label stability, metric changes, and sensitivity to handling of non-comparable or unknown-geography records. [6]</w:t>
      </w:r>
    </w:p>
    <w:p w14:paraId="48625F97" w14:textId="77777777" w:rsidR="002D5388" w:rsidRDefault="00000000">
      <w:r>
        <w:t>The contribution of this paper is methodological. We do not propose a final composite score for administrative data quality, and we do not evaluate AI prediction performance. Instead, we provide an empirical demonstration of how administrative data can be audited before AI-oriented analysis. This approach treats administrative healthcare data as a measurement system whose readiness depends on the research question, outcome definition, time period, geographic unit, and extraction rules. The resulting audit domains can support more transparent study planning and can provide a basis for later development of an administrative data reliability framework. [3,4]</w:t>
      </w:r>
    </w:p>
    <w:p w14:paraId="5C04D6F9" w14:textId="77777777" w:rsidR="002D5388" w:rsidRDefault="00000000">
      <w:pPr>
        <w:pStyle w:val="1"/>
      </w:pPr>
      <w:r>
        <w:t>2. Related Work</w:t>
      </w:r>
    </w:p>
    <w:p w14:paraId="40B80033" w14:textId="77777777" w:rsidR="002D5388" w:rsidRDefault="00000000">
      <w:r>
        <w:t>Administrative healthcare data are generated for reimbursement, service management, public reporting, and policy administration rather than primarily for AI model development. As a result, their analytic value depends on data-side conditions such as time continuity, geographic resolution, outcome definition, coding stability, suppression rules, unit labeling, file structure, and the reproducibility of candidate input features. These conditions may affect whether an automated pipeline can identify the intended variable, whether a time series is comparable across releases, and whether missingness reflects privacy suppression, structural non-observability, or a true absence of data. [1,3,4]</w:t>
      </w:r>
    </w:p>
    <w:p w14:paraId="6DEC7406" w14:textId="77777777" w:rsidR="002D5388" w:rsidRDefault="00000000">
      <w:r>
        <w:t>Current evaluations of healthcare AI often focus on model architecture, internal validation, external validation, calibration, fairness, and interpretability. These issues are essential, but they are downstream of the data measurement system. Administrative data studies also commonly report limitations after analysis, such as coding changes or missing values, but these limitations are less often converted into explicit pre-model evaluation domains. This leaves a methodological gap: the same administrative data source may be ready for one outcome, time frame, or geographic unit, but not for another. [2,5]</w:t>
      </w:r>
    </w:p>
    <w:p w14:paraId="232BFFAB" w14:textId="77777777" w:rsidR="002D5388" w:rsidRDefault="00000000">
      <w:pPr>
        <w:pStyle w:val="1"/>
      </w:pPr>
      <w:r>
        <w:t>3. Methods</w:t>
      </w:r>
    </w:p>
    <w:p w14:paraId="69FC15C4" w14:textId="77777777" w:rsidR="002D5388" w:rsidRDefault="00000000">
      <w:pPr>
        <w:pStyle w:val="21"/>
      </w:pPr>
      <w:r>
        <w:t>3.1 Study design</w:t>
      </w:r>
    </w:p>
    <w:p w14:paraId="06DBE775" w14:textId="77777777" w:rsidR="002D5388" w:rsidRDefault="00000000">
      <w:r>
        <w:t>We conducted a methodological evaluation of administrative healthcare data readiness for AI-oriented research using NDB Open Data as an empirical case study. The analysis was designed to evaluate data-side measurement conditions before model development. No AI model fitting, prediction, or model optimization was performed. The evaluation combined file inventory, indicator selection, full prefecture-year panel extraction, unit and label audits, missing-state classification, structural-change documentation, and sensitivity analyses.</w:t>
      </w:r>
    </w:p>
    <w:p w14:paraId="3D4B3285" w14:textId="77777777" w:rsidR="002D5388" w:rsidRDefault="00000000">
      <w:pPr>
        <w:pStyle w:val="21"/>
      </w:pPr>
      <w:r>
        <w:t>3.2 Data source</w:t>
      </w:r>
    </w:p>
    <w:p w14:paraId="08DDE8F1" w14:textId="77777777" w:rsidR="002D5388" w:rsidRDefault="00000000">
      <w:r>
        <w:t>The data source was NDB Open Data releases No.1 to No.11. These releases covered specific health checkup data from FY2013 to FY2023 and claims-based dental/oral disease-count data from FY2014 to FY2024. All source files were treated as read-only. The working extraction generated long-format analytic files from the public release files while preserving release number, fiscal year, data-year type, source file, source sheet, indicator label, prefecture, sex, age group, value, unit, metric type, and missing-state information.</w:t>
      </w:r>
    </w:p>
    <w:p w14:paraId="443E2A1C" w14:textId="77777777" w:rsidR="002D5388" w:rsidRDefault="00000000">
      <w:pPr>
        <w:pStyle w:val="21"/>
      </w:pPr>
      <w:r>
        <w:lastRenderedPageBreak/>
        <w:t>3.3 Study units</w:t>
      </w:r>
    </w:p>
    <w:p w14:paraId="1FE255BB" w14:textId="77777777" w:rsidR="002D5388" w:rsidRDefault="00000000">
      <w:r>
        <w:t>The main analytic unit was the prefecture-year panel. For diabetes/metabolic indicators, the extraction used specific health checkup mean-value files and retained sex and age-group strata when present. For dental/oral indicators, the extraction used prefecture-level disease-count files. Rows with unknown prefecture information were excluded from the main prefecture-year panel but retained in the analytic output with missing_state coded as prefecture_unknown.</w:t>
      </w:r>
    </w:p>
    <w:p w14:paraId="48FFAD71" w14:textId="77777777" w:rsidR="002D5388" w:rsidRDefault="00000000">
      <w:pPr>
        <w:pStyle w:val="21"/>
      </w:pPr>
      <w:r>
        <w:t>3.4 Indicator selection</w:t>
      </w:r>
    </w:p>
    <w:p w14:paraId="13AD9EF8" w14:textId="77777777" w:rsidR="002D5388" w:rsidRDefault="00000000">
      <w:r>
        <w:t>Two primary indicator domains were specified before full extraction. The diabetes/metabolic domain included nine selected mean-value indicators: HbA1C, fasting glucose, body mass index, waist circumference, systolic blood pressure, diastolic blood pressure, triglycerides, LDL cholesterol, and HDL cholesterol. These indicators were selected because they are repeatedly released health checkup mean values and therefore provide a test case for longitudinal, prefecture-level measurement stability. The dental/oral domain used dental disease counts as the primary dental outcome because count-based claims indicators are more likely to expose suppression, metric comparability, and outcome-definition issues. The two domains were therefore chosen as contrasting examples rather than as a comprehensive assessment of all NDB Open Data variables. Dental service or procedure counts were treated as a separate administrative utilization measure and were not mixed with disease counts in the main panel.</w:t>
      </w:r>
    </w:p>
    <w:p w14:paraId="06B85E8C" w14:textId="77777777" w:rsidR="002D5388" w:rsidRDefault="00000000">
      <w:pPr>
        <w:pStyle w:val="21"/>
      </w:pPr>
      <w:r>
        <w:t>3.5 Full-panel extraction</w:t>
      </w:r>
    </w:p>
    <w:p w14:paraId="6A0FDB27" w14:textId="77777777" w:rsidR="002D5388" w:rsidRDefault="00000000">
      <w:r>
        <w:t>The full-panel extraction was performed across all 11 NDB Open Data releases. For No.1 specific health checkup data, the visit-age aggregation was selected to maintain consistency with later releases. For dental/oral data, release No.8 was not included in the main dental disease-count panel because its metric changed from disease counts to service/procedure counts. The corresponding records were retained as metric_change for documentation and sensitivity analysis rather than treated as observed disease-count values.</w:t>
      </w:r>
    </w:p>
    <w:p w14:paraId="7D574D24" w14:textId="77777777" w:rsidR="002D5388" w:rsidRDefault="00000000">
      <w:pPr>
        <w:pStyle w:val="21"/>
      </w:pPr>
      <w:r>
        <w:t>3.6 Unit and label audit</w:t>
      </w:r>
    </w:p>
    <w:p w14:paraId="19376673" w14:textId="77777777" w:rsidR="002D5388" w:rsidRDefault="00000000">
      <w:r>
        <w:t>A unit and label audit was conducted before treating HbA1C values as comparable across releases. HbA1C labels in releases No.1 to No.5 explicitly included NGSP notation. Releases No.6 to No.11 contained HbA1C labels without explicit NGSP unit notation. No release contained a competing JDS label. HbA1C values were therefore handled as NGSP (%) values, while the loss of explicit unit notation from No.6 onward was retained as a documented format change. Indicator labels were normalized when needed for extraction. In particular, LDL and HDL labels were shortened in later releases, and extraction required normalization and bidirectional matching to avoid missing these indicators.</w:t>
      </w:r>
    </w:p>
    <w:p w14:paraId="7D6213BA" w14:textId="77777777" w:rsidR="002D5388" w:rsidRDefault="00000000">
      <w:pPr>
        <w:pStyle w:val="21"/>
      </w:pPr>
      <w:r>
        <w:t>3.7 Missing-state classification</w:t>
      </w:r>
    </w:p>
    <w:p w14:paraId="369BD17D" w14:textId="77777777" w:rsidR="002D5388" w:rsidRDefault="00000000">
      <w:r>
        <w:t xml:space="preserve">Each extracted record was assigned a missing_state category. The categories were observed, suppressed, metric_change, prefecture_unknown, parse_error, and not_applicable when relevant. Suppressed cells were retained as missing values and were not recoded as zero. Metric-change records were used for releases or rows in which the observed quantity was not comparable with the main </w:t>
      </w:r>
      <w:r>
        <w:lastRenderedPageBreak/>
        <w:t>metric definition. Prefecture-unknown records were retained for auditability but excluded from the main prefecture-year panel.</w:t>
      </w:r>
    </w:p>
    <w:p w14:paraId="12C07943" w14:textId="77777777" w:rsidR="002D5388" w:rsidRDefault="00000000">
      <w:pPr>
        <w:pStyle w:val="21"/>
      </w:pPr>
      <w:r>
        <w:t>3.8 Coverage and structural-change profiles</w:t>
      </w:r>
    </w:p>
    <w:p w14:paraId="7CF8B270" w14:textId="77777777" w:rsidR="002D5388" w:rsidRDefault="00000000">
      <w:r>
        <w:t>Coverage profiles were generated by release, fiscal year, indicator, prefecture, and missing_state. We summarized the availability of each indicator across releases and prefectures, the distribution of suppressed cells, and documented structural changes that affected automated extraction. Structural-change documentation included file-name or label changes, unit-label changes, file-structure changes, and metric-definition changes.</w:t>
      </w:r>
    </w:p>
    <w:p w14:paraId="6BE26E3E" w14:textId="77777777" w:rsidR="002D5388" w:rsidRDefault="00000000">
      <w:pPr>
        <w:pStyle w:val="21"/>
      </w:pPr>
      <w:r>
        <w:t>3.9 Sensitivity analyses</w:t>
      </w:r>
    </w:p>
    <w:p w14:paraId="68AC2E97" w14:textId="77777777" w:rsidR="002D5388" w:rsidRDefault="00000000">
      <w:r>
        <w:t>Three sensitivity scenarios were specified. The main-analysis scenario excluded No.8 dental data as metric_change and excluded prefecture_unknown rows from the main prefecture-year panel. A second scenario retained No.8 dental records with the metric_change flag to document their effect on record counts without treating them as observed dental disease counts. A third scenario retained prefecture_unknown rows to evaluate their effect on overall observation rates. These sensitivity analyses were used to describe robustness of the data inventory and missing-state profile, not to estimate clinical or causal effects.</w:t>
      </w:r>
    </w:p>
    <w:p w14:paraId="3084509D" w14:textId="77777777" w:rsidR="002D5388" w:rsidRDefault="00000000">
      <w:pPr>
        <w:pStyle w:val="21"/>
      </w:pPr>
      <w:r>
        <w:t>3.10 Software and reproducibility</w:t>
      </w:r>
    </w:p>
    <w:p w14:paraId="5F15773E" w14:textId="77777777" w:rsidR="002D5388" w:rsidRDefault="00000000">
      <w:r>
        <w:t>The analysis generated reproducible scripts for unit-title auditing, full-panel extraction, coverage profiling, and figure generation. The main outputs included a full long-format panel, a unit-title audit table, a coverage matrix, a missing/suppression profile table, a sensitivity summary, and manuscript-ready tables and Figure 1. Source files were not modified during the workflow.</w:t>
      </w:r>
    </w:p>
    <w:p w14:paraId="558C680E" w14:textId="77777777" w:rsidR="002D5388" w:rsidRDefault="00000000">
      <w:pPr>
        <w:pStyle w:val="21"/>
      </w:pPr>
      <w:r>
        <w:t>3.11 Interpretation of long-format record counts</w:t>
      </w:r>
    </w:p>
    <w:p w14:paraId="0680B576" w14:textId="77777777" w:rsidR="002D5388" w:rsidRDefault="00000000">
      <w:r>
        <w:t>The 146,376 extracted records represent long-format analytic cells, not individual patients or claims. The diabetes/metabolic records reflect selected indicators across releases, prefectures, and available sex or age strata when present. The dental/oral records reflect prefecture-level disease-count cells across releases and disease-count categories, with cells classified as observed or suppressed according to the extracted missing_state. Therefore, the total record count is larger than a simple 9-indicator by 11-release by 47-prefecture panel and should be interpreted as the size of the audited measurement inventory.</w:t>
      </w:r>
    </w:p>
    <w:p w14:paraId="12BE1137" w14:textId="77777777" w:rsidR="002D5388" w:rsidRDefault="00000000">
      <w:pPr>
        <w:pStyle w:val="1"/>
      </w:pPr>
      <w:r>
        <w:t>4. Results</w:t>
      </w:r>
    </w:p>
    <w:p w14:paraId="20A717F1" w14:textId="77777777" w:rsidR="002D5388" w:rsidRDefault="00000000">
      <w:pPr>
        <w:pStyle w:val="21"/>
      </w:pPr>
      <w:r>
        <w:t>4.1 Data inventory and extraction output</w:t>
      </w:r>
    </w:p>
    <w:p w14:paraId="454E2B6D" w14:textId="77777777" w:rsidR="002D5388" w:rsidRDefault="00000000">
      <w:r>
        <w:t xml:space="preserve">The full-panel extraction used 11 NDB Open Data releases. The analytic output contained 146,376 long-format records across diabetes/metabolic indicators and dental/oral disease-count indicators. Of these records, 119,733 (81.8%) contained observed numeric values, 25,732 (17.6%) were coded as </w:t>
      </w:r>
      <w:r>
        <w:lastRenderedPageBreak/>
        <w:t>suppressed, 864 (0.6%) were coded as prefecture_unknown, and 47 (0.03%) were coded as metric_change. No AI model fitting was performed in this phase.</w:t>
      </w:r>
    </w:p>
    <w:p w14:paraId="62E4DB3F" w14:textId="77777777" w:rsidR="002D5388" w:rsidRDefault="00000000">
      <w:pPr>
        <w:pStyle w:val="21"/>
      </w:pPr>
      <w:r>
        <w:t>4.2 Diabetes and metabolic indicators</w:t>
      </w:r>
    </w:p>
    <w:p w14:paraId="00BBFA40" w14:textId="77777777" w:rsidR="002D5388" w:rsidRDefault="00000000">
      <w:r>
        <w:t>Nine selected diabetes/metabolic mean-value indicators were extracted from the specific health checkup data: HbA1C, fasting glucose, body mass index, waist circumference, systolic blood pressure, diastolic blood pressure, triglycerides, LDL cholesterol, and HDL cholesterol. Each indicator was available in all 11 releases and had 100% prefecture coverage across 47 prefectures. The extracted mean-value cells for these indicators had an observed rate of 100% and a suppression rate of 0%.</w:t>
      </w:r>
    </w:p>
    <w:p w14:paraId="467C0E1D" w14:textId="77777777" w:rsidR="002D5388" w:rsidRDefault="00000000">
      <w:pPr>
        <w:pStyle w:val="21"/>
      </w:pPr>
      <w:r>
        <w:t>4.3 HbA1C unit labeling</w:t>
      </w:r>
    </w:p>
    <w:p w14:paraId="20365677" w14:textId="77777777" w:rsidR="002D5388" w:rsidRDefault="00000000">
      <w:r>
        <w:t>The HbA1C unit audit identified explicit NGSP labeling in releases No.1 to No.5. Releases No.6 to No.11 contained HbA1C labels without explicit NGSP unit notation. No release contained a competing JDS label. The full-panel extraction therefore treated HbA1C as NGSP (%) while retaining the loss of explicit unit labeling as a documented format change.</w:t>
      </w:r>
    </w:p>
    <w:p w14:paraId="5F9FCFB2" w14:textId="77777777" w:rsidR="002D5388" w:rsidRDefault="00000000">
      <w:pPr>
        <w:pStyle w:val="21"/>
      </w:pPr>
      <w:r>
        <w:t>4.4 Dental and oral disease-count indicators</w:t>
      </w:r>
    </w:p>
    <w:p w14:paraId="10EFCFE9" w14:textId="77777777" w:rsidR="002D5388" w:rsidRDefault="00000000">
      <w:r>
        <w:t>Dental/oral disease-count data were extractable for 10 of 11 releases at the prefecture level. Release No.8 was coded as metric_change because the dental metric changed from disease counts to service/procedure counts, and it was excluded from the main dental disease-count panel. Across the usable dental releases, prefecture coverage was 100%, but cell-level suppression was present. Suppression rates were approximately 41% to 47% from FY2014 to FY2020 and approximately 18% to 20% from FY2022 to FY2024.</w:t>
      </w:r>
    </w:p>
    <w:p w14:paraId="5B07D4DE" w14:textId="77777777" w:rsidR="002D5388" w:rsidRDefault="00000000">
      <w:pPr>
        <w:pStyle w:val="21"/>
      </w:pPr>
      <w:r>
        <w:t>4.5 Missing-state profile</w:t>
      </w:r>
    </w:p>
    <w:p w14:paraId="567E1D77" w14:textId="77777777" w:rsidR="002D5388" w:rsidRDefault="00000000">
      <w:r>
        <w:t>The extraction distinguished observed values, suppressed cells, prefecture-unknown rows, and metric-change records. Suppressed cells accounted for 17.6% of all extracted records and occurred in the dental/oral domain rather than in the selected diabetes/metabolic mean-value indicators. Prefecture-unknown rows accounted for 0.6% of records and were retained with a separate missing_state code rather than included in the main prefecture-year panel.</w:t>
      </w:r>
    </w:p>
    <w:p w14:paraId="3F3D4FBF" w14:textId="77777777" w:rsidR="002D5388" w:rsidRDefault="00000000">
      <w:pPr>
        <w:pStyle w:val="21"/>
      </w:pPr>
      <w:r>
        <w:t>4.6 Structural changes relevant to automated extraction</w:t>
      </w:r>
    </w:p>
    <w:p w14:paraId="2E293358" w14:textId="77777777" w:rsidR="002D5388" w:rsidRDefault="00000000">
      <w:r>
        <w:t>Nine undocumented structural changes were identified across releases No.1 to No.11. Supplementary Table S2 summarizes five extraction-relevant changes documented during full-panel extraction, including LDL and HDL label shortening in releases No.6 to No.11, which required normalization and bidirectional matching to avoid missed extraction; HbA1C unit notation removal from item labels in releases No.6 to No.11; mean-value file-structure changes in releases No.10 and No.11; the No.8 dental metric change; and lower dental suppression rates from FY2022 onward. These changes were recorded as data-structure findings rather than interpreted as model performance results.</w:t>
      </w:r>
    </w:p>
    <w:p w14:paraId="7DA39274" w14:textId="77777777" w:rsidR="002D5388" w:rsidRDefault="00000000">
      <w:pPr>
        <w:pStyle w:val="21"/>
      </w:pPr>
      <w:r>
        <w:lastRenderedPageBreak/>
        <w:t>4.7 Sensitivity analyses</w:t>
      </w:r>
    </w:p>
    <w:p w14:paraId="07366408" w14:textId="77777777" w:rsidR="002D5388" w:rsidRDefault="00000000">
      <w:r>
        <w:t>Three sensitivity scenarios were summarized (Supplementary Table S1). In the main-analysis scenario, release No.8 dental data were excluded as metric_change and prefecture_unknown rows were excluded from the main panel. Under this scenario, diabetes/metabolic indicators had 100% observation across 9 indicators, 11 releases, and 47 prefectures, while dental disease-count records had 63.8% observed cells and 36.2% suppressed cells. Including release No.8 added 47 metric_change records without observed dental disease-count values. Including prefecture_unknown rows added 96 HbA1C records and had limited effect on the overall observation profile.</w:t>
      </w:r>
    </w:p>
    <w:p w14:paraId="4CA82BFF" w14:textId="77777777" w:rsidR="002D5388" w:rsidRDefault="00000000">
      <w:pPr>
        <w:pStyle w:val="1"/>
      </w:pPr>
      <w:r>
        <w:t>Tables</w:t>
      </w:r>
    </w:p>
    <w:p w14:paraId="6AACAC1A" w14:textId="77777777" w:rsidR="002D5388" w:rsidRDefault="00000000">
      <w:pPr>
        <w:spacing w:before="160" w:after="80"/>
      </w:pPr>
      <w:r>
        <w:t>Table 1. Summary of extracted NDB Open Data records by missing-state category.</w:t>
      </w:r>
    </w:p>
    <w:tbl>
      <w:tblPr>
        <w:tblStyle w:val="afe"/>
        <w:tblW w:w="9360" w:type="dxa"/>
        <w:jc w:val="center"/>
        <w:tblLayout w:type="fixed"/>
        <w:tblLook w:val="04A0" w:firstRow="1" w:lastRow="0" w:firstColumn="1" w:lastColumn="0" w:noHBand="0" w:noVBand="1"/>
      </w:tblPr>
      <w:tblGrid>
        <w:gridCol w:w="2200"/>
        <w:gridCol w:w="1500"/>
        <w:gridCol w:w="1300"/>
        <w:gridCol w:w="4360"/>
      </w:tblGrid>
      <w:tr w:rsidR="002D5388" w14:paraId="750A49A9" w14:textId="77777777">
        <w:trPr>
          <w:jc w:val="center"/>
        </w:trPr>
        <w:tc>
          <w:tcPr>
            <w:tcW w:w="2200" w:type="dxa"/>
            <w:shd w:val="clear" w:color="auto" w:fill="F2F4F7"/>
            <w:tcMar>
              <w:top w:w="80" w:type="dxa"/>
              <w:left w:w="120" w:type="dxa"/>
              <w:bottom w:w="80" w:type="dxa"/>
              <w:right w:w="120" w:type="dxa"/>
            </w:tcMar>
            <w:vAlign w:val="center"/>
          </w:tcPr>
          <w:p w14:paraId="7D5352CF" w14:textId="77777777" w:rsidR="002D5388" w:rsidRDefault="00000000">
            <w:pPr>
              <w:spacing w:after="40"/>
            </w:pPr>
            <w:r>
              <w:rPr>
                <w:b/>
                <w:sz w:val="17"/>
              </w:rPr>
              <w:t>Missing-state category</w:t>
            </w:r>
          </w:p>
        </w:tc>
        <w:tc>
          <w:tcPr>
            <w:tcW w:w="1500" w:type="dxa"/>
            <w:shd w:val="clear" w:color="auto" w:fill="F2F4F7"/>
            <w:tcMar>
              <w:top w:w="80" w:type="dxa"/>
              <w:left w:w="120" w:type="dxa"/>
              <w:bottom w:w="80" w:type="dxa"/>
              <w:right w:w="120" w:type="dxa"/>
            </w:tcMar>
            <w:vAlign w:val="center"/>
          </w:tcPr>
          <w:p w14:paraId="009CC896" w14:textId="77777777" w:rsidR="002D5388" w:rsidRDefault="00000000">
            <w:pPr>
              <w:spacing w:after="40"/>
            </w:pPr>
            <w:r>
              <w:rPr>
                <w:b/>
                <w:sz w:val="17"/>
              </w:rPr>
              <w:t>Records</w:t>
            </w:r>
          </w:p>
        </w:tc>
        <w:tc>
          <w:tcPr>
            <w:tcW w:w="1300" w:type="dxa"/>
            <w:shd w:val="clear" w:color="auto" w:fill="F2F4F7"/>
            <w:tcMar>
              <w:top w:w="80" w:type="dxa"/>
              <w:left w:w="120" w:type="dxa"/>
              <w:bottom w:w="80" w:type="dxa"/>
              <w:right w:w="120" w:type="dxa"/>
            </w:tcMar>
            <w:vAlign w:val="center"/>
          </w:tcPr>
          <w:p w14:paraId="19C7DFDC" w14:textId="77777777" w:rsidR="002D5388" w:rsidRDefault="00000000">
            <w:pPr>
              <w:spacing w:after="40"/>
            </w:pPr>
            <w:r>
              <w:rPr>
                <w:b/>
                <w:sz w:val="17"/>
              </w:rPr>
              <w:t>Percentage</w:t>
            </w:r>
          </w:p>
        </w:tc>
        <w:tc>
          <w:tcPr>
            <w:tcW w:w="4360" w:type="dxa"/>
            <w:shd w:val="clear" w:color="auto" w:fill="F2F4F7"/>
            <w:tcMar>
              <w:top w:w="80" w:type="dxa"/>
              <w:left w:w="120" w:type="dxa"/>
              <w:bottom w:w="80" w:type="dxa"/>
              <w:right w:w="120" w:type="dxa"/>
            </w:tcMar>
            <w:vAlign w:val="center"/>
          </w:tcPr>
          <w:p w14:paraId="23E3CBB3" w14:textId="77777777" w:rsidR="002D5388" w:rsidRDefault="00000000">
            <w:pPr>
              <w:spacing w:after="40"/>
            </w:pPr>
            <w:r>
              <w:rPr>
                <w:b/>
                <w:sz w:val="17"/>
              </w:rPr>
              <w:t>Interpretation</w:t>
            </w:r>
          </w:p>
        </w:tc>
      </w:tr>
      <w:tr w:rsidR="002D5388" w14:paraId="3568B2EA" w14:textId="77777777">
        <w:trPr>
          <w:jc w:val="center"/>
        </w:trPr>
        <w:tc>
          <w:tcPr>
            <w:tcW w:w="2200" w:type="dxa"/>
            <w:tcMar>
              <w:top w:w="80" w:type="dxa"/>
              <w:left w:w="120" w:type="dxa"/>
              <w:bottom w:w="80" w:type="dxa"/>
              <w:right w:w="120" w:type="dxa"/>
            </w:tcMar>
            <w:vAlign w:val="center"/>
          </w:tcPr>
          <w:p w14:paraId="26B8C05C" w14:textId="77777777" w:rsidR="002D5388" w:rsidRDefault="00000000">
            <w:pPr>
              <w:spacing w:after="40"/>
            </w:pPr>
            <w:r>
              <w:rPr>
                <w:sz w:val="17"/>
              </w:rPr>
              <w:t>Observed</w:t>
            </w:r>
          </w:p>
        </w:tc>
        <w:tc>
          <w:tcPr>
            <w:tcW w:w="1500" w:type="dxa"/>
            <w:tcMar>
              <w:top w:w="80" w:type="dxa"/>
              <w:left w:w="120" w:type="dxa"/>
              <w:bottom w:w="80" w:type="dxa"/>
              <w:right w:w="120" w:type="dxa"/>
            </w:tcMar>
            <w:vAlign w:val="center"/>
          </w:tcPr>
          <w:p w14:paraId="18B85122" w14:textId="77777777" w:rsidR="002D5388" w:rsidRDefault="00000000">
            <w:pPr>
              <w:spacing w:after="40"/>
            </w:pPr>
            <w:r>
              <w:rPr>
                <w:sz w:val="17"/>
              </w:rPr>
              <w:t>119,733</w:t>
            </w:r>
          </w:p>
        </w:tc>
        <w:tc>
          <w:tcPr>
            <w:tcW w:w="1300" w:type="dxa"/>
            <w:tcMar>
              <w:top w:w="80" w:type="dxa"/>
              <w:left w:w="120" w:type="dxa"/>
              <w:bottom w:w="80" w:type="dxa"/>
              <w:right w:w="120" w:type="dxa"/>
            </w:tcMar>
            <w:vAlign w:val="center"/>
          </w:tcPr>
          <w:p w14:paraId="720D324E" w14:textId="77777777" w:rsidR="002D5388" w:rsidRDefault="00000000">
            <w:pPr>
              <w:spacing w:after="40"/>
            </w:pPr>
            <w:r>
              <w:rPr>
                <w:sz w:val="17"/>
              </w:rPr>
              <w:t>81.8%</w:t>
            </w:r>
          </w:p>
        </w:tc>
        <w:tc>
          <w:tcPr>
            <w:tcW w:w="4360" w:type="dxa"/>
            <w:tcMar>
              <w:top w:w="80" w:type="dxa"/>
              <w:left w:w="120" w:type="dxa"/>
              <w:bottom w:w="80" w:type="dxa"/>
              <w:right w:w="120" w:type="dxa"/>
            </w:tcMar>
            <w:vAlign w:val="center"/>
          </w:tcPr>
          <w:p w14:paraId="7F4FD9EF" w14:textId="77777777" w:rsidR="002D5388" w:rsidRDefault="00000000">
            <w:pPr>
              <w:spacing w:after="40"/>
            </w:pPr>
            <w:r>
              <w:rPr>
                <w:sz w:val="17"/>
              </w:rPr>
              <w:t>Numeric value available for analysis.</w:t>
            </w:r>
          </w:p>
        </w:tc>
      </w:tr>
      <w:tr w:rsidR="002D5388" w14:paraId="744298C2" w14:textId="77777777">
        <w:trPr>
          <w:jc w:val="center"/>
        </w:trPr>
        <w:tc>
          <w:tcPr>
            <w:tcW w:w="2200" w:type="dxa"/>
            <w:tcMar>
              <w:top w:w="80" w:type="dxa"/>
              <w:left w:w="120" w:type="dxa"/>
              <w:bottom w:w="80" w:type="dxa"/>
              <w:right w:w="120" w:type="dxa"/>
            </w:tcMar>
            <w:vAlign w:val="center"/>
          </w:tcPr>
          <w:p w14:paraId="0CA4960D" w14:textId="77777777" w:rsidR="002D5388" w:rsidRDefault="00000000">
            <w:pPr>
              <w:spacing w:after="40"/>
            </w:pPr>
            <w:r>
              <w:rPr>
                <w:sz w:val="17"/>
              </w:rPr>
              <w:t>Suppressed</w:t>
            </w:r>
          </w:p>
        </w:tc>
        <w:tc>
          <w:tcPr>
            <w:tcW w:w="1500" w:type="dxa"/>
            <w:tcMar>
              <w:top w:w="80" w:type="dxa"/>
              <w:left w:w="120" w:type="dxa"/>
              <w:bottom w:w="80" w:type="dxa"/>
              <w:right w:w="120" w:type="dxa"/>
            </w:tcMar>
            <w:vAlign w:val="center"/>
          </w:tcPr>
          <w:p w14:paraId="211D1870" w14:textId="77777777" w:rsidR="002D5388" w:rsidRDefault="00000000">
            <w:pPr>
              <w:spacing w:after="40"/>
            </w:pPr>
            <w:r>
              <w:rPr>
                <w:sz w:val="17"/>
              </w:rPr>
              <w:t>25,732</w:t>
            </w:r>
          </w:p>
        </w:tc>
        <w:tc>
          <w:tcPr>
            <w:tcW w:w="1300" w:type="dxa"/>
            <w:tcMar>
              <w:top w:w="80" w:type="dxa"/>
              <w:left w:w="120" w:type="dxa"/>
              <w:bottom w:w="80" w:type="dxa"/>
              <w:right w:w="120" w:type="dxa"/>
            </w:tcMar>
            <w:vAlign w:val="center"/>
          </w:tcPr>
          <w:p w14:paraId="743F3E80" w14:textId="77777777" w:rsidR="002D5388" w:rsidRDefault="00000000">
            <w:pPr>
              <w:spacing w:after="40"/>
            </w:pPr>
            <w:r>
              <w:rPr>
                <w:sz w:val="17"/>
              </w:rPr>
              <w:t>17.6%</w:t>
            </w:r>
          </w:p>
        </w:tc>
        <w:tc>
          <w:tcPr>
            <w:tcW w:w="4360" w:type="dxa"/>
            <w:tcMar>
              <w:top w:w="80" w:type="dxa"/>
              <w:left w:w="120" w:type="dxa"/>
              <w:bottom w:w="80" w:type="dxa"/>
              <w:right w:w="120" w:type="dxa"/>
            </w:tcMar>
            <w:vAlign w:val="center"/>
          </w:tcPr>
          <w:p w14:paraId="394DAF15" w14:textId="77777777" w:rsidR="002D5388" w:rsidRDefault="00000000">
            <w:pPr>
              <w:spacing w:after="40"/>
            </w:pPr>
            <w:r>
              <w:rPr>
                <w:sz w:val="17"/>
              </w:rPr>
              <w:t>Cell suppressed; retained as missing, not recoded as zero.</w:t>
            </w:r>
          </w:p>
        </w:tc>
      </w:tr>
      <w:tr w:rsidR="002D5388" w14:paraId="304442A5" w14:textId="77777777">
        <w:trPr>
          <w:jc w:val="center"/>
        </w:trPr>
        <w:tc>
          <w:tcPr>
            <w:tcW w:w="2200" w:type="dxa"/>
            <w:tcMar>
              <w:top w:w="80" w:type="dxa"/>
              <w:left w:w="120" w:type="dxa"/>
              <w:bottom w:w="80" w:type="dxa"/>
              <w:right w:w="120" w:type="dxa"/>
            </w:tcMar>
            <w:vAlign w:val="center"/>
          </w:tcPr>
          <w:p w14:paraId="39EB4C67" w14:textId="77777777" w:rsidR="002D5388" w:rsidRDefault="00000000">
            <w:pPr>
              <w:spacing w:after="40"/>
            </w:pPr>
            <w:r>
              <w:rPr>
                <w:sz w:val="17"/>
              </w:rPr>
              <w:t>Prefecture_unknown</w:t>
            </w:r>
          </w:p>
        </w:tc>
        <w:tc>
          <w:tcPr>
            <w:tcW w:w="1500" w:type="dxa"/>
            <w:tcMar>
              <w:top w:w="80" w:type="dxa"/>
              <w:left w:w="120" w:type="dxa"/>
              <w:bottom w:w="80" w:type="dxa"/>
              <w:right w:w="120" w:type="dxa"/>
            </w:tcMar>
            <w:vAlign w:val="center"/>
          </w:tcPr>
          <w:p w14:paraId="12DEE410" w14:textId="77777777" w:rsidR="002D5388" w:rsidRDefault="00000000">
            <w:pPr>
              <w:spacing w:after="40"/>
            </w:pPr>
            <w:r>
              <w:rPr>
                <w:sz w:val="17"/>
              </w:rPr>
              <w:t>864</w:t>
            </w:r>
          </w:p>
        </w:tc>
        <w:tc>
          <w:tcPr>
            <w:tcW w:w="1300" w:type="dxa"/>
            <w:tcMar>
              <w:top w:w="80" w:type="dxa"/>
              <w:left w:w="120" w:type="dxa"/>
              <w:bottom w:w="80" w:type="dxa"/>
              <w:right w:w="120" w:type="dxa"/>
            </w:tcMar>
            <w:vAlign w:val="center"/>
          </w:tcPr>
          <w:p w14:paraId="0BDFE8B9" w14:textId="77777777" w:rsidR="002D5388" w:rsidRDefault="00000000">
            <w:pPr>
              <w:spacing w:after="40"/>
            </w:pPr>
            <w:r>
              <w:rPr>
                <w:sz w:val="17"/>
              </w:rPr>
              <w:t>0.6%</w:t>
            </w:r>
          </w:p>
        </w:tc>
        <w:tc>
          <w:tcPr>
            <w:tcW w:w="4360" w:type="dxa"/>
            <w:tcMar>
              <w:top w:w="80" w:type="dxa"/>
              <w:left w:w="120" w:type="dxa"/>
              <w:bottom w:w="80" w:type="dxa"/>
              <w:right w:w="120" w:type="dxa"/>
            </w:tcMar>
            <w:vAlign w:val="center"/>
          </w:tcPr>
          <w:p w14:paraId="27EFA972" w14:textId="77777777" w:rsidR="002D5388" w:rsidRDefault="00000000">
            <w:pPr>
              <w:spacing w:after="40"/>
            </w:pPr>
            <w:r>
              <w:rPr>
                <w:sz w:val="17"/>
              </w:rPr>
              <w:t>Retained for auditability; excluded from main prefecture-year panel.</w:t>
            </w:r>
          </w:p>
        </w:tc>
      </w:tr>
      <w:tr w:rsidR="002D5388" w14:paraId="09CC462C" w14:textId="77777777">
        <w:trPr>
          <w:jc w:val="center"/>
        </w:trPr>
        <w:tc>
          <w:tcPr>
            <w:tcW w:w="2200" w:type="dxa"/>
            <w:tcMar>
              <w:top w:w="80" w:type="dxa"/>
              <w:left w:w="120" w:type="dxa"/>
              <w:bottom w:w="80" w:type="dxa"/>
              <w:right w:w="120" w:type="dxa"/>
            </w:tcMar>
            <w:vAlign w:val="center"/>
          </w:tcPr>
          <w:p w14:paraId="45BD91AD" w14:textId="77777777" w:rsidR="002D5388" w:rsidRDefault="00000000">
            <w:pPr>
              <w:spacing w:after="40"/>
            </w:pPr>
            <w:r>
              <w:rPr>
                <w:sz w:val="17"/>
              </w:rPr>
              <w:t>Metric_change</w:t>
            </w:r>
          </w:p>
        </w:tc>
        <w:tc>
          <w:tcPr>
            <w:tcW w:w="1500" w:type="dxa"/>
            <w:tcMar>
              <w:top w:w="80" w:type="dxa"/>
              <w:left w:w="120" w:type="dxa"/>
              <w:bottom w:w="80" w:type="dxa"/>
              <w:right w:w="120" w:type="dxa"/>
            </w:tcMar>
            <w:vAlign w:val="center"/>
          </w:tcPr>
          <w:p w14:paraId="148A7C9B" w14:textId="77777777" w:rsidR="002D5388" w:rsidRDefault="00000000">
            <w:pPr>
              <w:spacing w:after="40"/>
            </w:pPr>
            <w:r>
              <w:rPr>
                <w:sz w:val="17"/>
              </w:rPr>
              <w:t>47</w:t>
            </w:r>
          </w:p>
        </w:tc>
        <w:tc>
          <w:tcPr>
            <w:tcW w:w="1300" w:type="dxa"/>
            <w:tcMar>
              <w:top w:w="80" w:type="dxa"/>
              <w:left w:w="120" w:type="dxa"/>
              <w:bottom w:w="80" w:type="dxa"/>
              <w:right w:w="120" w:type="dxa"/>
            </w:tcMar>
            <w:vAlign w:val="center"/>
          </w:tcPr>
          <w:p w14:paraId="1FDB0939" w14:textId="77777777" w:rsidR="002D5388" w:rsidRDefault="00000000">
            <w:pPr>
              <w:spacing w:after="40"/>
            </w:pPr>
            <w:r>
              <w:rPr>
                <w:sz w:val="17"/>
              </w:rPr>
              <w:t>0.03%</w:t>
            </w:r>
          </w:p>
        </w:tc>
        <w:tc>
          <w:tcPr>
            <w:tcW w:w="4360" w:type="dxa"/>
            <w:tcMar>
              <w:top w:w="80" w:type="dxa"/>
              <w:left w:w="120" w:type="dxa"/>
              <w:bottom w:w="80" w:type="dxa"/>
              <w:right w:w="120" w:type="dxa"/>
            </w:tcMar>
            <w:vAlign w:val="center"/>
          </w:tcPr>
          <w:p w14:paraId="30FD8B0D" w14:textId="77777777" w:rsidR="002D5388" w:rsidRDefault="00000000">
            <w:pPr>
              <w:spacing w:after="40"/>
            </w:pPr>
            <w:r>
              <w:rPr>
                <w:sz w:val="17"/>
              </w:rPr>
              <w:t>Non-comparable dental metric; documented separately.</w:t>
            </w:r>
          </w:p>
        </w:tc>
      </w:tr>
      <w:tr w:rsidR="002D5388" w14:paraId="745F41F1" w14:textId="77777777">
        <w:trPr>
          <w:jc w:val="center"/>
        </w:trPr>
        <w:tc>
          <w:tcPr>
            <w:tcW w:w="2200" w:type="dxa"/>
            <w:tcMar>
              <w:top w:w="80" w:type="dxa"/>
              <w:left w:w="120" w:type="dxa"/>
              <w:bottom w:w="80" w:type="dxa"/>
              <w:right w:w="120" w:type="dxa"/>
            </w:tcMar>
            <w:vAlign w:val="center"/>
          </w:tcPr>
          <w:p w14:paraId="7CACAE4B" w14:textId="77777777" w:rsidR="002D5388" w:rsidRDefault="00000000">
            <w:pPr>
              <w:spacing w:after="40"/>
            </w:pPr>
            <w:r>
              <w:rPr>
                <w:sz w:val="17"/>
              </w:rPr>
              <w:t>Total</w:t>
            </w:r>
          </w:p>
        </w:tc>
        <w:tc>
          <w:tcPr>
            <w:tcW w:w="1500" w:type="dxa"/>
            <w:tcMar>
              <w:top w:w="80" w:type="dxa"/>
              <w:left w:w="120" w:type="dxa"/>
              <w:bottom w:w="80" w:type="dxa"/>
              <w:right w:w="120" w:type="dxa"/>
            </w:tcMar>
            <w:vAlign w:val="center"/>
          </w:tcPr>
          <w:p w14:paraId="07A768D0" w14:textId="77777777" w:rsidR="002D5388" w:rsidRDefault="00000000">
            <w:pPr>
              <w:spacing w:after="40"/>
            </w:pPr>
            <w:r>
              <w:rPr>
                <w:sz w:val="17"/>
              </w:rPr>
              <w:t>146,376</w:t>
            </w:r>
          </w:p>
        </w:tc>
        <w:tc>
          <w:tcPr>
            <w:tcW w:w="1300" w:type="dxa"/>
            <w:tcMar>
              <w:top w:w="80" w:type="dxa"/>
              <w:left w:w="120" w:type="dxa"/>
              <w:bottom w:w="80" w:type="dxa"/>
              <w:right w:w="120" w:type="dxa"/>
            </w:tcMar>
            <w:vAlign w:val="center"/>
          </w:tcPr>
          <w:p w14:paraId="3C6CA6E4" w14:textId="77777777" w:rsidR="002D5388" w:rsidRDefault="00000000">
            <w:pPr>
              <w:spacing w:after="40"/>
            </w:pPr>
            <w:r>
              <w:rPr>
                <w:sz w:val="17"/>
              </w:rPr>
              <w:t>100.0%</w:t>
            </w:r>
          </w:p>
        </w:tc>
        <w:tc>
          <w:tcPr>
            <w:tcW w:w="4360" w:type="dxa"/>
            <w:tcMar>
              <w:top w:w="80" w:type="dxa"/>
              <w:left w:w="120" w:type="dxa"/>
              <w:bottom w:w="80" w:type="dxa"/>
              <w:right w:w="120" w:type="dxa"/>
            </w:tcMar>
            <w:vAlign w:val="center"/>
          </w:tcPr>
          <w:p w14:paraId="2F4B3C91" w14:textId="77777777" w:rsidR="002D5388" w:rsidRDefault="00000000">
            <w:pPr>
              <w:spacing w:after="40"/>
            </w:pPr>
            <w:r>
              <w:rPr>
                <w:sz w:val="17"/>
              </w:rPr>
              <w:t>Long-format analytic output across selected domains.</w:t>
            </w:r>
          </w:p>
        </w:tc>
      </w:tr>
    </w:tbl>
    <w:p w14:paraId="0571AE65" w14:textId="77777777" w:rsidR="002D5388" w:rsidRDefault="00000000">
      <w:pPr>
        <w:spacing w:before="160" w:after="80"/>
      </w:pPr>
      <w:r>
        <w:t>Table 2. Coverage of nine selected diabetes/metabolic mean-value indicators.</w:t>
      </w:r>
    </w:p>
    <w:tbl>
      <w:tblPr>
        <w:tblStyle w:val="afe"/>
        <w:tblW w:w="9360" w:type="dxa"/>
        <w:jc w:val="center"/>
        <w:tblLayout w:type="fixed"/>
        <w:tblLook w:val="04A0" w:firstRow="1" w:lastRow="0" w:firstColumn="1" w:lastColumn="0" w:noHBand="0" w:noVBand="1"/>
      </w:tblPr>
      <w:tblGrid>
        <w:gridCol w:w="1650"/>
        <w:gridCol w:w="3650"/>
        <w:gridCol w:w="950"/>
        <w:gridCol w:w="950"/>
        <w:gridCol w:w="1050"/>
        <w:gridCol w:w="1110"/>
      </w:tblGrid>
      <w:tr w:rsidR="002D5388" w14:paraId="526E952F" w14:textId="77777777">
        <w:trPr>
          <w:jc w:val="center"/>
        </w:trPr>
        <w:tc>
          <w:tcPr>
            <w:tcW w:w="1650" w:type="dxa"/>
            <w:shd w:val="clear" w:color="auto" w:fill="F2F4F7"/>
            <w:tcMar>
              <w:top w:w="80" w:type="dxa"/>
              <w:left w:w="120" w:type="dxa"/>
              <w:bottom w:w="80" w:type="dxa"/>
              <w:right w:w="120" w:type="dxa"/>
            </w:tcMar>
            <w:vAlign w:val="center"/>
          </w:tcPr>
          <w:p w14:paraId="753C0545" w14:textId="77777777" w:rsidR="002D5388" w:rsidRDefault="00000000">
            <w:pPr>
              <w:spacing w:after="40"/>
            </w:pPr>
            <w:r>
              <w:rPr>
                <w:b/>
                <w:sz w:val="17"/>
              </w:rPr>
              <w:t>Domain</w:t>
            </w:r>
          </w:p>
        </w:tc>
        <w:tc>
          <w:tcPr>
            <w:tcW w:w="3650" w:type="dxa"/>
            <w:shd w:val="clear" w:color="auto" w:fill="F2F4F7"/>
            <w:tcMar>
              <w:top w:w="80" w:type="dxa"/>
              <w:left w:w="120" w:type="dxa"/>
              <w:bottom w:w="80" w:type="dxa"/>
              <w:right w:w="120" w:type="dxa"/>
            </w:tcMar>
            <w:vAlign w:val="center"/>
          </w:tcPr>
          <w:p w14:paraId="1AA32B32" w14:textId="77777777" w:rsidR="002D5388" w:rsidRDefault="00000000">
            <w:pPr>
              <w:spacing w:after="40"/>
            </w:pPr>
            <w:r>
              <w:rPr>
                <w:b/>
                <w:sz w:val="17"/>
              </w:rPr>
              <w:t>Indicators</w:t>
            </w:r>
          </w:p>
        </w:tc>
        <w:tc>
          <w:tcPr>
            <w:tcW w:w="950" w:type="dxa"/>
            <w:shd w:val="clear" w:color="auto" w:fill="F2F4F7"/>
            <w:tcMar>
              <w:top w:w="80" w:type="dxa"/>
              <w:left w:w="120" w:type="dxa"/>
              <w:bottom w:w="80" w:type="dxa"/>
              <w:right w:w="120" w:type="dxa"/>
            </w:tcMar>
            <w:vAlign w:val="center"/>
          </w:tcPr>
          <w:p w14:paraId="00BCCBD9" w14:textId="77777777" w:rsidR="002D5388" w:rsidRDefault="00000000">
            <w:pPr>
              <w:spacing w:after="40"/>
            </w:pPr>
            <w:r>
              <w:rPr>
                <w:b/>
                <w:sz w:val="17"/>
              </w:rPr>
              <w:t>Releases</w:t>
            </w:r>
          </w:p>
        </w:tc>
        <w:tc>
          <w:tcPr>
            <w:tcW w:w="950" w:type="dxa"/>
            <w:shd w:val="clear" w:color="auto" w:fill="F2F4F7"/>
            <w:tcMar>
              <w:top w:w="80" w:type="dxa"/>
              <w:left w:w="120" w:type="dxa"/>
              <w:bottom w:w="80" w:type="dxa"/>
              <w:right w:w="120" w:type="dxa"/>
            </w:tcMar>
            <w:vAlign w:val="center"/>
          </w:tcPr>
          <w:p w14:paraId="65E4FD86" w14:textId="77777777" w:rsidR="002D5388" w:rsidRDefault="00000000">
            <w:pPr>
              <w:spacing w:after="40"/>
            </w:pPr>
            <w:r>
              <w:rPr>
                <w:b/>
                <w:sz w:val="17"/>
              </w:rPr>
              <w:t>Prefectures</w:t>
            </w:r>
          </w:p>
        </w:tc>
        <w:tc>
          <w:tcPr>
            <w:tcW w:w="1050" w:type="dxa"/>
            <w:shd w:val="clear" w:color="auto" w:fill="F2F4F7"/>
            <w:tcMar>
              <w:top w:w="80" w:type="dxa"/>
              <w:left w:w="120" w:type="dxa"/>
              <w:bottom w:w="80" w:type="dxa"/>
              <w:right w:w="120" w:type="dxa"/>
            </w:tcMar>
            <w:vAlign w:val="center"/>
          </w:tcPr>
          <w:p w14:paraId="1CDEF8A4" w14:textId="77777777" w:rsidR="002D5388" w:rsidRDefault="00000000">
            <w:pPr>
              <w:spacing w:after="40"/>
            </w:pPr>
            <w:r>
              <w:rPr>
                <w:b/>
                <w:sz w:val="17"/>
              </w:rPr>
              <w:t>Observed cells</w:t>
            </w:r>
          </w:p>
        </w:tc>
        <w:tc>
          <w:tcPr>
            <w:tcW w:w="1110" w:type="dxa"/>
            <w:shd w:val="clear" w:color="auto" w:fill="F2F4F7"/>
            <w:tcMar>
              <w:top w:w="80" w:type="dxa"/>
              <w:left w:w="120" w:type="dxa"/>
              <w:bottom w:w="80" w:type="dxa"/>
              <w:right w:w="120" w:type="dxa"/>
            </w:tcMar>
            <w:vAlign w:val="center"/>
          </w:tcPr>
          <w:p w14:paraId="30F56D4B" w14:textId="77777777" w:rsidR="002D5388" w:rsidRDefault="00000000">
            <w:pPr>
              <w:spacing w:after="40"/>
            </w:pPr>
            <w:r>
              <w:rPr>
                <w:b/>
                <w:sz w:val="17"/>
              </w:rPr>
              <w:t>Suppression</w:t>
            </w:r>
          </w:p>
        </w:tc>
      </w:tr>
      <w:tr w:rsidR="002D5388" w14:paraId="123452A7" w14:textId="77777777">
        <w:trPr>
          <w:jc w:val="center"/>
        </w:trPr>
        <w:tc>
          <w:tcPr>
            <w:tcW w:w="1650" w:type="dxa"/>
            <w:tcMar>
              <w:top w:w="80" w:type="dxa"/>
              <w:left w:w="120" w:type="dxa"/>
              <w:bottom w:w="80" w:type="dxa"/>
              <w:right w:w="120" w:type="dxa"/>
            </w:tcMar>
            <w:vAlign w:val="center"/>
          </w:tcPr>
          <w:p w14:paraId="775E1C17" w14:textId="77777777" w:rsidR="002D5388" w:rsidRDefault="00000000">
            <w:pPr>
              <w:spacing w:after="40"/>
            </w:pPr>
            <w:r>
              <w:rPr>
                <w:sz w:val="17"/>
              </w:rPr>
              <w:t>Diabetes/metabolic mean values</w:t>
            </w:r>
          </w:p>
        </w:tc>
        <w:tc>
          <w:tcPr>
            <w:tcW w:w="3650" w:type="dxa"/>
            <w:tcMar>
              <w:top w:w="80" w:type="dxa"/>
              <w:left w:w="120" w:type="dxa"/>
              <w:bottom w:w="80" w:type="dxa"/>
              <w:right w:w="120" w:type="dxa"/>
            </w:tcMar>
            <w:vAlign w:val="center"/>
          </w:tcPr>
          <w:p w14:paraId="70688D66" w14:textId="77777777" w:rsidR="002D5388" w:rsidRDefault="00000000">
            <w:pPr>
              <w:spacing w:after="40"/>
            </w:pPr>
            <w:r>
              <w:rPr>
                <w:sz w:val="17"/>
              </w:rPr>
              <w:t>HbA1C, fasting glucose, BMI, waist circumference, SBP, DBP, triglycerides, LDL, HDL</w:t>
            </w:r>
          </w:p>
        </w:tc>
        <w:tc>
          <w:tcPr>
            <w:tcW w:w="950" w:type="dxa"/>
            <w:tcMar>
              <w:top w:w="80" w:type="dxa"/>
              <w:left w:w="120" w:type="dxa"/>
              <w:bottom w:w="80" w:type="dxa"/>
              <w:right w:w="120" w:type="dxa"/>
            </w:tcMar>
            <w:vAlign w:val="center"/>
          </w:tcPr>
          <w:p w14:paraId="76056362" w14:textId="77777777" w:rsidR="002D5388" w:rsidRDefault="00000000">
            <w:pPr>
              <w:spacing w:after="40"/>
            </w:pPr>
            <w:r>
              <w:rPr>
                <w:sz w:val="17"/>
              </w:rPr>
              <w:t>11/11</w:t>
            </w:r>
          </w:p>
        </w:tc>
        <w:tc>
          <w:tcPr>
            <w:tcW w:w="950" w:type="dxa"/>
            <w:tcMar>
              <w:top w:w="80" w:type="dxa"/>
              <w:left w:w="120" w:type="dxa"/>
              <w:bottom w:w="80" w:type="dxa"/>
              <w:right w:w="120" w:type="dxa"/>
            </w:tcMar>
            <w:vAlign w:val="center"/>
          </w:tcPr>
          <w:p w14:paraId="47C2A501" w14:textId="77777777" w:rsidR="002D5388" w:rsidRDefault="00000000">
            <w:pPr>
              <w:spacing w:after="40"/>
            </w:pPr>
            <w:r>
              <w:rPr>
                <w:sz w:val="17"/>
              </w:rPr>
              <w:t>47/47</w:t>
            </w:r>
          </w:p>
        </w:tc>
        <w:tc>
          <w:tcPr>
            <w:tcW w:w="1050" w:type="dxa"/>
            <w:tcMar>
              <w:top w:w="80" w:type="dxa"/>
              <w:left w:w="120" w:type="dxa"/>
              <w:bottom w:w="80" w:type="dxa"/>
              <w:right w:w="120" w:type="dxa"/>
            </w:tcMar>
            <w:vAlign w:val="center"/>
          </w:tcPr>
          <w:p w14:paraId="114101B1" w14:textId="77777777" w:rsidR="002D5388" w:rsidRDefault="00000000">
            <w:pPr>
              <w:spacing w:after="40"/>
            </w:pPr>
            <w:r>
              <w:rPr>
                <w:sz w:val="17"/>
              </w:rPr>
              <w:t>100%</w:t>
            </w:r>
          </w:p>
        </w:tc>
        <w:tc>
          <w:tcPr>
            <w:tcW w:w="1110" w:type="dxa"/>
            <w:tcMar>
              <w:top w:w="80" w:type="dxa"/>
              <w:left w:w="120" w:type="dxa"/>
              <w:bottom w:w="80" w:type="dxa"/>
              <w:right w:w="120" w:type="dxa"/>
            </w:tcMar>
            <w:vAlign w:val="center"/>
          </w:tcPr>
          <w:p w14:paraId="05EA8D1D" w14:textId="77777777" w:rsidR="002D5388" w:rsidRDefault="00000000">
            <w:pPr>
              <w:spacing w:after="40"/>
            </w:pPr>
            <w:r>
              <w:rPr>
                <w:sz w:val="17"/>
              </w:rPr>
              <w:t>0%</w:t>
            </w:r>
          </w:p>
        </w:tc>
      </w:tr>
    </w:tbl>
    <w:p w14:paraId="7C537E39" w14:textId="77777777" w:rsidR="002D5388" w:rsidRDefault="00000000">
      <w:pPr>
        <w:spacing w:before="160" w:after="80"/>
      </w:pPr>
      <w:r>
        <w:t>Table 3. Dental/oral disease-count coverage and suppression by release.</w:t>
      </w:r>
    </w:p>
    <w:tbl>
      <w:tblPr>
        <w:tblStyle w:val="afe"/>
        <w:tblW w:w="9360" w:type="dxa"/>
        <w:jc w:val="center"/>
        <w:tblLayout w:type="fixed"/>
        <w:tblLook w:val="04A0" w:firstRow="1" w:lastRow="0" w:firstColumn="1" w:lastColumn="0" w:noHBand="0" w:noVBand="1"/>
      </w:tblPr>
      <w:tblGrid>
        <w:gridCol w:w="1150"/>
        <w:gridCol w:w="1000"/>
        <w:gridCol w:w="1200"/>
        <w:gridCol w:w="1200"/>
        <w:gridCol w:w="1350"/>
        <w:gridCol w:w="3460"/>
      </w:tblGrid>
      <w:tr w:rsidR="002D5388" w14:paraId="70A1556B" w14:textId="77777777">
        <w:trPr>
          <w:jc w:val="center"/>
        </w:trPr>
        <w:tc>
          <w:tcPr>
            <w:tcW w:w="1150" w:type="dxa"/>
            <w:shd w:val="clear" w:color="auto" w:fill="F2F4F7"/>
            <w:tcMar>
              <w:top w:w="80" w:type="dxa"/>
              <w:left w:w="120" w:type="dxa"/>
              <w:bottom w:w="80" w:type="dxa"/>
              <w:right w:w="120" w:type="dxa"/>
            </w:tcMar>
            <w:vAlign w:val="center"/>
          </w:tcPr>
          <w:p w14:paraId="2A1E3B55" w14:textId="77777777" w:rsidR="002D5388" w:rsidRDefault="00000000">
            <w:pPr>
              <w:spacing w:after="40"/>
            </w:pPr>
            <w:r>
              <w:rPr>
                <w:b/>
                <w:sz w:val="17"/>
              </w:rPr>
              <w:t>Fiscal year</w:t>
            </w:r>
          </w:p>
        </w:tc>
        <w:tc>
          <w:tcPr>
            <w:tcW w:w="1000" w:type="dxa"/>
            <w:shd w:val="clear" w:color="auto" w:fill="F2F4F7"/>
            <w:tcMar>
              <w:top w:w="80" w:type="dxa"/>
              <w:left w:w="120" w:type="dxa"/>
              <w:bottom w:w="80" w:type="dxa"/>
              <w:right w:w="120" w:type="dxa"/>
            </w:tcMar>
            <w:vAlign w:val="center"/>
          </w:tcPr>
          <w:p w14:paraId="64D6F1A3" w14:textId="77777777" w:rsidR="002D5388" w:rsidRDefault="00000000">
            <w:pPr>
              <w:spacing w:after="40"/>
            </w:pPr>
            <w:r>
              <w:rPr>
                <w:b/>
                <w:sz w:val="17"/>
              </w:rPr>
              <w:t>Release</w:t>
            </w:r>
          </w:p>
        </w:tc>
        <w:tc>
          <w:tcPr>
            <w:tcW w:w="1200" w:type="dxa"/>
            <w:shd w:val="clear" w:color="auto" w:fill="F2F4F7"/>
            <w:tcMar>
              <w:top w:w="80" w:type="dxa"/>
              <w:left w:w="120" w:type="dxa"/>
              <w:bottom w:w="80" w:type="dxa"/>
              <w:right w:w="120" w:type="dxa"/>
            </w:tcMar>
            <w:vAlign w:val="center"/>
          </w:tcPr>
          <w:p w14:paraId="2500D82D" w14:textId="77777777" w:rsidR="002D5388" w:rsidRDefault="00000000">
            <w:pPr>
              <w:spacing w:after="40"/>
            </w:pPr>
            <w:r>
              <w:rPr>
                <w:b/>
                <w:sz w:val="17"/>
              </w:rPr>
              <w:t>Observed</w:t>
            </w:r>
          </w:p>
        </w:tc>
        <w:tc>
          <w:tcPr>
            <w:tcW w:w="1200" w:type="dxa"/>
            <w:shd w:val="clear" w:color="auto" w:fill="F2F4F7"/>
            <w:tcMar>
              <w:top w:w="80" w:type="dxa"/>
              <w:left w:w="120" w:type="dxa"/>
              <w:bottom w:w="80" w:type="dxa"/>
              <w:right w:w="120" w:type="dxa"/>
            </w:tcMar>
            <w:vAlign w:val="center"/>
          </w:tcPr>
          <w:p w14:paraId="2C7207A5" w14:textId="77777777" w:rsidR="002D5388" w:rsidRDefault="00000000">
            <w:pPr>
              <w:spacing w:after="40"/>
            </w:pPr>
            <w:r>
              <w:rPr>
                <w:b/>
                <w:sz w:val="17"/>
              </w:rPr>
              <w:t>Suppressed</w:t>
            </w:r>
          </w:p>
        </w:tc>
        <w:tc>
          <w:tcPr>
            <w:tcW w:w="1350" w:type="dxa"/>
            <w:shd w:val="clear" w:color="auto" w:fill="F2F4F7"/>
            <w:tcMar>
              <w:top w:w="80" w:type="dxa"/>
              <w:left w:w="120" w:type="dxa"/>
              <w:bottom w:w="80" w:type="dxa"/>
              <w:right w:w="120" w:type="dxa"/>
            </w:tcMar>
            <w:vAlign w:val="center"/>
          </w:tcPr>
          <w:p w14:paraId="2D9C21DB" w14:textId="77777777" w:rsidR="002D5388" w:rsidRDefault="00000000">
            <w:pPr>
              <w:spacing w:after="40"/>
            </w:pPr>
            <w:r>
              <w:rPr>
                <w:b/>
                <w:sz w:val="17"/>
              </w:rPr>
              <w:t>Suppression rate</w:t>
            </w:r>
          </w:p>
        </w:tc>
        <w:tc>
          <w:tcPr>
            <w:tcW w:w="3460" w:type="dxa"/>
            <w:shd w:val="clear" w:color="auto" w:fill="F2F4F7"/>
            <w:tcMar>
              <w:top w:w="80" w:type="dxa"/>
              <w:left w:w="120" w:type="dxa"/>
              <w:bottom w:w="80" w:type="dxa"/>
              <w:right w:w="120" w:type="dxa"/>
            </w:tcMar>
            <w:vAlign w:val="center"/>
          </w:tcPr>
          <w:p w14:paraId="59CB8B06" w14:textId="77777777" w:rsidR="002D5388" w:rsidRDefault="00000000">
            <w:pPr>
              <w:spacing w:after="40"/>
            </w:pPr>
            <w:r>
              <w:rPr>
                <w:b/>
                <w:sz w:val="17"/>
              </w:rPr>
              <w:t>Main-panel handling</w:t>
            </w:r>
          </w:p>
        </w:tc>
      </w:tr>
      <w:tr w:rsidR="002D5388" w14:paraId="2375D5F9" w14:textId="77777777">
        <w:trPr>
          <w:jc w:val="center"/>
        </w:trPr>
        <w:tc>
          <w:tcPr>
            <w:tcW w:w="1150" w:type="dxa"/>
            <w:tcMar>
              <w:top w:w="80" w:type="dxa"/>
              <w:left w:w="120" w:type="dxa"/>
              <w:bottom w:w="80" w:type="dxa"/>
              <w:right w:w="120" w:type="dxa"/>
            </w:tcMar>
            <w:vAlign w:val="center"/>
          </w:tcPr>
          <w:p w14:paraId="7856EDD1" w14:textId="77777777" w:rsidR="002D5388" w:rsidRDefault="00000000">
            <w:pPr>
              <w:spacing w:after="40"/>
            </w:pPr>
            <w:r>
              <w:rPr>
                <w:sz w:val="17"/>
              </w:rPr>
              <w:t>FY2014</w:t>
            </w:r>
          </w:p>
        </w:tc>
        <w:tc>
          <w:tcPr>
            <w:tcW w:w="1000" w:type="dxa"/>
            <w:tcMar>
              <w:top w:w="80" w:type="dxa"/>
              <w:left w:w="120" w:type="dxa"/>
              <w:bottom w:w="80" w:type="dxa"/>
              <w:right w:w="120" w:type="dxa"/>
            </w:tcMar>
            <w:vAlign w:val="center"/>
          </w:tcPr>
          <w:p w14:paraId="39EE662F" w14:textId="77777777" w:rsidR="002D5388" w:rsidRDefault="00000000">
            <w:pPr>
              <w:spacing w:after="40"/>
            </w:pPr>
            <w:r>
              <w:rPr>
                <w:sz w:val="17"/>
              </w:rPr>
              <w:t>No.1</w:t>
            </w:r>
          </w:p>
        </w:tc>
        <w:tc>
          <w:tcPr>
            <w:tcW w:w="1200" w:type="dxa"/>
            <w:tcMar>
              <w:top w:w="80" w:type="dxa"/>
              <w:left w:w="120" w:type="dxa"/>
              <w:bottom w:w="80" w:type="dxa"/>
              <w:right w:w="120" w:type="dxa"/>
            </w:tcMar>
            <w:vAlign w:val="center"/>
          </w:tcPr>
          <w:p w14:paraId="09D2EB46" w14:textId="77777777" w:rsidR="002D5388" w:rsidRDefault="00000000">
            <w:pPr>
              <w:spacing w:after="40"/>
            </w:pPr>
            <w:r>
              <w:rPr>
                <w:sz w:val="17"/>
              </w:rPr>
              <w:t>3,744</w:t>
            </w:r>
          </w:p>
        </w:tc>
        <w:tc>
          <w:tcPr>
            <w:tcW w:w="1200" w:type="dxa"/>
            <w:tcMar>
              <w:top w:w="80" w:type="dxa"/>
              <w:left w:w="120" w:type="dxa"/>
              <w:bottom w:w="80" w:type="dxa"/>
              <w:right w:w="120" w:type="dxa"/>
            </w:tcMar>
            <w:vAlign w:val="center"/>
          </w:tcPr>
          <w:p w14:paraId="7B9899DE" w14:textId="77777777" w:rsidR="002D5388" w:rsidRDefault="00000000">
            <w:pPr>
              <w:spacing w:after="40"/>
            </w:pPr>
            <w:r>
              <w:rPr>
                <w:sz w:val="17"/>
              </w:rPr>
              <w:t>3,306</w:t>
            </w:r>
          </w:p>
        </w:tc>
        <w:tc>
          <w:tcPr>
            <w:tcW w:w="1350" w:type="dxa"/>
            <w:tcMar>
              <w:top w:w="80" w:type="dxa"/>
              <w:left w:w="120" w:type="dxa"/>
              <w:bottom w:w="80" w:type="dxa"/>
              <w:right w:w="120" w:type="dxa"/>
            </w:tcMar>
            <w:vAlign w:val="center"/>
          </w:tcPr>
          <w:p w14:paraId="2853D7C1" w14:textId="77777777" w:rsidR="002D5388" w:rsidRDefault="00000000">
            <w:pPr>
              <w:spacing w:after="40"/>
            </w:pPr>
            <w:r>
              <w:rPr>
                <w:sz w:val="17"/>
              </w:rPr>
              <w:t>46.9%</w:t>
            </w:r>
          </w:p>
        </w:tc>
        <w:tc>
          <w:tcPr>
            <w:tcW w:w="3460" w:type="dxa"/>
            <w:tcMar>
              <w:top w:w="80" w:type="dxa"/>
              <w:left w:w="120" w:type="dxa"/>
              <w:bottom w:w="80" w:type="dxa"/>
              <w:right w:w="120" w:type="dxa"/>
            </w:tcMar>
            <w:vAlign w:val="center"/>
          </w:tcPr>
          <w:p w14:paraId="3388D590" w14:textId="77777777" w:rsidR="002D5388" w:rsidRDefault="00000000">
            <w:pPr>
              <w:spacing w:after="40"/>
            </w:pPr>
            <w:r>
              <w:rPr>
                <w:sz w:val="17"/>
              </w:rPr>
              <w:t>Included</w:t>
            </w:r>
          </w:p>
        </w:tc>
      </w:tr>
      <w:tr w:rsidR="002D5388" w14:paraId="1E9C8C7B" w14:textId="77777777">
        <w:trPr>
          <w:jc w:val="center"/>
        </w:trPr>
        <w:tc>
          <w:tcPr>
            <w:tcW w:w="1150" w:type="dxa"/>
            <w:tcMar>
              <w:top w:w="80" w:type="dxa"/>
              <w:left w:w="120" w:type="dxa"/>
              <w:bottom w:w="80" w:type="dxa"/>
              <w:right w:w="120" w:type="dxa"/>
            </w:tcMar>
            <w:vAlign w:val="center"/>
          </w:tcPr>
          <w:p w14:paraId="7A9E7111" w14:textId="77777777" w:rsidR="002D5388" w:rsidRDefault="00000000">
            <w:pPr>
              <w:spacing w:after="40"/>
            </w:pPr>
            <w:r>
              <w:rPr>
                <w:sz w:val="17"/>
              </w:rPr>
              <w:t>FY2015</w:t>
            </w:r>
          </w:p>
        </w:tc>
        <w:tc>
          <w:tcPr>
            <w:tcW w:w="1000" w:type="dxa"/>
            <w:tcMar>
              <w:top w:w="80" w:type="dxa"/>
              <w:left w:w="120" w:type="dxa"/>
              <w:bottom w:w="80" w:type="dxa"/>
              <w:right w:w="120" w:type="dxa"/>
            </w:tcMar>
            <w:vAlign w:val="center"/>
          </w:tcPr>
          <w:p w14:paraId="2B64A18C" w14:textId="77777777" w:rsidR="002D5388" w:rsidRDefault="00000000">
            <w:pPr>
              <w:spacing w:after="40"/>
            </w:pPr>
            <w:r>
              <w:rPr>
                <w:sz w:val="17"/>
              </w:rPr>
              <w:t>No.2</w:t>
            </w:r>
          </w:p>
        </w:tc>
        <w:tc>
          <w:tcPr>
            <w:tcW w:w="1200" w:type="dxa"/>
            <w:tcMar>
              <w:top w:w="80" w:type="dxa"/>
              <w:left w:w="120" w:type="dxa"/>
              <w:bottom w:w="80" w:type="dxa"/>
              <w:right w:w="120" w:type="dxa"/>
            </w:tcMar>
            <w:vAlign w:val="center"/>
          </w:tcPr>
          <w:p w14:paraId="4E9641D0" w14:textId="77777777" w:rsidR="002D5388" w:rsidRDefault="00000000">
            <w:pPr>
              <w:spacing w:after="40"/>
            </w:pPr>
            <w:r>
              <w:rPr>
                <w:sz w:val="17"/>
              </w:rPr>
              <w:t>3,867</w:t>
            </w:r>
          </w:p>
        </w:tc>
        <w:tc>
          <w:tcPr>
            <w:tcW w:w="1200" w:type="dxa"/>
            <w:tcMar>
              <w:top w:w="80" w:type="dxa"/>
              <w:left w:w="120" w:type="dxa"/>
              <w:bottom w:w="80" w:type="dxa"/>
              <w:right w:w="120" w:type="dxa"/>
            </w:tcMar>
            <w:vAlign w:val="center"/>
          </w:tcPr>
          <w:p w14:paraId="7567AD1D" w14:textId="77777777" w:rsidR="002D5388" w:rsidRDefault="00000000">
            <w:pPr>
              <w:spacing w:after="40"/>
            </w:pPr>
            <w:r>
              <w:rPr>
                <w:sz w:val="17"/>
              </w:rPr>
              <w:t>3,136</w:t>
            </w:r>
          </w:p>
        </w:tc>
        <w:tc>
          <w:tcPr>
            <w:tcW w:w="1350" w:type="dxa"/>
            <w:tcMar>
              <w:top w:w="80" w:type="dxa"/>
              <w:left w:w="120" w:type="dxa"/>
              <w:bottom w:w="80" w:type="dxa"/>
              <w:right w:w="120" w:type="dxa"/>
            </w:tcMar>
            <w:vAlign w:val="center"/>
          </w:tcPr>
          <w:p w14:paraId="25692899" w14:textId="77777777" w:rsidR="002D5388" w:rsidRDefault="00000000">
            <w:pPr>
              <w:spacing w:after="40"/>
            </w:pPr>
            <w:r>
              <w:rPr>
                <w:sz w:val="17"/>
              </w:rPr>
              <w:t>44.8%</w:t>
            </w:r>
          </w:p>
        </w:tc>
        <w:tc>
          <w:tcPr>
            <w:tcW w:w="3460" w:type="dxa"/>
            <w:tcMar>
              <w:top w:w="80" w:type="dxa"/>
              <w:left w:w="120" w:type="dxa"/>
              <w:bottom w:w="80" w:type="dxa"/>
              <w:right w:w="120" w:type="dxa"/>
            </w:tcMar>
            <w:vAlign w:val="center"/>
          </w:tcPr>
          <w:p w14:paraId="4E47412F" w14:textId="77777777" w:rsidR="002D5388" w:rsidRDefault="00000000">
            <w:pPr>
              <w:spacing w:after="40"/>
            </w:pPr>
            <w:r>
              <w:rPr>
                <w:sz w:val="17"/>
              </w:rPr>
              <w:t>Included</w:t>
            </w:r>
          </w:p>
        </w:tc>
      </w:tr>
      <w:tr w:rsidR="002D5388" w14:paraId="7CC1F87E" w14:textId="77777777">
        <w:trPr>
          <w:jc w:val="center"/>
        </w:trPr>
        <w:tc>
          <w:tcPr>
            <w:tcW w:w="1150" w:type="dxa"/>
            <w:tcMar>
              <w:top w:w="80" w:type="dxa"/>
              <w:left w:w="120" w:type="dxa"/>
              <w:bottom w:w="80" w:type="dxa"/>
              <w:right w:w="120" w:type="dxa"/>
            </w:tcMar>
            <w:vAlign w:val="center"/>
          </w:tcPr>
          <w:p w14:paraId="76C60D71" w14:textId="77777777" w:rsidR="002D5388" w:rsidRDefault="00000000">
            <w:pPr>
              <w:spacing w:after="40"/>
            </w:pPr>
            <w:r>
              <w:rPr>
                <w:sz w:val="17"/>
              </w:rPr>
              <w:t>FY2016</w:t>
            </w:r>
          </w:p>
        </w:tc>
        <w:tc>
          <w:tcPr>
            <w:tcW w:w="1000" w:type="dxa"/>
            <w:tcMar>
              <w:top w:w="80" w:type="dxa"/>
              <w:left w:w="120" w:type="dxa"/>
              <w:bottom w:w="80" w:type="dxa"/>
              <w:right w:w="120" w:type="dxa"/>
            </w:tcMar>
            <w:vAlign w:val="center"/>
          </w:tcPr>
          <w:p w14:paraId="26FEA230" w14:textId="77777777" w:rsidR="002D5388" w:rsidRDefault="00000000">
            <w:pPr>
              <w:spacing w:after="40"/>
            </w:pPr>
            <w:r>
              <w:rPr>
                <w:sz w:val="17"/>
              </w:rPr>
              <w:t>No.3</w:t>
            </w:r>
          </w:p>
        </w:tc>
        <w:tc>
          <w:tcPr>
            <w:tcW w:w="1200" w:type="dxa"/>
            <w:tcMar>
              <w:top w:w="80" w:type="dxa"/>
              <w:left w:w="120" w:type="dxa"/>
              <w:bottom w:w="80" w:type="dxa"/>
              <w:right w:w="120" w:type="dxa"/>
            </w:tcMar>
            <w:vAlign w:val="center"/>
          </w:tcPr>
          <w:p w14:paraId="11A0C1EA" w14:textId="77777777" w:rsidR="002D5388" w:rsidRDefault="00000000">
            <w:pPr>
              <w:spacing w:after="40"/>
            </w:pPr>
            <w:r>
              <w:rPr>
                <w:sz w:val="17"/>
              </w:rPr>
              <w:t>3,996</w:t>
            </w:r>
          </w:p>
        </w:tc>
        <w:tc>
          <w:tcPr>
            <w:tcW w:w="1200" w:type="dxa"/>
            <w:tcMar>
              <w:top w:w="80" w:type="dxa"/>
              <w:left w:w="120" w:type="dxa"/>
              <w:bottom w:w="80" w:type="dxa"/>
              <w:right w:w="120" w:type="dxa"/>
            </w:tcMar>
            <w:vAlign w:val="center"/>
          </w:tcPr>
          <w:p w14:paraId="5F3BE381" w14:textId="77777777" w:rsidR="002D5388" w:rsidRDefault="00000000">
            <w:pPr>
              <w:spacing w:after="40"/>
            </w:pPr>
            <w:r>
              <w:rPr>
                <w:sz w:val="17"/>
              </w:rPr>
              <w:t>3,101</w:t>
            </w:r>
          </w:p>
        </w:tc>
        <w:tc>
          <w:tcPr>
            <w:tcW w:w="1350" w:type="dxa"/>
            <w:tcMar>
              <w:top w:w="80" w:type="dxa"/>
              <w:left w:w="120" w:type="dxa"/>
              <w:bottom w:w="80" w:type="dxa"/>
              <w:right w:w="120" w:type="dxa"/>
            </w:tcMar>
            <w:vAlign w:val="center"/>
          </w:tcPr>
          <w:p w14:paraId="1793C03B" w14:textId="77777777" w:rsidR="002D5388" w:rsidRDefault="00000000">
            <w:pPr>
              <w:spacing w:after="40"/>
            </w:pPr>
            <w:r>
              <w:rPr>
                <w:sz w:val="17"/>
              </w:rPr>
              <w:t>43.7%</w:t>
            </w:r>
          </w:p>
        </w:tc>
        <w:tc>
          <w:tcPr>
            <w:tcW w:w="3460" w:type="dxa"/>
            <w:tcMar>
              <w:top w:w="80" w:type="dxa"/>
              <w:left w:w="120" w:type="dxa"/>
              <w:bottom w:w="80" w:type="dxa"/>
              <w:right w:w="120" w:type="dxa"/>
            </w:tcMar>
            <w:vAlign w:val="center"/>
          </w:tcPr>
          <w:p w14:paraId="1A424E49" w14:textId="77777777" w:rsidR="002D5388" w:rsidRDefault="00000000">
            <w:pPr>
              <w:spacing w:after="40"/>
            </w:pPr>
            <w:r>
              <w:rPr>
                <w:sz w:val="17"/>
              </w:rPr>
              <w:t>Included</w:t>
            </w:r>
          </w:p>
        </w:tc>
      </w:tr>
      <w:tr w:rsidR="002D5388" w14:paraId="7C1263AC" w14:textId="77777777">
        <w:trPr>
          <w:jc w:val="center"/>
        </w:trPr>
        <w:tc>
          <w:tcPr>
            <w:tcW w:w="1150" w:type="dxa"/>
            <w:tcMar>
              <w:top w:w="80" w:type="dxa"/>
              <w:left w:w="120" w:type="dxa"/>
              <w:bottom w:w="80" w:type="dxa"/>
              <w:right w:w="120" w:type="dxa"/>
            </w:tcMar>
            <w:vAlign w:val="center"/>
          </w:tcPr>
          <w:p w14:paraId="3866FFE5" w14:textId="77777777" w:rsidR="002D5388" w:rsidRDefault="00000000">
            <w:pPr>
              <w:spacing w:after="40"/>
            </w:pPr>
            <w:r>
              <w:rPr>
                <w:sz w:val="17"/>
              </w:rPr>
              <w:t>FY2017</w:t>
            </w:r>
          </w:p>
        </w:tc>
        <w:tc>
          <w:tcPr>
            <w:tcW w:w="1000" w:type="dxa"/>
            <w:tcMar>
              <w:top w:w="80" w:type="dxa"/>
              <w:left w:w="120" w:type="dxa"/>
              <w:bottom w:w="80" w:type="dxa"/>
              <w:right w:w="120" w:type="dxa"/>
            </w:tcMar>
            <w:vAlign w:val="center"/>
          </w:tcPr>
          <w:p w14:paraId="6273D36C" w14:textId="77777777" w:rsidR="002D5388" w:rsidRDefault="00000000">
            <w:pPr>
              <w:spacing w:after="40"/>
            </w:pPr>
            <w:r>
              <w:rPr>
                <w:sz w:val="17"/>
              </w:rPr>
              <w:t>No.4</w:t>
            </w:r>
          </w:p>
        </w:tc>
        <w:tc>
          <w:tcPr>
            <w:tcW w:w="1200" w:type="dxa"/>
            <w:tcMar>
              <w:top w:w="80" w:type="dxa"/>
              <w:left w:w="120" w:type="dxa"/>
              <w:bottom w:w="80" w:type="dxa"/>
              <w:right w:w="120" w:type="dxa"/>
            </w:tcMar>
            <w:vAlign w:val="center"/>
          </w:tcPr>
          <w:p w14:paraId="1082D145" w14:textId="77777777" w:rsidR="002D5388" w:rsidRDefault="00000000">
            <w:pPr>
              <w:spacing w:after="40"/>
            </w:pPr>
            <w:r>
              <w:rPr>
                <w:sz w:val="17"/>
              </w:rPr>
              <w:t>3,853</w:t>
            </w:r>
          </w:p>
        </w:tc>
        <w:tc>
          <w:tcPr>
            <w:tcW w:w="1200" w:type="dxa"/>
            <w:tcMar>
              <w:top w:w="80" w:type="dxa"/>
              <w:left w:w="120" w:type="dxa"/>
              <w:bottom w:w="80" w:type="dxa"/>
              <w:right w:w="120" w:type="dxa"/>
            </w:tcMar>
            <w:vAlign w:val="center"/>
          </w:tcPr>
          <w:p w14:paraId="05A30149" w14:textId="77777777" w:rsidR="002D5388" w:rsidRDefault="00000000">
            <w:pPr>
              <w:spacing w:after="40"/>
            </w:pPr>
            <w:r>
              <w:rPr>
                <w:sz w:val="17"/>
              </w:rPr>
              <w:t>3,291</w:t>
            </w:r>
          </w:p>
        </w:tc>
        <w:tc>
          <w:tcPr>
            <w:tcW w:w="1350" w:type="dxa"/>
            <w:tcMar>
              <w:top w:w="80" w:type="dxa"/>
              <w:left w:w="120" w:type="dxa"/>
              <w:bottom w:w="80" w:type="dxa"/>
              <w:right w:w="120" w:type="dxa"/>
            </w:tcMar>
            <w:vAlign w:val="center"/>
          </w:tcPr>
          <w:p w14:paraId="5975105B" w14:textId="77777777" w:rsidR="002D5388" w:rsidRDefault="00000000">
            <w:pPr>
              <w:spacing w:after="40"/>
            </w:pPr>
            <w:r>
              <w:rPr>
                <w:sz w:val="17"/>
              </w:rPr>
              <w:t>46.1%</w:t>
            </w:r>
          </w:p>
        </w:tc>
        <w:tc>
          <w:tcPr>
            <w:tcW w:w="3460" w:type="dxa"/>
            <w:tcMar>
              <w:top w:w="80" w:type="dxa"/>
              <w:left w:w="120" w:type="dxa"/>
              <w:bottom w:w="80" w:type="dxa"/>
              <w:right w:w="120" w:type="dxa"/>
            </w:tcMar>
            <w:vAlign w:val="center"/>
          </w:tcPr>
          <w:p w14:paraId="7B014DCB" w14:textId="77777777" w:rsidR="002D5388" w:rsidRDefault="00000000">
            <w:pPr>
              <w:spacing w:after="40"/>
            </w:pPr>
            <w:r>
              <w:rPr>
                <w:sz w:val="17"/>
              </w:rPr>
              <w:t>Included</w:t>
            </w:r>
          </w:p>
        </w:tc>
      </w:tr>
      <w:tr w:rsidR="002D5388" w14:paraId="5B9EB9DC" w14:textId="77777777">
        <w:trPr>
          <w:jc w:val="center"/>
        </w:trPr>
        <w:tc>
          <w:tcPr>
            <w:tcW w:w="1150" w:type="dxa"/>
            <w:tcMar>
              <w:top w:w="80" w:type="dxa"/>
              <w:left w:w="120" w:type="dxa"/>
              <w:bottom w:w="80" w:type="dxa"/>
              <w:right w:w="120" w:type="dxa"/>
            </w:tcMar>
            <w:vAlign w:val="center"/>
          </w:tcPr>
          <w:p w14:paraId="6886B24C" w14:textId="77777777" w:rsidR="002D5388" w:rsidRDefault="00000000">
            <w:pPr>
              <w:spacing w:after="40"/>
            </w:pPr>
            <w:r>
              <w:rPr>
                <w:sz w:val="17"/>
              </w:rPr>
              <w:t>FY2018</w:t>
            </w:r>
          </w:p>
        </w:tc>
        <w:tc>
          <w:tcPr>
            <w:tcW w:w="1000" w:type="dxa"/>
            <w:tcMar>
              <w:top w:w="80" w:type="dxa"/>
              <w:left w:w="120" w:type="dxa"/>
              <w:bottom w:w="80" w:type="dxa"/>
              <w:right w:w="120" w:type="dxa"/>
            </w:tcMar>
            <w:vAlign w:val="center"/>
          </w:tcPr>
          <w:p w14:paraId="1272EE58" w14:textId="77777777" w:rsidR="002D5388" w:rsidRDefault="00000000">
            <w:pPr>
              <w:spacing w:after="40"/>
            </w:pPr>
            <w:r>
              <w:rPr>
                <w:sz w:val="17"/>
              </w:rPr>
              <w:t>No.5</w:t>
            </w:r>
          </w:p>
        </w:tc>
        <w:tc>
          <w:tcPr>
            <w:tcW w:w="1200" w:type="dxa"/>
            <w:tcMar>
              <w:top w:w="80" w:type="dxa"/>
              <w:left w:w="120" w:type="dxa"/>
              <w:bottom w:w="80" w:type="dxa"/>
              <w:right w:w="120" w:type="dxa"/>
            </w:tcMar>
            <w:vAlign w:val="center"/>
          </w:tcPr>
          <w:p w14:paraId="5E2E6C8D" w14:textId="77777777" w:rsidR="002D5388" w:rsidRDefault="00000000">
            <w:pPr>
              <w:spacing w:after="40"/>
            </w:pPr>
            <w:r>
              <w:rPr>
                <w:sz w:val="17"/>
              </w:rPr>
              <w:t>4,187</w:t>
            </w:r>
          </w:p>
        </w:tc>
        <w:tc>
          <w:tcPr>
            <w:tcW w:w="1200" w:type="dxa"/>
            <w:tcMar>
              <w:top w:w="80" w:type="dxa"/>
              <w:left w:w="120" w:type="dxa"/>
              <w:bottom w:w="80" w:type="dxa"/>
              <w:right w:w="120" w:type="dxa"/>
            </w:tcMar>
            <w:vAlign w:val="center"/>
          </w:tcPr>
          <w:p w14:paraId="36073B1C" w14:textId="77777777" w:rsidR="002D5388" w:rsidRDefault="00000000">
            <w:pPr>
              <w:spacing w:after="40"/>
            </w:pPr>
            <w:r>
              <w:rPr>
                <w:sz w:val="17"/>
              </w:rPr>
              <w:t>2,863</w:t>
            </w:r>
          </w:p>
        </w:tc>
        <w:tc>
          <w:tcPr>
            <w:tcW w:w="1350" w:type="dxa"/>
            <w:tcMar>
              <w:top w:w="80" w:type="dxa"/>
              <w:left w:w="120" w:type="dxa"/>
              <w:bottom w:w="80" w:type="dxa"/>
              <w:right w:w="120" w:type="dxa"/>
            </w:tcMar>
            <w:vAlign w:val="center"/>
          </w:tcPr>
          <w:p w14:paraId="4E736B80" w14:textId="77777777" w:rsidR="002D5388" w:rsidRDefault="00000000">
            <w:pPr>
              <w:spacing w:after="40"/>
            </w:pPr>
            <w:r>
              <w:rPr>
                <w:sz w:val="17"/>
              </w:rPr>
              <w:t>40.6%</w:t>
            </w:r>
          </w:p>
        </w:tc>
        <w:tc>
          <w:tcPr>
            <w:tcW w:w="3460" w:type="dxa"/>
            <w:tcMar>
              <w:top w:w="80" w:type="dxa"/>
              <w:left w:w="120" w:type="dxa"/>
              <w:bottom w:w="80" w:type="dxa"/>
              <w:right w:w="120" w:type="dxa"/>
            </w:tcMar>
            <w:vAlign w:val="center"/>
          </w:tcPr>
          <w:p w14:paraId="3CEFEE88" w14:textId="77777777" w:rsidR="002D5388" w:rsidRDefault="00000000">
            <w:pPr>
              <w:spacing w:after="40"/>
            </w:pPr>
            <w:r>
              <w:rPr>
                <w:sz w:val="17"/>
              </w:rPr>
              <w:t>Included</w:t>
            </w:r>
          </w:p>
        </w:tc>
      </w:tr>
      <w:tr w:rsidR="002D5388" w14:paraId="4883E6AD" w14:textId="77777777">
        <w:trPr>
          <w:jc w:val="center"/>
        </w:trPr>
        <w:tc>
          <w:tcPr>
            <w:tcW w:w="1150" w:type="dxa"/>
            <w:tcMar>
              <w:top w:w="80" w:type="dxa"/>
              <w:left w:w="120" w:type="dxa"/>
              <w:bottom w:w="80" w:type="dxa"/>
              <w:right w:w="120" w:type="dxa"/>
            </w:tcMar>
            <w:vAlign w:val="center"/>
          </w:tcPr>
          <w:p w14:paraId="734D20AF" w14:textId="77777777" w:rsidR="002D5388" w:rsidRDefault="00000000">
            <w:pPr>
              <w:spacing w:after="40"/>
            </w:pPr>
            <w:r>
              <w:rPr>
                <w:sz w:val="17"/>
              </w:rPr>
              <w:t>FY2019</w:t>
            </w:r>
          </w:p>
        </w:tc>
        <w:tc>
          <w:tcPr>
            <w:tcW w:w="1000" w:type="dxa"/>
            <w:tcMar>
              <w:top w:w="80" w:type="dxa"/>
              <w:left w:w="120" w:type="dxa"/>
              <w:bottom w:w="80" w:type="dxa"/>
              <w:right w:w="120" w:type="dxa"/>
            </w:tcMar>
            <w:vAlign w:val="center"/>
          </w:tcPr>
          <w:p w14:paraId="70EBCBC3" w14:textId="77777777" w:rsidR="002D5388" w:rsidRDefault="00000000">
            <w:pPr>
              <w:spacing w:after="40"/>
            </w:pPr>
            <w:r>
              <w:rPr>
                <w:sz w:val="17"/>
              </w:rPr>
              <w:t>No.6</w:t>
            </w:r>
          </w:p>
        </w:tc>
        <w:tc>
          <w:tcPr>
            <w:tcW w:w="1200" w:type="dxa"/>
            <w:tcMar>
              <w:top w:w="80" w:type="dxa"/>
              <w:left w:w="120" w:type="dxa"/>
              <w:bottom w:w="80" w:type="dxa"/>
              <w:right w:w="120" w:type="dxa"/>
            </w:tcMar>
            <w:vAlign w:val="center"/>
          </w:tcPr>
          <w:p w14:paraId="20F4F127" w14:textId="77777777" w:rsidR="002D5388" w:rsidRDefault="00000000">
            <w:pPr>
              <w:spacing w:after="40"/>
            </w:pPr>
            <w:r>
              <w:rPr>
                <w:sz w:val="17"/>
              </w:rPr>
              <w:t>4,179</w:t>
            </w:r>
          </w:p>
        </w:tc>
        <w:tc>
          <w:tcPr>
            <w:tcW w:w="1200" w:type="dxa"/>
            <w:tcMar>
              <w:top w:w="80" w:type="dxa"/>
              <w:left w:w="120" w:type="dxa"/>
              <w:bottom w:w="80" w:type="dxa"/>
              <w:right w:w="120" w:type="dxa"/>
            </w:tcMar>
            <w:vAlign w:val="center"/>
          </w:tcPr>
          <w:p w14:paraId="6FD41BA3" w14:textId="77777777" w:rsidR="002D5388" w:rsidRDefault="00000000">
            <w:pPr>
              <w:spacing w:after="40"/>
            </w:pPr>
            <w:r>
              <w:rPr>
                <w:sz w:val="17"/>
              </w:rPr>
              <w:t>2,965</w:t>
            </w:r>
          </w:p>
        </w:tc>
        <w:tc>
          <w:tcPr>
            <w:tcW w:w="1350" w:type="dxa"/>
            <w:tcMar>
              <w:top w:w="80" w:type="dxa"/>
              <w:left w:w="120" w:type="dxa"/>
              <w:bottom w:w="80" w:type="dxa"/>
              <w:right w:w="120" w:type="dxa"/>
            </w:tcMar>
            <w:vAlign w:val="center"/>
          </w:tcPr>
          <w:p w14:paraId="37353E71" w14:textId="77777777" w:rsidR="002D5388" w:rsidRDefault="00000000">
            <w:pPr>
              <w:spacing w:after="40"/>
            </w:pPr>
            <w:r>
              <w:rPr>
                <w:sz w:val="17"/>
              </w:rPr>
              <w:t>41.5%</w:t>
            </w:r>
          </w:p>
        </w:tc>
        <w:tc>
          <w:tcPr>
            <w:tcW w:w="3460" w:type="dxa"/>
            <w:tcMar>
              <w:top w:w="80" w:type="dxa"/>
              <w:left w:w="120" w:type="dxa"/>
              <w:bottom w:w="80" w:type="dxa"/>
              <w:right w:w="120" w:type="dxa"/>
            </w:tcMar>
            <w:vAlign w:val="center"/>
          </w:tcPr>
          <w:p w14:paraId="10A94334" w14:textId="77777777" w:rsidR="002D5388" w:rsidRDefault="00000000">
            <w:pPr>
              <w:spacing w:after="40"/>
            </w:pPr>
            <w:r>
              <w:rPr>
                <w:sz w:val="17"/>
              </w:rPr>
              <w:t>Included</w:t>
            </w:r>
          </w:p>
        </w:tc>
      </w:tr>
      <w:tr w:rsidR="002D5388" w14:paraId="504A8D22" w14:textId="77777777">
        <w:trPr>
          <w:jc w:val="center"/>
        </w:trPr>
        <w:tc>
          <w:tcPr>
            <w:tcW w:w="1150" w:type="dxa"/>
            <w:tcMar>
              <w:top w:w="80" w:type="dxa"/>
              <w:left w:w="120" w:type="dxa"/>
              <w:bottom w:w="80" w:type="dxa"/>
              <w:right w:w="120" w:type="dxa"/>
            </w:tcMar>
            <w:vAlign w:val="center"/>
          </w:tcPr>
          <w:p w14:paraId="07354AF3" w14:textId="77777777" w:rsidR="002D5388" w:rsidRDefault="00000000">
            <w:pPr>
              <w:spacing w:after="40"/>
            </w:pPr>
            <w:r>
              <w:rPr>
                <w:sz w:val="17"/>
              </w:rPr>
              <w:t>FY2020</w:t>
            </w:r>
          </w:p>
        </w:tc>
        <w:tc>
          <w:tcPr>
            <w:tcW w:w="1000" w:type="dxa"/>
            <w:tcMar>
              <w:top w:w="80" w:type="dxa"/>
              <w:left w:w="120" w:type="dxa"/>
              <w:bottom w:w="80" w:type="dxa"/>
              <w:right w:w="120" w:type="dxa"/>
            </w:tcMar>
            <w:vAlign w:val="center"/>
          </w:tcPr>
          <w:p w14:paraId="2289066C" w14:textId="77777777" w:rsidR="002D5388" w:rsidRDefault="00000000">
            <w:pPr>
              <w:spacing w:after="40"/>
            </w:pPr>
            <w:r>
              <w:rPr>
                <w:sz w:val="17"/>
              </w:rPr>
              <w:t>No.7</w:t>
            </w:r>
          </w:p>
        </w:tc>
        <w:tc>
          <w:tcPr>
            <w:tcW w:w="1200" w:type="dxa"/>
            <w:tcMar>
              <w:top w:w="80" w:type="dxa"/>
              <w:left w:w="120" w:type="dxa"/>
              <w:bottom w:w="80" w:type="dxa"/>
              <w:right w:w="120" w:type="dxa"/>
            </w:tcMar>
            <w:vAlign w:val="center"/>
          </w:tcPr>
          <w:p w14:paraId="7DC83546" w14:textId="77777777" w:rsidR="002D5388" w:rsidRDefault="00000000">
            <w:pPr>
              <w:spacing w:after="40"/>
            </w:pPr>
            <w:r>
              <w:rPr>
                <w:sz w:val="17"/>
              </w:rPr>
              <w:t>4,097</w:t>
            </w:r>
          </w:p>
        </w:tc>
        <w:tc>
          <w:tcPr>
            <w:tcW w:w="1200" w:type="dxa"/>
            <w:tcMar>
              <w:top w:w="80" w:type="dxa"/>
              <w:left w:w="120" w:type="dxa"/>
              <w:bottom w:w="80" w:type="dxa"/>
              <w:right w:w="120" w:type="dxa"/>
            </w:tcMar>
            <w:vAlign w:val="center"/>
          </w:tcPr>
          <w:p w14:paraId="04B0A8AF" w14:textId="77777777" w:rsidR="002D5388" w:rsidRDefault="00000000">
            <w:pPr>
              <w:spacing w:after="40"/>
            </w:pPr>
            <w:r>
              <w:rPr>
                <w:sz w:val="17"/>
              </w:rPr>
              <w:t>3,047</w:t>
            </w:r>
          </w:p>
        </w:tc>
        <w:tc>
          <w:tcPr>
            <w:tcW w:w="1350" w:type="dxa"/>
            <w:tcMar>
              <w:top w:w="80" w:type="dxa"/>
              <w:left w:w="120" w:type="dxa"/>
              <w:bottom w:w="80" w:type="dxa"/>
              <w:right w:w="120" w:type="dxa"/>
            </w:tcMar>
            <w:vAlign w:val="center"/>
          </w:tcPr>
          <w:p w14:paraId="0843E492" w14:textId="77777777" w:rsidR="002D5388" w:rsidRDefault="00000000">
            <w:pPr>
              <w:spacing w:after="40"/>
            </w:pPr>
            <w:r>
              <w:rPr>
                <w:sz w:val="17"/>
              </w:rPr>
              <w:t>42.6%</w:t>
            </w:r>
          </w:p>
        </w:tc>
        <w:tc>
          <w:tcPr>
            <w:tcW w:w="3460" w:type="dxa"/>
            <w:tcMar>
              <w:top w:w="80" w:type="dxa"/>
              <w:left w:w="120" w:type="dxa"/>
              <w:bottom w:w="80" w:type="dxa"/>
              <w:right w:w="120" w:type="dxa"/>
            </w:tcMar>
            <w:vAlign w:val="center"/>
          </w:tcPr>
          <w:p w14:paraId="2FA461D9" w14:textId="77777777" w:rsidR="002D5388" w:rsidRDefault="00000000">
            <w:pPr>
              <w:spacing w:after="40"/>
            </w:pPr>
            <w:r>
              <w:rPr>
                <w:sz w:val="17"/>
              </w:rPr>
              <w:t>Included</w:t>
            </w:r>
          </w:p>
        </w:tc>
      </w:tr>
      <w:tr w:rsidR="002D5388" w14:paraId="7637FB6E" w14:textId="77777777">
        <w:trPr>
          <w:jc w:val="center"/>
        </w:trPr>
        <w:tc>
          <w:tcPr>
            <w:tcW w:w="1150" w:type="dxa"/>
            <w:tcMar>
              <w:top w:w="80" w:type="dxa"/>
              <w:left w:w="120" w:type="dxa"/>
              <w:bottom w:w="80" w:type="dxa"/>
              <w:right w:w="120" w:type="dxa"/>
            </w:tcMar>
            <w:vAlign w:val="center"/>
          </w:tcPr>
          <w:p w14:paraId="5715403F" w14:textId="77777777" w:rsidR="002D5388" w:rsidRDefault="00000000">
            <w:pPr>
              <w:spacing w:after="40"/>
            </w:pPr>
            <w:r>
              <w:rPr>
                <w:sz w:val="17"/>
              </w:rPr>
              <w:lastRenderedPageBreak/>
              <w:t>FY2021</w:t>
            </w:r>
          </w:p>
        </w:tc>
        <w:tc>
          <w:tcPr>
            <w:tcW w:w="1000" w:type="dxa"/>
            <w:tcMar>
              <w:top w:w="80" w:type="dxa"/>
              <w:left w:w="120" w:type="dxa"/>
              <w:bottom w:w="80" w:type="dxa"/>
              <w:right w:w="120" w:type="dxa"/>
            </w:tcMar>
            <w:vAlign w:val="center"/>
          </w:tcPr>
          <w:p w14:paraId="654E8421" w14:textId="77777777" w:rsidR="002D5388" w:rsidRDefault="00000000">
            <w:pPr>
              <w:spacing w:after="40"/>
            </w:pPr>
            <w:r>
              <w:rPr>
                <w:sz w:val="17"/>
              </w:rPr>
              <w:t>No.8</w:t>
            </w:r>
          </w:p>
        </w:tc>
        <w:tc>
          <w:tcPr>
            <w:tcW w:w="1200" w:type="dxa"/>
            <w:tcMar>
              <w:top w:w="80" w:type="dxa"/>
              <w:left w:w="120" w:type="dxa"/>
              <w:bottom w:w="80" w:type="dxa"/>
              <w:right w:w="120" w:type="dxa"/>
            </w:tcMar>
            <w:vAlign w:val="center"/>
          </w:tcPr>
          <w:p w14:paraId="102FDEA0" w14:textId="77777777" w:rsidR="002D5388" w:rsidRDefault="00000000">
            <w:pPr>
              <w:spacing w:after="40"/>
            </w:pPr>
            <w:r>
              <w:rPr>
                <w:sz w:val="17"/>
              </w:rPr>
              <w:t>N/A</w:t>
            </w:r>
          </w:p>
        </w:tc>
        <w:tc>
          <w:tcPr>
            <w:tcW w:w="1200" w:type="dxa"/>
            <w:tcMar>
              <w:top w:w="80" w:type="dxa"/>
              <w:left w:w="120" w:type="dxa"/>
              <w:bottom w:w="80" w:type="dxa"/>
              <w:right w:w="120" w:type="dxa"/>
            </w:tcMar>
            <w:vAlign w:val="center"/>
          </w:tcPr>
          <w:p w14:paraId="177C648A" w14:textId="77777777" w:rsidR="002D5388" w:rsidRDefault="00000000">
            <w:pPr>
              <w:spacing w:after="40"/>
            </w:pPr>
            <w:r>
              <w:rPr>
                <w:sz w:val="17"/>
              </w:rPr>
              <w:t>N/A</w:t>
            </w:r>
          </w:p>
        </w:tc>
        <w:tc>
          <w:tcPr>
            <w:tcW w:w="1350" w:type="dxa"/>
            <w:tcMar>
              <w:top w:w="80" w:type="dxa"/>
              <w:left w:w="120" w:type="dxa"/>
              <w:bottom w:w="80" w:type="dxa"/>
              <w:right w:w="120" w:type="dxa"/>
            </w:tcMar>
            <w:vAlign w:val="center"/>
          </w:tcPr>
          <w:p w14:paraId="1A29AF64" w14:textId="77777777" w:rsidR="002D5388" w:rsidRDefault="00000000">
            <w:pPr>
              <w:spacing w:after="40"/>
            </w:pPr>
            <w:r>
              <w:rPr>
                <w:sz w:val="17"/>
              </w:rPr>
              <w:t>N/A</w:t>
            </w:r>
          </w:p>
        </w:tc>
        <w:tc>
          <w:tcPr>
            <w:tcW w:w="3460" w:type="dxa"/>
            <w:tcMar>
              <w:top w:w="80" w:type="dxa"/>
              <w:left w:w="120" w:type="dxa"/>
              <w:bottom w:w="80" w:type="dxa"/>
              <w:right w:w="120" w:type="dxa"/>
            </w:tcMar>
            <w:vAlign w:val="center"/>
          </w:tcPr>
          <w:p w14:paraId="4C3A5E14" w14:textId="77777777" w:rsidR="002D5388" w:rsidRDefault="00000000">
            <w:pPr>
              <w:spacing w:after="40"/>
            </w:pPr>
            <w:r>
              <w:rPr>
                <w:sz w:val="17"/>
              </w:rPr>
              <w:t>Metric_change; excluded from disease-count panel</w:t>
            </w:r>
          </w:p>
        </w:tc>
      </w:tr>
      <w:tr w:rsidR="002D5388" w14:paraId="1F27994C" w14:textId="77777777">
        <w:trPr>
          <w:jc w:val="center"/>
        </w:trPr>
        <w:tc>
          <w:tcPr>
            <w:tcW w:w="1150" w:type="dxa"/>
            <w:tcMar>
              <w:top w:w="80" w:type="dxa"/>
              <w:left w:w="120" w:type="dxa"/>
              <w:bottom w:w="80" w:type="dxa"/>
              <w:right w:w="120" w:type="dxa"/>
            </w:tcMar>
            <w:vAlign w:val="center"/>
          </w:tcPr>
          <w:p w14:paraId="5CB5A6D1" w14:textId="77777777" w:rsidR="002D5388" w:rsidRDefault="00000000">
            <w:pPr>
              <w:spacing w:after="40"/>
            </w:pPr>
            <w:r>
              <w:rPr>
                <w:sz w:val="17"/>
              </w:rPr>
              <w:t>FY2022</w:t>
            </w:r>
          </w:p>
        </w:tc>
        <w:tc>
          <w:tcPr>
            <w:tcW w:w="1000" w:type="dxa"/>
            <w:tcMar>
              <w:top w:w="80" w:type="dxa"/>
              <w:left w:w="120" w:type="dxa"/>
              <w:bottom w:w="80" w:type="dxa"/>
              <w:right w:w="120" w:type="dxa"/>
            </w:tcMar>
            <w:vAlign w:val="center"/>
          </w:tcPr>
          <w:p w14:paraId="3FCD8381" w14:textId="77777777" w:rsidR="002D5388" w:rsidRDefault="00000000">
            <w:pPr>
              <w:spacing w:after="40"/>
            </w:pPr>
            <w:r>
              <w:rPr>
                <w:sz w:val="17"/>
              </w:rPr>
              <w:t>No.9</w:t>
            </w:r>
          </w:p>
        </w:tc>
        <w:tc>
          <w:tcPr>
            <w:tcW w:w="1200" w:type="dxa"/>
            <w:tcMar>
              <w:top w:w="80" w:type="dxa"/>
              <w:left w:w="120" w:type="dxa"/>
              <w:bottom w:w="80" w:type="dxa"/>
              <w:right w:w="120" w:type="dxa"/>
            </w:tcMar>
            <w:vAlign w:val="center"/>
          </w:tcPr>
          <w:p w14:paraId="4A3AD510" w14:textId="77777777" w:rsidR="002D5388" w:rsidRDefault="00000000">
            <w:pPr>
              <w:spacing w:after="40"/>
            </w:pPr>
            <w:r>
              <w:rPr>
                <w:sz w:val="17"/>
              </w:rPr>
              <w:t>5,874</w:t>
            </w:r>
          </w:p>
        </w:tc>
        <w:tc>
          <w:tcPr>
            <w:tcW w:w="1200" w:type="dxa"/>
            <w:tcMar>
              <w:top w:w="80" w:type="dxa"/>
              <w:left w:w="120" w:type="dxa"/>
              <w:bottom w:w="80" w:type="dxa"/>
              <w:right w:w="120" w:type="dxa"/>
            </w:tcMar>
            <w:vAlign w:val="center"/>
          </w:tcPr>
          <w:p w14:paraId="4E0CA18D" w14:textId="77777777" w:rsidR="002D5388" w:rsidRDefault="00000000">
            <w:pPr>
              <w:spacing w:after="40"/>
            </w:pPr>
            <w:r>
              <w:rPr>
                <w:sz w:val="17"/>
              </w:rPr>
              <w:t>1,364</w:t>
            </w:r>
          </w:p>
        </w:tc>
        <w:tc>
          <w:tcPr>
            <w:tcW w:w="1350" w:type="dxa"/>
            <w:tcMar>
              <w:top w:w="80" w:type="dxa"/>
              <w:left w:w="120" w:type="dxa"/>
              <w:bottom w:w="80" w:type="dxa"/>
              <w:right w:w="120" w:type="dxa"/>
            </w:tcMar>
            <w:vAlign w:val="center"/>
          </w:tcPr>
          <w:p w14:paraId="559E76C9" w14:textId="77777777" w:rsidR="002D5388" w:rsidRDefault="00000000">
            <w:pPr>
              <w:spacing w:after="40"/>
            </w:pPr>
            <w:r>
              <w:rPr>
                <w:sz w:val="17"/>
              </w:rPr>
              <w:t>18.8%</w:t>
            </w:r>
          </w:p>
        </w:tc>
        <w:tc>
          <w:tcPr>
            <w:tcW w:w="3460" w:type="dxa"/>
            <w:tcMar>
              <w:top w:w="80" w:type="dxa"/>
              <w:left w:w="120" w:type="dxa"/>
              <w:bottom w:w="80" w:type="dxa"/>
              <w:right w:w="120" w:type="dxa"/>
            </w:tcMar>
            <w:vAlign w:val="center"/>
          </w:tcPr>
          <w:p w14:paraId="3B3FF1AF" w14:textId="77777777" w:rsidR="002D5388" w:rsidRDefault="00000000">
            <w:pPr>
              <w:spacing w:after="40"/>
            </w:pPr>
            <w:r>
              <w:rPr>
                <w:sz w:val="17"/>
              </w:rPr>
              <w:t>Included</w:t>
            </w:r>
          </w:p>
        </w:tc>
      </w:tr>
      <w:tr w:rsidR="002D5388" w14:paraId="76DFE067" w14:textId="77777777">
        <w:trPr>
          <w:jc w:val="center"/>
        </w:trPr>
        <w:tc>
          <w:tcPr>
            <w:tcW w:w="1150" w:type="dxa"/>
            <w:tcMar>
              <w:top w:w="80" w:type="dxa"/>
              <w:left w:w="120" w:type="dxa"/>
              <w:bottom w:w="80" w:type="dxa"/>
              <w:right w:w="120" w:type="dxa"/>
            </w:tcMar>
            <w:vAlign w:val="center"/>
          </w:tcPr>
          <w:p w14:paraId="4D30C077" w14:textId="77777777" w:rsidR="002D5388" w:rsidRDefault="00000000">
            <w:pPr>
              <w:spacing w:after="40"/>
            </w:pPr>
            <w:r>
              <w:rPr>
                <w:sz w:val="17"/>
              </w:rPr>
              <w:t>FY2023</w:t>
            </w:r>
          </w:p>
        </w:tc>
        <w:tc>
          <w:tcPr>
            <w:tcW w:w="1000" w:type="dxa"/>
            <w:tcMar>
              <w:top w:w="80" w:type="dxa"/>
              <w:left w:w="120" w:type="dxa"/>
              <w:bottom w:w="80" w:type="dxa"/>
              <w:right w:w="120" w:type="dxa"/>
            </w:tcMar>
            <w:vAlign w:val="center"/>
          </w:tcPr>
          <w:p w14:paraId="6254767C" w14:textId="77777777" w:rsidR="002D5388" w:rsidRDefault="00000000">
            <w:pPr>
              <w:spacing w:after="40"/>
            </w:pPr>
            <w:r>
              <w:rPr>
                <w:sz w:val="17"/>
              </w:rPr>
              <w:t>No.10</w:t>
            </w:r>
          </w:p>
        </w:tc>
        <w:tc>
          <w:tcPr>
            <w:tcW w:w="1200" w:type="dxa"/>
            <w:tcMar>
              <w:top w:w="80" w:type="dxa"/>
              <w:left w:w="120" w:type="dxa"/>
              <w:bottom w:w="80" w:type="dxa"/>
              <w:right w:w="120" w:type="dxa"/>
            </w:tcMar>
            <w:vAlign w:val="center"/>
          </w:tcPr>
          <w:p w14:paraId="5D526A68" w14:textId="77777777" w:rsidR="002D5388" w:rsidRDefault="00000000">
            <w:pPr>
              <w:spacing w:after="40"/>
            </w:pPr>
            <w:r>
              <w:rPr>
                <w:sz w:val="17"/>
              </w:rPr>
              <w:t>5,789</w:t>
            </w:r>
          </w:p>
        </w:tc>
        <w:tc>
          <w:tcPr>
            <w:tcW w:w="1200" w:type="dxa"/>
            <w:tcMar>
              <w:top w:w="80" w:type="dxa"/>
              <w:left w:w="120" w:type="dxa"/>
              <w:bottom w:w="80" w:type="dxa"/>
              <w:right w:w="120" w:type="dxa"/>
            </w:tcMar>
            <w:vAlign w:val="center"/>
          </w:tcPr>
          <w:p w14:paraId="3DC8FF2F" w14:textId="77777777" w:rsidR="002D5388" w:rsidRDefault="00000000">
            <w:pPr>
              <w:spacing w:after="40"/>
            </w:pPr>
            <w:r>
              <w:rPr>
                <w:sz w:val="17"/>
              </w:rPr>
              <w:t>1,402</w:t>
            </w:r>
          </w:p>
        </w:tc>
        <w:tc>
          <w:tcPr>
            <w:tcW w:w="1350" w:type="dxa"/>
            <w:tcMar>
              <w:top w:w="80" w:type="dxa"/>
              <w:left w:w="120" w:type="dxa"/>
              <w:bottom w:w="80" w:type="dxa"/>
              <w:right w:w="120" w:type="dxa"/>
            </w:tcMar>
            <w:vAlign w:val="center"/>
          </w:tcPr>
          <w:p w14:paraId="62F27B06" w14:textId="77777777" w:rsidR="002D5388" w:rsidRDefault="00000000">
            <w:pPr>
              <w:spacing w:after="40"/>
            </w:pPr>
            <w:r>
              <w:rPr>
                <w:sz w:val="17"/>
              </w:rPr>
              <w:t>19.5%</w:t>
            </w:r>
          </w:p>
        </w:tc>
        <w:tc>
          <w:tcPr>
            <w:tcW w:w="3460" w:type="dxa"/>
            <w:tcMar>
              <w:top w:w="80" w:type="dxa"/>
              <w:left w:w="120" w:type="dxa"/>
              <w:bottom w:w="80" w:type="dxa"/>
              <w:right w:w="120" w:type="dxa"/>
            </w:tcMar>
            <w:vAlign w:val="center"/>
          </w:tcPr>
          <w:p w14:paraId="0B6683ED" w14:textId="77777777" w:rsidR="002D5388" w:rsidRDefault="00000000">
            <w:pPr>
              <w:spacing w:after="40"/>
            </w:pPr>
            <w:r>
              <w:rPr>
                <w:sz w:val="17"/>
              </w:rPr>
              <w:t>Included</w:t>
            </w:r>
          </w:p>
        </w:tc>
      </w:tr>
      <w:tr w:rsidR="002D5388" w14:paraId="4EB6E091" w14:textId="77777777">
        <w:trPr>
          <w:jc w:val="center"/>
        </w:trPr>
        <w:tc>
          <w:tcPr>
            <w:tcW w:w="1150" w:type="dxa"/>
            <w:tcMar>
              <w:top w:w="80" w:type="dxa"/>
              <w:left w:w="120" w:type="dxa"/>
              <w:bottom w:w="80" w:type="dxa"/>
              <w:right w:w="120" w:type="dxa"/>
            </w:tcMar>
            <w:vAlign w:val="center"/>
          </w:tcPr>
          <w:p w14:paraId="05B0D04C" w14:textId="77777777" w:rsidR="002D5388" w:rsidRDefault="00000000">
            <w:pPr>
              <w:spacing w:after="40"/>
            </w:pPr>
            <w:r>
              <w:rPr>
                <w:sz w:val="17"/>
              </w:rPr>
              <w:t>FY2024</w:t>
            </w:r>
          </w:p>
        </w:tc>
        <w:tc>
          <w:tcPr>
            <w:tcW w:w="1000" w:type="dxa"/>
            <w:tcMar>
              <w:top w:w="80" w:type="dxa"/>
              <w:left w:w="120" w:type="dxa"/>
              <w:bottom w:w="80" w:type="dxa"/>
              <w:right w:w="120" w:type="dxa"/>
            </w:tcMar>
            <w:vAlign w:val="center"/>
          </w:tcPr>
          <w:p w14:paraId="6B33B744" w14:textId="77777777" w:rsidR="002D5388" w:rsidRDefault="00000000">
            <w:pPr>
              <w:spacing w:after="40"/>
            </w:pPr>
            <w:r>
              <w:rPr>
                <w:sz w:val="17"/>
              </w:rPr>
              <w:t>No.11</w:t>
            </w:r>
          </w:p>
        </w:tc>
        <w:tc>
          <w:tcPr>
            <w:tcW w:w="1200" w:type="dxa"/>
            <w:tcMar>
              <w:top w:w="80" w:type="dxa"/>
              <w:left w:w="120" w:type="dxa"/>
              <w:bottom w:w="80" w:type="dxa"/>
              <w:right w:w="120" w:type="dxa"/>
            </w:tcMar>
            <w:vAlign w:val="center"/>
          </w:tcPr>
          <w:p w14:paraId="3A0AACBB" w14:textId="77777777" w:rsidR="002D5388" w:rsidRDefault="00000000">
            <w:pPr>
              <w:spacing w:after="40"/>
            </w:pPr>
            <w:r>
              <w:rPr>
                <w:sz w:val="17"/>
              </w:rPr>
              <w:t>5,699</w:t>
            </w:r>
          </w:p>
        </w:tc>
        <w:tc>
          <w:tcPr>
            <w:tcW w:w="1200" w:type="dxa"/>
            <w:tcMar>
              <w:top w:w="80" w:type="dxa"/>
              <w:left w:w="120" w:type="dxa"/>
              <w:bottom w:w="80" w:type="dxa"/>
              <w:right w:w="120" w:type="dxa"/>
            </w:tcMar>
            <w:vAlign w:val="center"/>
          </w:tcPr>
          <w:p w14:paraId="469153AE" w14:textId="77777777" w:rsidR="002D5388" w:rsidRDefault="00000000">
            <w:pPr>
              <w:spacing w:after="40"/>
            </w:pPr>
            <w:r>
              <w:rPr>
                <w:sz w:val="17"/>
              </w:rPr>
              <w:t>1,257</w:t>
            </w:r>
          </w:p>
        </w:tc>
        <w:tc>
          <w:tcPr>
            <w:tcW w:w="1350" w:type="dxa"/>
            <w:tcMar>
              <w:top w:w="80" w:type="dxa"/>
              <w:left w:w="120" w:type="dxa"/>
              <w:bottom w:w="80" w:type="dxa"/>
              <w:right w:w="120" w:type="dxa"/>
            </w:tcMar>
            <w:vAlign w:val="center"/>
          </w:tcPr>
          <w:p w14:paraId="50441A91" w14:textId="77777777" w:rsidR="002D5388" w:rsidRDefault="00000000">
            <w:pPr>
              <w:spacing w:after="40"/>
            </w:pPr>
            <w:r>
              <w:rPr>
                <w:sz w:val="17"/>
              </w:rPr>
              <w:t>18.1%</w:t>
            </w:r>
          </w:p>
        </w:tc>
        <w:tc>
          <w:tcPr>
            <w:tcW w:w="3460" w:type="dxa"/>
            <w:tcMar>
              <w:top w:w="80" w:type="dxa"/>
              <w:left w:w="120" w:type="dxa"/>
              <w:bottom w:w="80" w:type="dxa"/>
              <w:right w:w="120" w:type="dxa"/>
            </w:tcMar>
            <w:vAlign w:val="center"/>
          </w:tcPr>
          <w:p w14:paraId="5FBC1D24" w14:textId="77777777" w:rsidR="002D5388" w:rsidRDefault="00000000">
            <w:pPr>
              <w:spacing w:after="40"/>
            </w:pPr>
            <w:r>
              <w:rPr>
                <w:sz w:val="17"/>
              </w:rPr>
              <w:t>Included</w:t>
            </w:r>
          </w:p>
        </w:tc>
      </w:tr>
    </w:tbl>
    <w:p w14:paraId="14E41389" w14:textId="77777777" w:rsidR="002D5388" w:rsidRDefault="00000000">
      <w:pPr>
        <w:pStyle w:val="1"/>
      </w:pPr>
      <w:r>
        <w:t>Figures</w:t>
      </w:r>
    </w:p>
    <w:p w14:paraId="0CCE3D26" w14:textId="77777777" w:rsidR="002D5388" w:rsidRDefault="00000000">
      <w:pPr>
        <w:jc w:val="center"/>
      </w:pPr>
      <w:r>
        <w:rPr>
          <w:noProof/>
        </w:rPr>
        <w:drawing>
          <wp:inline distT="0" distB="0" distL="0" distR="0" wp14:anchorId="00EAFEFE" wp14:editId="52451763">
            <wp:extent cx="6217920" cy="3868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re_model_audit_sequence.png"/>
                    <pic:cNvPicPr/>
                  </pic:nvPicPr>
                  <pic:blipFill>
                    <a:blip r:embed="rId8"/>
                    <a:stretch>
                      <a:fillRect/>
                    </a:stretch>
                  </pic:blipFill>
                  <pic:spPr>
                    <a:xfrm>
                      <a:off x="0" y="0"/>
                      <a:ext cx="6217920" cy="3868928"/>
                    </a:xfrm>
                    <a:prstGeom prst="rect">
                      <a:avLst/>
                    </a:prstGeom>
                  </pic:spPr>
                </pic:pic>
              </a:graphicData>
            </a:graphic>
          </wp:inline>
        </w:drawing>
      </w:r>
    </w:p>
    <w:p w14:paraId="5F0C8E21" w14:textId="77777777" w:rsidR="002D5388" w:rsidRDefault="00000000">
      <w:r>
        <w:t>Figure 1. Conceptual sequence for a pre-model audit of administrative healthcare data. The audit moves from measurement-construct definition to source inventory, coverage assessment, observability classification, metric comparability audit, and eligibility decisions before feature engineering, model fitting, or validation.</w:t>
      </w:r>
    </w:p>
    <w:p w14:paraId="7FB57215" w14:textId="77777777" w:rsidR="002D5388" w:rsidRDefault="00000000">
      <w:pPr>
        <w:pStyle w:val="1"/>
      </w:pPr>
      <w:r>
        <w:t>5. Discussion</w:t>
      </w:r>
    </w:p>
    <w:p w14:paraId="6EE6979F" w14:textId="77777777" w:rsidR="002D5388" w:rsidRDefault="00000000">
      <w:pPr>
        <w:pStyle w:val="21"/>
      </w:pPr>
      <w:r>
        <w:t>5.1 Principal findings</w:t>
      </w:r>
    </w:p>
    <w:p w14:paraId="1F53A2AE" w14:textId="77777777" w:rsidR="002D5388" w:rsidRDefault="00000000">
      <w:r>
        <w:t xml:space="preserve">This methodological evaluation of NDB Open Data showed that AI-readiness differed by indicator domain and measurement structure within the same administrative healthcare data source. The selected diabetes/metabolic mean-value indicators supported a complete prefecture-year panel across 11 releases and 47 prefectures, with no suppressed mean-value cells. In contrast, dental/oral disease-count indicators were available at the prefecture level for most releases but showed cell-level </w:t>
      </w:r>
      <w:r>
        <w:lastRenderedPageBreak/>
        <w:t>suppression and one release with a non-comparable metric definition. The audit also identified extraction-relevant label, unit, and file-structure changes that could affect automated data processing.</w:t>
      </w:r>
    </w:p>
    <w:p w14:paraId="6694A0AF" w14:textId="77777777" w:rsidR="002D5388" w:rsidRDefault="00000000">
      <w:pPr>
        <w:pStyle w:val="21"/>
      </w:pPr>
      <w:r>
        <w:t>5.2 Central methodological claim</w:t>
      </w:r>
    </w:p>
    <w:p w14:paraId="6EE5519B" w14:textId="77777777" w:rsidR="002D5388" w:rsidRDefault="00000000">
      <w:r>
        <w:t>This audit is not intended to determine whether NDB Open Data is universally suitable for AI research. Rather, it demonstrates that administrative data readiness is conditional on the intended measurement construct, geographic unit, temporal window, and extraction logic. Therefore, pre-model data audits should be considered a study-design step rather than a post-hoc limitation statement.</w:t>
      </w:r>
    </w:p>
    <w:p w14:paraId="6E78A70F" w14:textId="77777777" w:rsidR="002D5388" w:rsidRDefault="00000000">
      <w:pPr>
        <w:pStyle w:val="21"/>
      </w:pPr>
      <w:r>
        <w:t>5.3 Interpretation</w:t>
      </w:r>
    </w:p>
    <w:p w14:paraId="25ADDF1D" w14:textId="77777777" w:rsidR="002D5388" w:rsidRDefault="00000000">
      <w:r>
        <w:t>These findings suggest that AI-readiness should be treated as a study-specific property of data measurement conditions rather than as a generic property of a data source. NDB Open Data was usable for selected health checkup mean-value indicators, but the same source had different constraints for dental disease-count indicators. This contrast is important because an AI-oriented workflow may appear feasible when a dataset is large and repeatedly released, while still being vulnerable to outcome-specific suppression, metric changes, unit-label changes, or machine-readable label instability.</w:t>
      </w:r>
    </w:p>
    <w:p w14:paraId="1A552E55" w14:textId="77777777" w:rsidR="002D5388" w:rsidRDefault="00000000">
      <w:pPr>
        <w:pStyle w:val="21"/>
      </w:pPr>
      <w:r>
        <w:t>5.4 Data readiness before model development</w:t>
      </w:r>
    </w:p>
    <w:p w14:paraId="50DF41B4" w14:textId="77777777" w:rsidR="002D5388" w:rsidRDefault="00000000">
      <w:r>
        <w:t>The results support evaluating administrative data before model development. The LDL/HDL label shortening and HbA1C unit-label removal illustrate that variables can remain interpretable to a human reader while becoming less stable for automated extraction. Similarly, the No.8 dental metric change shows that an item can remain in the release series while no longer representing the same measurement construct. These are data-side conditions that should be documented before feature engineering, model fitting, or validation.</w:t>
      </w:r>
    </w:p>
    <w:p w14:paraId="1FE87387" w14:textId="77777777" w:rsidR="002D5388" w:rsidRDefault="00000000">
      <w:pPr>
        <w:pStyle w:val="21"/>
      </w:pPr>
      <w:r>
        <w:t>5.5 Missingness and observability</w:t>
      </w:r>
    </w:p>
    <w:p w14:paraId="33A4D36B" w14:textId="77777777" w:rsidR="002D5388" w:rsidRDefault="00000000">
      <w:r>
        <w:t>The dental/oral results also show that geographic coverage and cell-level observability are distinct. All prefectures were represented, but many disease-code-by-prefecture cells were suppressed. This means that a prefecture-year panel can be structurally present while still containing domain-specific observability limits. For AI-oriented research, this distinction matters because missingness may reflect privacy-preserving suppression or low event counts rather than data collection failure.</w:t>
      </w:r>
    </w:p>
    <w:p w14:paraId="554F6D63" w14:textId="77777777" w:rsidR="002D5388" w:rsidRDefault="00000000">
      <w:pPr>
        <w:pStyle w:val="21"/>
      </w:pPr>
      <w:r>
        <w:t>5.6 Practical implications for administrative data AI studies</w:t>
      </w:r>
    </w:p>
    <w:p w14:paraId="63244DAC" w14:textId="77777777" w:rsidR="002D5388" w:rsidRDefault="00000000">
      <w:r>
        <w:t>A practical implication is that investigators should not move directly from file availability to model development. A pre-model audit can document which outcomes are machine-identifiable across releases, which units and labels are explicit, which cells are observed or suppressed, which metric definitions change, and which records should be excluded from the main panel while retained for auditability. Such a workflow can make administrative data limitations visible before they become hidden assumptions inside an AI pipeline.</w:t>
      </w:r>
    </w:p>
    <w:p w14:paraId="02C4B01B" w14:textId="77777777" w:rsidR="002D5388" w:rsidRDefault="00000000">
      <w:pPr>
        <w:pStyle w:val="21"/>
      </w:pPr>
      <w:r>
        <w:lastRenderedPageBreak/>
        <w:t>5.7 Generalizability beyond NDB Open Data</w:t>
      </w:r>
    </w:p>
    <w:p w14:paraId="4EA4AF82" w14:textId="77777777" w:rsidR="002D5388" w:rsidRDefault="00000000">
      <w:r>
        <w:t>Although the empirical case is Japan's NDB Open Data, the audit logic is not specific to this dataset. Many administrative healthcare data sources are released or reused with aggregation, suppression, coding, unit-labeling, and file-structure conventions that can change over time. The generalizable contribution is therefore the audit sequence: define the intended measurement construct, verify temporal and geographic observability, document suppression and metric changes, preserve non-comparable records for auditability, and avoid moving directly from file availability to model development.</w:t>
      </w:r>
    </w:p>
    <w:p w14:paraId="1EEDF4CF" w14:textId="77777777" w:rsidR="002D5388" w:rsidRDefault="00000000">
      <w:pPr>
        <w:pStyle w:val="21"/>
      </w:pPr>
      <w:r>
        <w:t>5.8 Relationship to a future reliability framework</w:t>
      </w:r>
    </w:p>
    <w:p w14:paraId="29D566DE" w14:textId="77777777" w:rsidR="002D5388" w:rsidRDefault="00000000">
      <w:r>
        <w:t>This paper is best viewed as an empirical first step toward a broader administrative data reliability framework. The present study did not create a composite readiness score. Instead, it identified measurable domains that can later be formalized (Supplementary Table S3): temporal coverage, geographic coverage, outcome-definition stability, unit and label stability, suppression, metric comparability, and reproducible extraction logic. A subsequent framework paper can test whether these domains should be weighted, scored, or used as a checklist according to study purpose.</w:t>
      </w:r>
    </w:p>
    <w:p w14:paraId="7AD818EE" w14:textId="77777777" w:rsidR="002D5388" w:rsidRDefault="00000000">
      <w:pPr>
        <w:pStyle w:val="21"/>
      </w:pPr>
      <w:r>
        <w:t>5.9 Limitations</w:t>
      </w:r>
    </w:p>
    <w:p w14:paraId="4F414AD6" w14:textId="77777777" w:rsidR="002D5388" w:rsidRDefault="00000000">
      <w:r>
        <w:t>This study has limitations. First, the analysis used public NDB Open Data rather than individual-level NDB records, so the findings describe readiness of the released aggregate data rather than all NDB data uses. Second, the selected diabetes/metabolic indicators were mean-value health checkup indicators, and their complete coverage should not be generalized to all metabolic outcomes or all NDB variables. Third, dental/oral disease-count findings may depend on the selected disease-count files and coding structure. Fourth, the study did not evaluate prediction performance, calibration, external validation, or clinical utility. Fifth, some structural changes, such as the decrease in dental suppression rates after FY2022, were documented but not mechanistically explained.</w:t>
      </w:r>
    </w:p>
    <w:p w14:paraId="16E0CEA2" w14:textId="77777777" w:rsidR="002D5388" w:rsidRDefault="00000000">
      <w:pPr>
        <w:pStyle w:val="1"/>
      </w:pPr>
      <w:r>
        <w:t>6. Conclusion</w:t>
      </w:r>
    </w:p>
    <w:p w14:paraId="4963DCFD" w14:textId="77777777" w:rsidR="002D5388" w:rsidRDefault="00000000">
      <w:r>
        <w:t>NDB Open Data can support reproducible prefecture-year panels for selected diabetes/metabolic mean-value indicators, while dental/oral disease-count indicators show greater constraints related to suppression and metric comparability. The findings demonstrate that AI-readiness depends on the match between the research purpose and the data measurement structure. A domain-based pre-model audit may help researchers distinguish file availability from study-ready data before using administrative healthcare data for AI-oriented research.</w:t>
      </w:r>
    </w:p>
    <w:p w14:paraId="1721C256" w14:textId="77777777" w:rsidR="002D5388" w:rsidRDefault="00000000">
      <w:pPr>
        <w:pStyle w:val="1"/>
      </w:pPr>
      <w:r>
        <w:t>Declarations</w:t>
      </w:r>
    </w:p>
    <w:p w14:paraId="05290A5A" w14:textId="77777777" w:rsidR="002D5388" w:rsidRDefault="00000000">
      <w:r>
        <w:rPr>
          <w:b/>
        </w:rPr>
        <w:t>Ethics approval and consent to participate:</w:t>
      </w:r>
      <w:r>
        <w:t xml:space="preserve"> This study used publicly available aggregate data only. No individual-level human participant data were used.</w:t>
      </w:r>
    </w:p>
    <w:p w14:paraId="127EDF83" w14:textId="77777777" w:rsidR="002D5388" w:rsidRDefault="00000000">
      <w:r>
        <w:rPr>
          <w:b/>
        </w:rPr>
        <w:t>Data availability:</w:t>
      </w:r>
      <w:r>
        <w:t xml:space="preserve"> NDB Open Data are publicly available from the Ministry of Health, Labour and Welfare, Japan.</w:t>
      </w:r>
    </w:p>
    <w:p w14:paraId="28515CA3" w14:textId="77777777" w:rsidR="002D5388" w:rsidRDefault="00000000">
      <w:r>
        <w:rPr>
          <w:b/>
        </w:rPr>
        <w:lastRenderedPageBreak/>
        <w:t xml:space="preserve">Code availability: </w:t>
      </w:r>
      <w:r>
        <w:t>All extraction and audit scripts and derived aggregate prefecture-level panel data are openly available at https://github.com/haruki00430/ndb-premodel-audit-japan (Zenodo archive: https://doi.org/10.5281/zenodo.21230851; MIT License).</w:t>
      </w:r>
    </w:p>
    <w:p w14:paraId="545BADF5" w14:textId="77777777" w:rsidR="002D5388" w:rsidRDefault="00000000">
      <w:r>
        <w:rPr>
          <w:b/>
        </w:rPr>
        <w:t>Funding:</w:t>
      </w:r>
      <w:r>
        <w:t xml:space="preserve"> No specific funding was received for this work.</w:t>
      </w:r>
    </w:p>
    <w:p w14:paraId="5C2D7A8D" w14:textId="77777777" w:rsidR="002D5388" w:rsidRDefault="00000000">
      <w:r>
        <w:rPr>
          <w:b/>
        </w:rPr>
        <w:t xml:space="preserve">Competing interests: </w:t>
      </w:r>
      <w:r>
        <w:t>The authors declare no competing interests.</w:t>
      </w:r>
    </w:p>
    <w:p w14:paraId="57C3584D" w14:textId="77777777" w:rsidR="002D5388" w:rsidRDefault="00000000">
      <w:r>
        <w:rPr>
          <w:b/>
        </w:rPr>
        <w:t xml:space="preserve">Author contributions: </w:t>
      </w:r>
      <w:r>
        <w:t>H.S.: Conceptualization, Methodology, Software, Formal analysis, Data curation, Writing – original draft, Visualization. T.O.: Conceptualization, Supervision, Writing – review and editing. Both authors have read and agreed to the published version of the manuscript.</w:t>
      </w:r>
    </w:p>
    <w:p w14:paraId="7C1F5D15" w14:textId="77777777" w:rsidR="00AC3DDF" w:rsidRDefault="00000000">
      <w:pPr>
        <w:pStyle w:val="1"/>
      </w:pPr>
      <w:r>
        <w:t>Declaration of AI use</w:t>
      </w:r>
    </w:p>
    <w:p w14:paraId="5A42EA09" w14:textId="77777777" w:rsidR="00AC3DDF" w:rsidRDefault="00000000">
      <w:r>
        <w:t>During the preparation of this work, the authors used Claude Sonnet 4.6 and Claude Opus 4.8 (Anthropic) to support Python analysis code development and manuscript drafting. These tools were used only for code generation and text drafting assistance; no AI tools were used to create, alter, or otherwise process any figures, images, or artwork in this manuscript. The authors reviewed and edited all AI-assisted outputs and take full responsibility for the integrity and accuracy of the final content. AI was not listed as an author.</w:t>
      </w:r>
    </w:p>
    <w:p w14:paraId="54193B67" w14:textId="77777777" w:rsidR="002D5388" w:rsidRDefault="00000000">
      <w:pPr>
        <w:pStyle w:val="1"/>
      </w:pPr>
      <w:r>
        <w:t>References</w:t>
      </w:r>
    </w:p>
    <w:p w14:paraId="6708B9FA" w14:textId="77777777" w:rsidR="002D5388" w:rsidRDefault="00000000">
      <w:r>
        <w:t>1. Benchimol EI, Smeeth L, Guttmann A, Harron K, Moher D, Petersen I, et al. The REporting of studies Conducted using Observational Routinely-collected health Data (RECORD) Statement. PLoS Med. 2015;12(10):e1001885. doi:10.1371/journal.pmed.1001885.</w:t>
      </w:r>
    </w:p>
    <w:p w14:paraId="54D3AAAC" w14:textId="77777777" w:rsidR="002D5388" w:rsidRDefault="00000000">
      <w:r>
        <w:t>2. von Elm E, Altman DG, Egger M, Pocock SJ, Gotzsche PC, Vandenbroucke JP. The Strengthening the Reporting of Observational Studies in Epidemiology (STROBE) Statement: Guidelines for Reporting Observational Studies. Ann Intern Med. 2007;147(8):573-577. doi:10.7326/0003-4819-147-8-200710160-00010.</w:t>
      </w:r>
    </w:p>
    <w:p w14:paraId="5747762E" w14:textId="77777777" w:rsidR="002D5388" w:rsidRDefault="00000000">
      <w:r>
        <w:t>3. Weiskopf NG, Weng C. Methods and dimensions of electronic health record data quality assessment: enabling reuse for clinical research. J Am Med Inform Assoc. 2013;20(1):144-151. doi:10.1136/amiajnl-2011-000681.</w:t>
      </w:r>
    </w:p>
    <w:p w14:paraId="6B8D998D" w14:textId="77777777" w:rsidR="002D5388" w:rsidRDefault="00000000">
      <w:r>
        <w:t>4. Kahn MG, Callahan TJ, Barnard J, Bauck AE, Brown J, Davidson BN, et al. A harmonized data quality assessment terminology and framework for the secondary use of electronic health record data. eGEMs. 2016;4(1):18. doi:10.13063/2327-9214.1244.</w:t>
      </w:r>
    </w:p>
    <w:p w14:paraId="3248A412" w14:textId="77777777" w:rsidR="002D5388" w:rsidRDefault="00000000">
      <w:r>
        <w:t>5. Collins GS, Moons KGM, Dhiman P, Riley RD, Beam AL, Van Calster B, et al. TRIPOD+AI statement: updated guidance for reporting clinical prediction models that use regression or machine learning methods. BMJ. 2024;385:e078378.</w:t>
      </w:r>
    </w:p>
    <w:p w14:paraId="27CB051B" w14:textId="77777777" w:rsidR="002D5388" w:rsidRDefault="00000000">
      <w:r>
        <w:t>6. Ministry of Health, Labour and Welfare, Japan. NDB Open Data. Public release files, No.1-No.11. Available from: https://www.mhlw.go.jp/stf/seisakunitsuite/bunya/0000177182.html.</w:t>
      </w:r>
    </w:p>
    <w:p w14:paraId="328FA9FC" w14:textId="77777777" w:rsidR="002D5388" w:rsidRDefault="00000000">
      <w:r>
        <w:t>7. Sherman RE, Anderson SA, Dal Pan GJ, Gray GW, Gross T, Hunter NL, et al. Real-world evidence: what is it and what can it tell us? N Engl J Med. 2016;375(23):2293-2297. doi:10.1056/NEJMsb1609216.</w:t>
      </w:r>
    </w:p>
    <w:p w14:paraId="4C7905D5" w14:textId="77777777" w:rsidR="002D5388" w:rsidRDefault="00000000">
      <w:r>
        <w:lastRenderedPageBreak/>
        <w:t>8. Berger ML, Sox H, Willke RJ, Brixner DL, Eichler HG, Goettsch W, et al. Good practices for real-world data studies of treatment and/or comparative effectiveness: recommendations from the Joint ISPOR-ISPE Special Task Force on Real-World Evidence in Health Care Decision Making. Pharmacoepidemiol Drug Saf. 2017;26(9):1033-1039. doi:10.1002/pds.4297.</w:t>
      </w:r>
    </w:p>
    <w:p w14:paraId="59E19BB0" w14:textId="77777777" w:rsidR="002D5388" w:rsidRDefault="00000000">
      <w:r>
        <w:t>9. Bian J, Lyu T, Loiacono A, Viramontes TM, Lipori G, Guo Y, et al. Assessing the practice of data quality evaluation in a national clinical data research network through a systematic scoping review in the era of real-world data. J Am Med Inform Assoc. 2020;27(12):1999-2010. doi:10.1093/jamia/ocaa245.</w:t>
      </w:r>
    </w:p>
    <w:p w14:paraId="3F1E8A93" w14:textId="77777777" w:rsidR="002D5388" w:rsidRDefault="00000000">
      <w:r>
        <w:t>10. U.S. Food and Drug Administration. Framework for FDA's Real-World Evidence Program. Silver Spring, MD: U.S. Food and Drug Administration; 2018.</w:t>
      </w:r>
    </w:p>
    <w:p w14:paraId="11B708DD" w14:textId="77777777" w:rsidR="002D5388" w:rsidRDefault="00000000">
      <w:r>
        <w:t>11. Studer S, Bui TB, Drescher C, Hanuschkin A, Winkler L, Peters S, et al. Towards CRISP-ML(Q): a machine learning process model with quality assurance methodology. Mach Learn Knowl Extr. 2021;3(2):392-413. doi:10.3390/make3020020.</w:t>
      </w:r>
    </w:p>
    <w:p w14:paraId="35DBC97F" w14:textId="77777777" w:rsidR="002D5388" w:rsidRDefault="00000000">
      <w:r>
        <w:t>12. Sendak M, Sirdeshmukh G, Ochoa T, Premo H, Tang L, Niederhoffer K, et al. Development and validation of ML-DQA: a machine learning data quality assurance framework for healthcare. arXiv. 2022. doi:10.48550/arXiv.2208.02670.</w:t>
      </w:r>
    </w:p>
    <w:p w14:paraId="4BCDE45A" w14:textId="77777777" w:rsidR="002D5388" w:rsidRDefault="00000000">
      <w:r>
        <w:t>13. Elliot M, Domingo-Ferrer J. The future of statistical disclosure control. arXiv. 2018. doi:10.48550/arXiv.1812.09204.</w:t>
      </w:r>
    </w:p>
    <w:p w14:paraId="34BE3B05" w14:textId="77777777" w:rsidR="002D5388" w:rsidRDefault="00000000">
      <w:r>
        <w:t>14. Schwabe D, Becker K, Seyferth M, Klass A, Schaffter T. The METRIC-framework for assessing data quality for trustworthy AI in medicine: a systematic review. arXiv. 2024. doi:10.48550/arXiv.2402.13635.</w:t>
      </w:r>
    </w:p>
    <w:p w14:paraId="671F3BBA" w14:textId="77777777" w:rsidR="00BA169D" w:rsidRDefault="00BA169D"/>
    <w:sectPr w:rsidR="00BA169D"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7F0C3" w14:textId="77777777" w:rsidR="009D5C6B" w:rsidRDefault="009D5C6B">
      <w:pPr>
        <w:spacing w:after="0" w:line="240" w:lineRule="auto"/>
      </w:pPr>
      <w:r>
        <w:separator/>
      </w:r>
    </w:p>
  </w:endnote>
  <w:endnote w:type="continuationSeparator" w:id="0">
    <w:p w14:paraId="519F2DEC" w14:textId="77777777" w:rsidR="009D5C6B" w:rsidRDefault="009D5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90E4" w14:textId="77777777" w:rsidR="002D5388" w:rsidRDefault="00000000">
    <w:pPr>
      <w:pStyle w:val="a7"/>
      <w:jc w:val="right"/>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BC3353">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34866" w14:textId="77777777" w:rsidR="009D5C6B" w:rsidRDefault="009D5C6B">
      <w:pPr>
        <w:spacing w:after="0" w:line="240" w:lineRule="auto"/>
      </w:pPr>
      <w:r>
        <w:separator/>
      </w:r>
    </w:p>
  </w:footnote>
  <w:footnote w:type="continuationSeparator" w:id="0">
    <w:p w14:paraId="127DE099" w14:textId="77777777" w:rsidR="009D5C6B" w:rsidRDefault="009D5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C28D9" w14:textId="77777777" w:rsidR="002D5388" w:rsidRDefault="00000000">
    <w:pPr>
      <w:pStyle w:val="a5"/>
    </w:pPr>
    <w:r>
      <w:t>Paper 1 JBI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1901869">
    <w:abstractNumId w:val="8"/>
  </w:num>
  <w:num w:numId="2" w16cid:durableId="1599681795">
    <w:abstractNumId w:val="6"/>
  </w:num>
  <w:num w:numId="3" w16cid:durableId="294527231">
    <w:abstractNumId w:val="5"/>
  </w:num>
  <w:num w:numId="4" w16cid:durableId="1250969782">
    <w:abstractNumId w:val="4"/>
  </w:num>
  <w:num w:numId="5" w16cid:durableId="2146467001">
    <w:abstractNumId w:val="7"/>
  </w:num>
  <w:num w:numId="6" w16cid:durableId="229461072">
    <w:abstractNumId w:val="3"/>
  </w:num>
  <w:num w:numId="7" w16cid:durableId="455370678">
    <w:abstractNumId w:val="2"/>
  </w:num>
  <w:num w:numId="8" w16cid:durableId="1967854503">
    <w:abstractNumId w:val="1"/>
  </w:num>
  <w:num w:numId="9" w16cid:durableId="1638683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5388"/>
    <w:rsid w:val="00326F90"/>
    <w:rsid w:val="006F6499"/>
    <w:rsid w:val="009D5C6B"/>
    <w:rsid w:val="00AA1D8D"/>
    <w:rsid w:val="00AC3DDF"/>
    <w:rsid w:val="00AF2732"/>
    <w:rsid w:val="00B47730"/>
    <w:rsid w:val="00BA169D"/>
    <w:rsid w:val="00BC3353"/>
    <w:rsid w:val="00C676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84F7135"/>
  <w14:defaultImageDpi w14:val="300"/>
  <w15:docId w15:val="{BB64EFDB-6489-4491-BD7B-31B9CE001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Yu Gothic"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4869</Words>
  <Characters>27756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治輝 齋藤</dc:creator>
  <cp:keywords/>
  <cp:lastModifiedBy>治輝 齋藤</cp:lastModifiedBy>
  <cp:revision>3</cp:revision>
  <dcterms:created xsi:type="dcterms:W3CDTF">2026-07-06T12:34:00Z</dcterms:created>
  <dcterms:modified xsi:type="dcterms:W3CDTF">2026-07-07T06:27:00Z</dcterms:modified>
  <cp:category/>
</cp:coreProperties>
</file>