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</w:rPr>
              <w:t>Background</w:t>
            </w:r>
          </w:p>
        </w:tc>
        <w:tc>
          <w:tcPr>
            <w:tcW w:type="dxa" w:w="7488"/>
          </w:tcPr>
          <w:p>
            <w:r>
              <w:t>Japan's NDB Open Data — a national health information system with 11 public releases (2014-2024) — has not been systematically evaluated for fitness-for-use in AI-oriented research.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What this paper finds</w:t>
            </w:r>
          </w:p>
        </w:tc>
        <w:tc>
          <w:tcPr>
            <w:tcW w:type="dxa" w:w="7488"/>
          </w:tcPr>
          <w:p>
            <w:r>
              <w:t>Nine diabetes/metabolic indicators showed 100% coverage and zero suppression across all releases. Dental/oral indicators had 19-47% cell-level suppression. Nine undocumented structural changes were identified that would break automated multi-release extraction pipelines.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Key contribution</w:t>
            </w:r>
          </w:p>
        </w:tc>
        <w:tc>
          <w:tcPr>
            <w:tcW w:type="dxa" w:w="7488"/>
          </w:tcPr>
          <w:p>
            <w:r>
              <w:t>A reproducible pre-model audit framework and a 146,376-record prefecture-year panel dataset are publicly released (GitHub / Zenodo DOI: 10.5281/zenodo.21230851) to support NDB-based health informatics research.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Implication</w:t>
            </w:r>
          </w:p>
        </w:tc>
        <w:tc>
          <w:tcPr>
            <w:tcW w:type="dxa" w:w="7488"/>
          </w:tcPr>
          <w:p>
            <w:r>
              <w:t>Administrative data readiness for AI-oriented research is study-specific and requires pre-model auditing; it cannot be assumed from file availability alone.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