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Supplementary Material</w:t>
      </w:r>
    </w:p>
    <w:p/>
    <w:p>
      <w:r>
        <w:rPr>
          <w:b/>
        </w:rPr>
        <w:t>Table S1. Sensitivity scenarios for metric-change and prefecture-unknown handling.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Handling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Main interpretation</w:t>
            </w:r>
          </w:p>
        </w:tc>
      </w:tr>
      <w:tr>
        <w:tc>
          <w:tcPr>
            <w:tcW w:type="dxa" w:w="2880"/>
          </w:tcPr>
          <w:p>
            <w:r>
              <w:t>Main analysis</w:t>
            </w:r>
          </w:p>
        </w:tc>
        <w:tc>
          <w:tcPr>
            <w:tcW w:type="dxa" w:w="2880"/>
          </w:tcPr>
          <w:p>
            <w:r>
              <w:t>Excludes No.8 dental metric_change and prefecture_unknown rows from main panel.</w:t>
            </w:r>
          </w:p>
        </w:tc>
        <w:tc>
          <w:tcPr>
            <w:tcW w:type="dxa" w:w="2880"/>
          </w:tcPr>
          <w:p>
            <w:r>
              <w:t>Diabetes/metabolic indicators complete; dental disease counts have 63.8% observed and 36.2% suppressed cells.</w:t>
            </w:r>
          </w:p>
        </w:tc>
      </w:tr>
      <w:tr>
        <w:tc>
          <w:tcPr>
            <w:tcW w:type="dxa" w:w="2880"/>
          </w:tcPr>
          <w:p>
            <w:r>
              <w:t>Metric-change retained</w:t>
            </w:r>
          </w:p>
        </w:tc>
        <w:tc>
          <w:tcPr>
            <w:tcW w:type="dxa" w:w="2880"/>
          </w:tcPr>
          <w:p>
            <w:r>
              <w:t>Keeps No.8 dental records flagged as metric_change.</w:t>
            </w:r>
          </w:p>
        </w:tc>
        <w:tc>
          <w:tcPr>
            <w:tcW w:type="dxa" w:w="2880"/>
          </w:tcPr>
          <w:p>
            <w:r>
              <w:t>Adds 47 non-comparable dental records without observed disease-count values.</w:t>
            </w:r>
          </w:p>
        </w:tc>
      </w:tr>
      <w:tr>
        <w:tc>
          <w:tcPr>
            <w:tcW w:type="dxa" w:w="2880"/>
          </w:tcPr>
          <w:p>
            <w:r>
              <w:t>Prefecture-unknown retained</w:t>
            </w:r>
          </w:p>
        </w:tc>
        <w:tc>
          <w:tcPr>
            <w:tcW w:type="dxa" w:w="2880"/>
          </w:tcPr>
          <w:p>
            <w:r>
              <w:t>Keeps unknown-geography rows for audit sensitivity.</w:t>
            </w:r>
          </w:p>
        </w:tc>
        <w:tc>
          <w:tcPr>
            <w:tcW w:type="dxa" w:w="2880"/>
          </w:tcPr>
          <w:p>
            <w:r>
              <w:t>Adds 96 HbA1C records and has limited effect on the overall observation profile.</w:t>
            </w:r>
          </w:p>
        </w:tc>
      </w:tr>
    </w:tbl>
    <w:p/>
    <w:p>
      <w:r>
        <w:rPr>
          <w:b/>
        </w:rPr>
        <w:t>Table S2. Structural changes documented during extraction.</w:t>
      </w:r>
    </w:p>
    <w:tbl>
      <w:tblPr>
        <w:tblStyle w:val="af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2D5388" w14:paraId="0F8999C9" w14:textId="77777777">
        <w:trPr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3196B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Change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2CDE7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Affected releases</w:t>
            </w:r>
          </w:p>
        </w:tc>
        <w:tc>
          <w:tcPr>
            <w:tcW w:w="4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1DAF3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Relevance for AI-oriented extraction</w:t>
            </w:r>
          </w:p>
        </w:tc>
      </w:tr>
      <w:tr w:rsidR="002D5388" w14:paraId="1730930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D7116" w14:textId="77777777" w:rsidR="002D5388" w:rsidRDefault="00000000">
            <w:pPr>
              <w:spacing w:after="40"/>
            </w:pPr>
            <w:r>
              <w:rPr>
                <w:sz w:val="17"/>
              </w:rPr>
              <w:t>LDL/HDL label shortening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83441" w14:textId="77777777" w:rsidR="002D5388" w:rsidRDefault="00000000">
            <w:pPr>
              <w:spacing w:after="40"/>
            </w:pPr>
            <w:r>
              <w:rPr>
                <w:sz w:val="17"/>
              </w:rPr>
              <w:t>No.6-No.11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8498" w14:textId="77777777" w:rsidR="002D5388" w:rsidRDefault="00000000">
            <w:pPr>
              <w:spacing w:after="40"/>
            </w:pPr>
            <w:r>
              <w:rPr>
                <w:sz w:val="17"/>
              </w:rPr>
              <w:t>Required normalization and bidirectional matching.</w:t>
            </w:r>
          </w:p>
        </w:tc>
      </w:tr>
      <w:tr w:rsidR="002D5388" w14:paraId="796051FA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5959D" w14:textId="77777777" w:rsidR="002D5388" w:rsidRDefault="00000000">
            <w:pPr>
              <w:spacing w:after="40"/>
            </w:pPr>
            <w:r>
              <w:rPr>
                <w:sz w:val="17"/>
              </w:rPr>
              <w:t>HbA1C unit-label removal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7D9A" w14:textId="77777777" w:rsidR="002D5388" w:rsidRDefault="00000000">
            <w:pPr>
              <w:spacing w:after="40"/>
            </w:pPr>
            <w:r>
              <w:rPr>
                <w:sz w:val="17"/>
              </w:rPr>
              <w:t>No.6-No.11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4676A" w14:textId="77777777" w:rsidR="002D5388" w:rsidRDefault="00000000">
            <w:pPr>
              <w:spacing w:after="40"/>
            </w:pPr>
            <w:r>
              <w:rPr>
                <w:sz w:val="17"/>
              </w:rPr>
              <w:t>Values treated as NGSP (%) after audit, with unit-label loss documented.</w:t>
            </w:r>
          </w:p>
        </w:tc>
      </w:tr>
      <w:tr w:rsidR="002D5388" w14:paraId="01113815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5E96A" w14:textId="77777777" w:rsidR="002D5388" w:rsidRDefault="00000000">
            <w:pPr>
              <w:spacing w:after="40"/>
            </w:pPr>
            <w:r>
              <w:rPr>
                <w:sz w:val="17"/>
              </w:rPr>
              <w:t>Mean-value file-structure change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8829D" w14:textId="77777777" w:rsidR="002D5388" w:rsidRDefault="00000000">
            <w:pPr>
              <w:spacing w:after="40"/>
            </w:pPr>
            <w:r>
              <w:rPr>
                <w:sz w:val="17"/>
              </w:rPr>
              <w:t>No.10-No.11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ABA9" w14:textId="77777777" w:rsidR="002D5388" w:rsidRDefault="00000000">
            <w:pPr>
              <w:spacing w:after="40"/>
            </w:pPr>
            <w:r>
              <w:rPr>
                <w:sz w:val="17"/>
              </w:rPr>
              <w:t>Required extraction logic that did not assume a fixed file structure.</w:t>
            </w:r>
          </w:p>
        </w:tc>
      </w:tr>
      <w:tr w:rsidR="002D5388" w14:paraId="45569D92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12E43" w14:textId="77777777" w:rsidR="002D5388" w:rsidRDefault="00000000">
            <w:pPr>
              <w:spacing w:after="40"/>
            </w:pPr>
            <w:r>
              <w:rPr>
                <w:sz w:val="17"/>
              </w:rPr>
              <w:t>Dental metric change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86F66" w14:textId="77777777" w:rsidR="002D5388" w:rsidRDefault="00000000">
            <w:pPr>
              <w:spacing w:after="40"/>
            </w:pPr>
            <w:r>
              <w:rPr>
                <w:sz w:val="17"/>
              </w:rPr>
              <w:t>No.8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5DBC" w14:textId="77777777" w:rsidR="002D5388" w:rsidRDefault="00000000">
            <w:pPr>
              <w:spacing w:after="40"/>
            </w:pPr>
            <w:r>
              <w:rPr>
                <w:sz w:val="17"/>
              </w:rPr>
              <w:t>Excluded from main disease-count panel and retained as metric_change.</w:t>
            </w:r>
          </w:p>
        </w:tc>
      </w:tr>
      <w:tr w:rsidR="002D5388" w14:paraId="7DF131A0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C8F0" w14:textId="77777777" w:rsidR="002D5388" w:rsidRDefault="00000000">
            <w:pPr>
              <w:spacing w:after="40"/>
            </w:pPr>
            <w:r>
              <w:rPr>
                <w:sz w:val="17"/>
              </w:rPr>
              <w:t>Dental suppression-rate decrease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467B8" w14:textId="77777777" w:rsidR="002D5388" w:rsidRDefault="00000000">
            <w:pPr>
              <w:spacing w:after="40"/>
            </w:pPr>
            <w:r>
              <w:rPr>
                <w:sz w:val="17"/>
              </w:rPr>
              <w:t>FY2022-FY2024</w:t>
            </w:r>
          </w:p>
        </w:tc>
        <w:tc>
          <w:tcPr>
            <w:tcW w:w="4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BD117" w14:textId="77777777" w:rsidR="002D5388" w:rsidRDefault="00000000">
            <w:pPr>
              <w:spacing w:after="40"/>
            </w:pPr>
            <w:r>
              <w:rPr>
                <w:sz w:val="17"/>
              </w:rPr>
              <w:t>Documented as a data-structure finding without mechanistic interpretation.</w:t>
            </w:r>
          </w:p>
        </w:tc>
      </w:tr>
    </w:tbl>
    <w:p/>
    <w:p>
      <w:r>
        <w:rPr>
          <w:b/>
        </w:rPr>
        <w:t>Table S3. Pre-model audit domains for administrative healthcare data used in AI-oriented research.</w:t>
      </w:r>
    </w:p>
    <w:tbl>
      <w:tblPr>
        <w:tblStyle w:val="afe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900"/>
        <w:gridCol w:w="3550"/>
        <w:gridCol w:w="3910"/>
      </w:tblGrid>
      <w:tr w:rsidR="002D5388" w14:paraId="3FB5215F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0B5B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Audit domain</w:t>
            </w:r>
          </w:p>
        </w:tc>
        <w:tc>
          <w:tcPr>
            <w:tcW w:w="3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6558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Operational check</w:t>
            </w:r>
          </w:p>
        </w:tc>
        <w:tc>
          <w:tcPr>
            <w:tcW w:w="3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BF27" w14:textId="77777777" w:rsidR="002D5388" w:rsidRDefault="00000000">
            <w:pPr>
              <w:spacing w:after="40"/>
            </w:pPr>
            <w:r>
              <w:rPr>
                <w:b/>
                <w:sz w:val="17"/>
              </w:rPr>
              <w:t>Why it matters before model development</w:t>
            </w:r>
          </w:p>
        </w:tc>
      </w:tr>
      <w:tr w:rsidR="002D5388" w14:paraId="15891338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E0A10" w14:textId="77777777" w:rsidR="002D5388" w:rsidRDefault="00000000">
            <w:pPr>
              <w:spacing w:after="40"/>
            </w:pPr>
            <w:r>
              <w:rPr>
                <w:sz w:val="17"/>
              </w:rPr>
              <w:t>Temporal coverage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C567" w14:textId="77777777" w:rsidR="002D5388" w:rsidRDefault="00000000">
            <w:pPr>
              <w:spacing w:after="40"/>
            </w:pPr>
            <w:r>
              <w:rPr>
                <w:sz w:val="17"/>
              </w:rPr>
              <w:t>Confirm release-year availability and whether years can be compared.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5E619" w14:textId="77777777" w:rsidR="002D5388" w:rsidRDefault="00000000">
            <w:pPr>
              <w:spacing w:after="40"/>
            </w:pPr>
            <w:r>
              <w:rPr>
                <w:sz w:val="17"/>
              </w:rPr>
              <w:t>Prevents treating a file sequence as a stable time series when definitions or availability change.</w:t>
            </w:r>
          </w:p>
        </w:tc>
      </w:tr>
      <w:tr w:rsidR="002D5388" w14:paraId="0838C75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2FF6B" w14:textId="77777777" w:rsidR="002D5388" w:rsidRDefault="00000000">
            <w:pPr>
              <w:spacing w:after="40"/>
            </w:pPr>
            <w:r>
              <w:rPr>
                <w:sz w:val="17"/>
              </w:rPr>
              <w:t>Geographic coverage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D8EED" w14:textId="77777777" w:rsidR="002D5388" w:rsidRDefault="00000000">
            <w:pPr>
              <w:spacing w:after="40"/>
            </w:pPr>
            <w:r>
              <w:rPr>
                <w:sz w:val="17"/>
              </w:rPr>
              <w:t>Confirm prefecture or area coverage and separately flag unknown geography.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F8E2" w14:textId="77777777" w:rsidR="002D5388" w:rsidRDefault="00000000">
            <w:pPr>
              <w:spacing w:after="40"/>
            </w:pPr>
            <w:r>
              <w:rPr>
                <w:sz w:val="17"/>
              </w:rPr>
              <w:t>Distinguishes structural geographic presence from usable geographic measurement.</w:t>
            </w:r>
          </w:p>
        </w:tc>
      </w:tr>
      <w:tr w:rsidR="002D5388" w14:paraId="46BF4A04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9119" w14:textId="77777777" w:rsidR="002D5388" w:rsidRDefault="00000000">
            <w:pPr>
              <w:spacing w:after="40"/>
            </w:pPr>
            <w:r>
              <w:rPr>
                <w:sz w:val="17"/>
              </w:rPr>
              <w:t>Outcome-definition stability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2CAC" w14:textId="77777777" w:rsidR="002D5388" w:rsidRDefault="00000000">
            <w:pPr>
              <w:spacing w:after="40"/>
            </w:pPr>
            <w:r>
              <w:rPr>
                <w:sz w:val="17"/>
              </w:rPr>
              <w:t>Identify metric changes, coding changes, and non-comparable releases.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8BFE" w14:textId="77777777" w:rsidR="002D5388" w:rsidRDefault="00000000">
            <w:pPr>
              <w:spacing w:after="40"/>
            </w:pPr>
            <w:r>
              <w:rPr>
                <w:sz w:val="17"/>
              </w:rPr>
              <w:t>Avoids mixing different measurement constructs in one modeling target or feature.</w:t>
            </w:r>
          </w:p>
        </w:tc>
      </w:tr>
      <w:tr w:rsidR="002D5388" w14:paraId="1146A852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764E1" w14:textId="77777777" w:rsidR="002D5388" w:rsidRDefault="00000000">
            <w:pPr>
              <w:spacing w:after="40"/>
            </w:pPr>
            <w:r>
              <w:rPr>
                <w:sz w:val="17"/>
              </w:rPr>
              <w:t>Unit and label stability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D504" w14:textId="77777777" w:rsidR="002D5388" w:rsidRDefault="00000000">
            <w:pPr>
              <w:spacing w:after="40"/>
            </w:pPr>
            <w:r>
              <w:rPr>
                <w:sz w:val="17"/>
              </w:rPr>
              <w:t>Audit labels, units, abbreviations, and machine-readable identifiers.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9ED04" w14:textId="77777777" w:rsidR="002D5388" w:rsidRDefault="00000000">
            <w:pPr>
              <w:spacing w:after="40"/>
            </w:pPr>
            <w:r>
              <w:rPr>
                <w:sz w:val="17"/>
              </w:rPr>
              <w:t>Protects automated extraction from silent label drift or unit ambiguity.</w:t>
            </w:r>
          </w:p>
        </w:tc>
      </w:tr>
      <w:tr w:rsidR="002D5388" w14:paraId="0339A8F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FA8C" w14:textId="77777777" w:rsidR="002D5388" w:rsidRDefault="00000000">
            <w:pPr>
              <w:spacing w:after="40"/>
            </w:pPr>
            <w:r>
              <w:rPr>
                <w:sz w:val="17"/>
              </w:rPr>
              <w:lastRenderedPageBreak/>
              <w:t>Cell-level observability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FC5DF" w14:textId="77777777" w:rsidR="002D5388" w:rsidRDefault="00000000">
            <w:pPr>
              <w:spacing w:after="40"/>
            </w:pPr>
            <w:r>
              <w:rPr>
                <w:sz w:val="17"/>
              </w:rPr>
              <w:t>Classify observed, suppressed, metric_change, and prefecture_unknown records.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BCE6" w14:textId="77777777" w:rsidR="002D5388" w:rsidRDefault="00000000">
            <w:pPr>
              <w:spacing w:after="40"/>
            </w:pPr>
            <w:r>
              <w:rPr>
                <w:sz w:val="17"/>
              </w:rPr>
              <w:t>Keeps privacy-related suppression or non-observability visible before modeling.</w:t>
            </w:r>
          </w:p>
        </w:tc>
      </w:tr>
      <w:tr w:rsidR="002D5388" w14:paraId="48057847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2A972" w14:textId="77777777" w:rsidR="002D5388" w:rsidRDefault="00000000">
            <w:pPr>
              <w:spacing w:after="40"/>
            </w:pPr>
            <w:r>
              <w:rPr>
                <w:sz w:val="17"/>
              </w:rPr>
              <w:t>Reproducible extraction logic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B6557" w14:textId="77777777" w:rsidR="002D5388" w:rsidRDefault="00000000">
            <w:pPr>
              <w:spacing w:after="40"/>
            </w:pPr>
            <w:r>
              <w:rPr>
                <w:sz w:val="17"/>
              </w:rPr>
              <w:t>Preserve source file, sheet, release, indicator, and missing-state metadata.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8CCD" w14:textId="77777777" w:rsidR="002D5388" w:rsidRDefault="00000000">
            <w:pPr>
              <w:spacing w:after="40"/>
            </w:pPr>
            <w:r>
              <w:rPr>
                <w:sz w:val="17"/>
              </w:rPr>
              <w:t>Allows later users to trace analytic records back to extraction decisions.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