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r>
        <w:t>• Ecological study of 47 Japanese prefectures using NDB Open Data.</w:t>
      </w:r>
    </w:p>
    <w:p>
      <w:r>
        <w:t>• OLS showed positive rehab–fracture association (6/6 sensitivity specs).</w:t>
      </w:r>
    </w:p>
    <w:p>
      <w:r>
        <w:t>• Strong spatial autocorrelation in both variables (Moran's I &gt; 0.54).</w:t>
      </w:r>
    </w:p>
    <w:p>
      <w:r>
        <w:t>• Spatial Error Model attenuated association to non-significance (p=0.130).</w:t>
      </w:r>
    </w:p>
    <w:p>
      <w:r>
        <w:t>• Spatial diagnostics should be routine in administrative open-data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