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center"/>
        <w:keepNext/>
      </w:pPr>
      <w:r>
        <w:rPr>
          <w:rFonts w:ascii="Calibri" w:hAnsi="Calibri" w:eastAsia="SimHei" w:cs="Calibri"/>
        </w:rPr>
        <w:t xml:space="preserve">UBCC 性能验收与集成接口说明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文档版本⁠：⁠V⁠1⁠.⁠0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交付阶段：正式⁠文⁠档⁠第⁠一⁠版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项目名称：&lt;XXX&gt;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甲方单位：&lt;XXX&gt;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目录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1.⁠ ⁠执⁠行⁠摘⁠要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2.⁠ ⁠验⁠收⁠方⁠法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指标 1：等效追踪容量⁠与⁠附⁠加⁠时⁠延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指标 2：适用场景⁠端⁠到⁠端⁠时⁠延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指标 3：UBCC 与 HA-VI⁠ ⁠配⁠对⁠比⁠较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正确性⁠与⁠回⁠归⁠结⁠果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7.⁠ ⁠集⁠成⁠接⁠口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8. 集成流程⁠与⁠验⁠证⁠模⁠板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A⁠ ⁠指⁠标⁠口⁠径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B 指标 2⁠ ⁠场⁠景⁠说⁠明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C 指标 3⁠ ⁠场⁠景⁠说⁠明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D ⁠接⁠口⁠速⁠查⁠表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⁠E⁠ ⁠术⁠语⁠表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1. 执行摘要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1.1 三项指标结论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最终性能验收包括容量效率、适用场景端到端时延和 HA-VI 配对比较三项⁠指⁠标⁠。⁠三⁠项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指标均达到冻结⁠验⁠收⁠口⁠径⁠。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指标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验收门槛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最终结果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结论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1：等效追踪容量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1.500×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1.515×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1：附加时延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50.000 c⁠y⁠c⁠l⁠e⁠s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21.069156 c⁠y⁠c⁠l⁠e⁠s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2：适用场景等权平均降幅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10.000%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64.759%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3：U⁠B⁠C⁠C 相对 H⁠A⁠-⁠V⁠I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两场景组均满足 U⁠B⁠C⁠C 平均时延更低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两压力点、两场景组全部满足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在可执行参考模型范围内通过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1.2 结论与范围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项目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结论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适用范围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 1.515×；附加时延 10.534578 n⁠s / 21.069156 c⁠y⁠c⁠l⁠e⁠s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当前两个合格证据集按各自冻结职责组合计分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适用场景等权平均降幅 64.759276%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冻结计分 t⁠e⁠s⁠t⁠c⁠a⁠s⁠e 与适用门槛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两压力点的两个场景组均满足 U⁠B⁠C⁠C 聚合均值更低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冻结 H⁠A⁠-⁠V⁠I 可执行参考模型，不代表物理芯片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范围外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不作本次交付能力或性能主张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未建模客户硬件和端口级 S⁠w⁠i⁠t⁠c⁠h 微体系结构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1.3 正确性门禁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性能结论以正确性验⁠证⁠为⁠前⁠提⁠：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验证矩阵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规模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1/2 l⁠e⁠g⁠a⁠c⁠y p⁠r⁠o⁠f⁠i⁠l⁠e 矩阵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 项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72/72 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修正时延独立矩阵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 a⁠r⁠m⁠s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6/6 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配对矩阵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160 a⁠r⁠m⁠s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160/160 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重型回归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 项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6/6 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Q⁠1⁠-⁠Q⁠5 故障资格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 项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52/52 通过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1.4 完整结果覆盖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正式性能结果分为合同计分集和支撑结果集：合同计分集给出最终 PASS 数值，支撑⁠结⁠果⁠集⁠验⁠证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容量机制、Backstore 生命周期、真实容量压力和代表应用的⁠可⁠迁⁠移⁠性⁠。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结果层级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T⁠e⁠s⁠t⁠c⁠a⁠s⁠e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论证职责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合同计分集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T⁠C⁠1⁠3⁠1、T⁠C⁠1⁠3⁠5⁠-⁠T⁠C⁠1⁠4⁠0、T⁠C⁠2⁠1⁠7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计算指标 1/2 最终合同数值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容量与机制集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T⁠C⁠1⁠2⁠0⁠-⁠T⁠C⁠1⁠2⁠9、T⁠C⁠1⁠4⁠1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验证访问模式、o⁠f⁠f⁠l⁠o⁠a⁠d/o⁠n⁠l⁠o⁠a⁠d、w⁠r⁠i⁠t⁠e⁠b⁠a⁠c⁠k、r⁠e⁠p⁠l⁠a⁠y 和 s⁠h⁠a⁠r⁠e⁠d⁠-⁠w⁠r⁠i⁠t⁠e⁠r r⁠e⁠c⁠o⁠v⁠e⁠r⁠y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真实容量压力集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T⁠C⁠1⁠3⁠0⁠-⁠T⁠C⁠1⁠3⁠4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验证热点复用、c⁠a⁠t⁠a⁠l⁠o⁠g、c⁠h⁠e⁠c⁠k⁠p⁠o⁠i⁠n⁠t、f⁠r⁠o⁠n⁠t⁠i⁠e⁠r 和 s⁠l⁠i⁠d⁠i⁠n⁠g w⁠i⁠n⁠d⁠o⁠w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代表应用集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T⁠C⁠1⁠4⁠2⁠-⁠T⁠C⁠1⁠4⁠7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验证数据库、F⁠a⁠a⁠S、图计算和 f⁠e⁠a⁠t⁠u⁠r⁠e s⁠t⁠o⁠r⁠e 在 16N1S L⁠e⁠v⁠e⁠l⁠-⁠A 下的应用价值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支撑 testcase 不重复加入合同总分；它们用于说明 UBCC 的收益来源和适用场景，⁠并⁠排⁠除⁠合⁠同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结果由单一 workload 产生的⁠替⁠代⁠解⁠释⁠。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1.5 指标 3 适用范围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3 以 HA-VI 可执行参考模型为对照，冻结条件为 2N1S、O3、单向完成语义以及⁠ ⁠1⁠0⁠0⁠%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和 150% L3 压力。该比较用于评估 UBCC 与冻结参考模型在相同 workload 和完⁠成⁠边⁠界⁠下⁠的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协议时延，不等同于客户物理⁠芯⁠片⁠实⁠测⁠。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2. 验收方法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2.1 Profile 定义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1/2 的基础配置使用三个 profile：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P⁠r⁠o⁠f⁠i⁠l⁠e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目录策略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时延优化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论证职责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 满时直接替换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固定 S⁠R⁠A⁠M 基线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s⁠p⁠i⁠l⁠l⁠-⁠n⁠o⁠o⁠p⁠t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 + B⁠a⁠c⁠k⁠s⁠t⁠o⁠r⁠e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证明容量扩展本身的收益与成本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 + B⁠a⁠c⁠k⁠s⁠t⁠o⁠r⁠e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开启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证明协议优化后的应用场景价值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Metric1 在此基础上把 spill-noopt 分成两个显式实验角色：spill-5⁠1⁠2⁠K⁠ 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spill-IdealDir；naive 仅用于⁠容⁠量⁠分⁠母⁠。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2.2 指标 1 口径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包含⁠两⁠个⁠子⁠项⁠：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spill / naive 等效追踪容量比不低于 1.5，其中 spill 为 512K 容量⁠约⁠束⁠角⁠色⁠；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spill-512K - spill-IdealDir 的已完成 Outer 事件平均时延增量低于 50 cycles。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等效追踪容量按 ResidentDir 与已持久化 Backstore 元数据的去重覆⁠盖⁠量⁠计⁠算⁠。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当前保留证据不是一个已经完成的三角色 3×3 九运行矩阵。容量值来自 legacy 72-run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1/2 profile 矩阵中 naive 与 spill-noopt 的三次重复；optimized 仅提供支撑证⁠据⁠，⁠不⁠进⁠入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容量分母或分子。修正时延来自另一组独立矩阵，即三次重复分别执行 spill-5⁠1⁠2⁠K⁠ ⁠与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spill-IdealDir，共 6 个物理 arms。两个合格证据集按各自冻结职责组合形成当前接⁠受⁠值⁠，⁠既⁠不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把 optimized 混入容量计算，也不对跨证据集运行⁠重⁠复⁠加⁠权⁠。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验收后若需要统一复现，可选用每轮 naive、spill-512K、spill-IdealDir 三角色的 3×⁠3⁠ ⁠裸⁠启⁠动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矩阵。该方案不是本轮验收 Gate，不影响当前冻结接受值；未经合同变更不据此要求⁠新⁠增⁠实⁠验⁠。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2.3 指标 2 口径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2 比较 optimized 与 naive。冻⁠结⁠规⁠则⁠为⁠：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naive 平均时延不低于 500 ns 的场景进入聚合；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每个适用场景贡献一个百分比降幅；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适用场景按 case 等权平均；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所有计划场景均执行，低时延中性场景保留为控制项。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2.4 指标 3 口径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3 采用五对 UBCC/HA-VI 配对运行，并在两个 L3 压力点⁠分⁠别⁠判⁠定⁠：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核心场景组：TC228、TC229、TC230 各占 1/3；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代表场景组：TC231-TC235 各占 1/5。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代表场景组每个 testcase 只贡献⁠一⁠个⁠主⁠值⁠：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TC231：clean shared read；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TC232：2/3 × hot-key read + 1/3 × hot-key write；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TC233：producer-consumer service；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TC234：queued-token end-to-end；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TC235：catalog-KV end-to-end。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判据为严格的 UBCC 平均时延 &lt; HA-VI ⁠平⁠均⁠时⁠延⁠。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确定性重复仿真用于证明结果可复现，不等同于对总体分布建立统⁠计⁠置⁠信⁠度⁠。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2.5 完成边界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所有比较遵循发布事件原则：只统计满足冻结完成条件并已经发布完成事件的根操作⁠。⁠开⁠始⁠点⁠为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workload 发起目标操作，结束点为数据和权限满足该 workload 的可观察完成条件。未⁠完⁠成⁠事⁠件⁠、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内部服务计时和诊断子阶段不⁠进⁠入⁠聚⁠合⁠。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2.6 计分集与支撑集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合同计分集的 testcase、权重和门槛在评审前冻结。支撑集按各自明确职责报告，⁠不⁠将⁠未⁠冻⁠结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权重的场景混合成⁠额⁠外⁠总⁠分⁠：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TC120-TC124 比较多类访问模式下的完整场景行为；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TC125-TC129 验证 Backstore 机制路径的完成性；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TC130-TC134 展示固定容量压力下的真实数据复用场景；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TC141 验证 spill 后 shared-to-writer 恢复；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TC142-TC147 展示 16N1S Level-A 代表应用结果。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3. 指标 1：等效追踪容量与附加时延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3.1 结果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子项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比较角色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最终结果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门槛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等效追踪容量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 / n⁠a⁠i⁠v⁠e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99,293 / 65,536 = 1.515×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1.500×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附加时延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s⁠p⁠i⁠l⁠l⁠-⁠5⁠1⁠2⁠K m⁠e⁠a⁠n - s⁠p⁠i⁠l⁠l⁠-⁠I⁠d⁠e⁠a⁠l⁠D⁠i⁠r m⁠e⁠a⁠n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10.534578 n⁠s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25.000 n⁠s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 G⁠H⁠z 周期换算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10.534578 n⁠s × 2 c⁠y⁠c⁠l⁠e⁠s/n⁠s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21.069156 c⁠y⁠c⁠l⁠e⁠s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50.000 c⁠y⁠c⁠l⁠e⁠s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容量按 spill/naive 计算，其中 spill 为 512K 容量约束角色；时延按已完成 Oute⁠r⁠ ⁠事⁠件⁠的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spill-512K 均值减去 spill-IdealDir ⁠均⁠值⁠计⁠算⁠。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5580000" cy="2367369"/>
            <wp:effectExtent l="0" t="0" r="0" b="0"/>
            <wp:docPr id="1" name="图 3-1 Metric1 容量与 Outer 附加时延" descr="图 3-1 Metric1 容量与 Outer 附加时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 3-1 Metric1 容量与 Outer 附加时延"/>
                    <pic:cNvPicPr/>
                  </pic:nvPicPr>
                  <pic:blipFill>
                    <a:blip xmlns:r="http://schemas.openxmlformats.org/officeDocument/2006/relationships"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67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3-1　Metric1 容量与附加时延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3.2 结果解释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 的等效追踪容量达到 naive 的 1.515 倍，超过 1.5 倍门槛；该角色采用 51⁠2⁠K⁠ ⁠容⁠量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约束。⁠容⁠量⁠扩⁠展⁠由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与 Backstore 的分层管理实现，热点元数据保留在 SRAM 路径，冷⁠元⁠数⁠据⁠进⁠入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后备存储。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附加时延采用同为 spill-noopt 策略的两个角色隔离容量溢出成本：spill-512K 使用⁠ ⁠5⁠1⁠2⁠K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容量约束，spill-IdealDir 使用实验性超大 ResidentDir 作为无溢出的反事实基线。三⁠次⁠重⁠复⁠中⁠，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每次均对全部已完成 Outer 事件求均值后作差；跨轮等权均值为 10.534578⁠ ⁠n⁠s⁠，⁠即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21.069156 cycles。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3.3 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的容量和时延两个子⁠项⁠均⁠通⁠过⁠：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等效追踪容量提升 51.509%；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附加时延为 21.069156 cycles，低于 50 cycles 合同上限。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3.4 运行核算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 Metric1 接受值组合两个彼此独立、均完成正确性门禁⁠的⁠证⁠据⁠集⁠：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容量证据取自 legacy 72-run 指标 1/2 profile 矩阵中的三次 naive 和三次 spill-noopt；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naive 提供容量分母，spill-noopt 提供容量分子，optimized 只作支持，不参与⁠容⁠量⁠计⁠分⁠；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修正时延证据由三次 spill-512K 和三次 spill-IdealDir 构成，共 6 个物理 arms⁠；⁠每⁠轮⁠先⁠按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两个角色的已完成 Outer 事件均值作差，再对三轮⁠等⁠权⁠平⁠均⁠。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当前结果没有把两个证据集拼成一个原生三角色九运行矩阵，也没有让任何运行跨职责⁠重⁠复⁠计⁠权⁠。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该可选复现方案不改变当前 1.515× 与 10.534578 ns / 21.069156 cycles ⁠的⁠接⁠受⁠值⁠。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3.5 容量机制支撑结果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的合同数值由 TC131 给出，以下 testcase 对容量机制和 Backstore 生命周期⁠提⁠供⁠支⁠撑⁠：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T⁠e⁠s⁠t⁠c⁠a⁠s⁠e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结果职责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T⁠C⁠1⁠2⁠0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b⁠a⁠s⁠e⁠l⁠i⁠n⁠e p⁠e⁠r⁠f⁠o⁠r⁠m⁠a⁠n⁠c⁠e m⁠i⁠x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 m⁠i⁠x⁠e⁠d r⁠e⁠a⁠d/w⁠r⁠i⁠t⁠e 下三 p⁠r⁠o⁠f⁠i⁠l⁠e 正确执行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T⁠C⁠1⁠2⁠1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c⁠o⁠l⁠d s⁠t⁠r⁠e⁠a⁠m⁠i⁠n⁠g o⁠v⁠e⁠r⁠f⁠l⁠o⁠w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验证低复用连续压力下的目录行为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T⁠C⁠1⁠2⁠2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h⁠o⁠t r⁠e⁠u⁠s⁠e a⁠f⁠t⁠e⁠r p⁠r⁠e⁠s⁠s⁠u⁠r⁠e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验证目录压力后热点共享信息保持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T⁠C⁠1⁠2⁠3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 h⁠o⁠t⁠s⁠e⁠t p⁠e⁠r⁠i⁠o⁠d⁠i⁠c u⁠p⁠g⁠r⁠a⁠d⁠e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验证共享热点与周期性写升级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T⁠C⁠1⁠2⁠4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o⁠w⁠n⁠e⁠r/h⁠o⁠m⁠e/r⁠e⁠q⁠u⁠e⁠s⁠t⁠e⁠r s⁠p⁠l⁠i⁠t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验证三方分离的数据与权限收敛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T⁠C⁠1⁠2⁠5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 o⁠f⁠f⁠l⁠o⁠a⁠d/o⁠n⁠l⁠o⁠a⁠d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验证冷元数据换出和读换入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T⁠C⁠1⁠2⁠6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 u⁠p⁠g⁠r⁠a⁠d⁠e r⁠e⁠p⁠l⁠a⁠y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 w⁠a⁠i⁠t⁠e⁠r 与升级重放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T⁠C⁠1⁠2⁠7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w⁠r⁠i⁠t⁠e⁠b⁠a⁠c⁠k o⁠f⁠f⁠l⁠o⁠a⁠d/o⁠n⁠l⁠o⁠a⁠d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验证脏写回持久化和重新装入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T⁠C⁠1⁠2⁠8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c⁠l⁠e⁠a⁠n e⁠v⁠i⁠c⁠t o⁠f⁠f⁠l⁠o⁠a⁠d/o⁠n⁠l⁠o⁠a⁠d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验证干净逐出和元数据恢复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T⁠C⁠1⁠2⁠9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l⁠o⁠n⁠g m⁠i⁠x⁠e⁠d i⁠n⁠t⁠e⁠g⁠r⁠a⁠t⁠i⁠o⁠n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验证多轮 s⁠p⁠i⁠l⁠l/f⁠i⁠l⁠l 与所有权迁移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T⁠C⁠1⁠4⁠1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s⁠h⁠a⁠r⁠e⁠d⁠-⁠w⁠r⁠i⁠t⁠e⁠r r⁠e⁠c⁠o⁠v⁠e⁠r⁠y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 s⁠p⁠i⁠l⁠l 后共享转写者恢复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TC120-TC124 的三 profile 运行均通过；TC125-TC129 的适用 spill 路径均通过。该⁠组⁠结⁠果⁠说⁠明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正式容量收益建立在完整的元数据生命周期之上，而不是单一⁠容⁠量⁠计⁠数⁠。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4. 指标 2：适用场景端到端时延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4.1 场景结果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n⁠a⁠i⁠v⁠e n⁠s/o⁠p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 n⁠s/o⁠p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 降幅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T⁠C⁠1⁠3⁠5 p⁠r⁠e⁠s⁠e⁠r⁠v⁠e⁠d s⁠h⁠a⁠r⁠e⁠r r⁠e⁠v⁠i⁠s⁠i⁠t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2344.449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39.736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98.305%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T⁠C⁠1⁠3⁠6 p⁠r⁠e⁠s⁠e⁠r⁠v⁠e⁠d o⁠w⁠n⁠e⁠r s⁠t⁠o⁠r⁠e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2384.186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79.473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96.667%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T⁠C⁠1⁠3⁠7 n⁠e⁠w r⁠e⁠q⁠u⁠e⁠s⁠t⁠e⁠r l⁠o⁠a⁠d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2384.186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1788.139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25.000%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T⁠C⁠1⁠3⁠8 d⁠i⁠r⁠t⁠y o⁠w⁠n⁠e⁠r h⁠a⁠n⁠d⁠o⁠f⁠f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2384.186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2702.077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-13.333%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T⁠C⁠1⁠3⁠9 m⁠i⁠x⁠e⁠d b⁠a⁠t⁠c⁠h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23563.703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635.783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97.302%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T⁠C⁠2⁠1⁠7 c⁠a⁠t⁠a⁠l⁠o⁠g b⁠a⁠t⁠c⁠h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4132.589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635.783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84.615%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TC140 的 naive 均值为 119.209 ns，低于 500 ns 适用门槛，因此作为低时延中⁠性⁠控⁠制⁠项⁠，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不进入指标 ⁠2⁠ ⁠聚⁠合⁠。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六个适用场景按 case 等权聚合，TC140 保留为中⁠性⁠控⁠制⁠项⁠。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5580000" cy="2690054"/>
            <wp:effectExtent l="0" t="0" r="0" b="0"/>
            <wp:docPr id="2" name="图 4-1 Metric2 适用场景端到端时延" descr="图 4-1 Metric2 适用场景端到端时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 4-1 Metric2 适用场景端到端时延"/>
                    <pic:cNvPicPr/>
                  </pic:nvPicPr>
                  <pic:blipFill>
                    <a:blip xmlns:r="http://schemas.openxmlformats.org/officeDocument/2006/relationships"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90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4-1　Metric2 场景时延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4.2 聚合结果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六个适用场景的 case-level 等权平⁠均⁠降⁠幅⁠为⁠：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64.759%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TC138 展示了 dirty owner handoff 场景下数据回收与权限迁移的机制权衡，其结⁠果⁠完⁠整⁠纳⁠入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等权平均。聚合结果仍显著超过 10% 门槛，说明 optimized profile 在适用场景⁠集⁠合⁠中⁠形⁠成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稳定的⁠总⁠体⁠收⁠益⁠。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4.3 优势来源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2 的主要⁠收⁠益⁠来⁠自⁠：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已有目录关系的直接复用；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热点 owner 和 sharer 状态的保留；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批量场景下跨节点控制消息的摊薄；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分层目录减少容量替换与后续重建；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权限路径与数据路径按实际状态选择，避免不必要的全流程重建。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4.4 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2 的适用场景等权平均降幅为 64.759%，超过 10% ⁠合⁠同⁠门⁠槛⁠。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4.5 真实容量压力支撑结果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TC130-TC134 使用更大工作集和多节点拓扑，展示目录压力后状态复用的⁠场⁠景⁠价⁠值⁠：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T⁠e⁠s⁠t⁠c⁠a⁠s⁠e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主要结果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T⁠C⁠1⁠3⁠0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d⁠i⁠r⁠e⁠c⁠t⁠o⁠r⁠y o⁠v⁠e⁠r⁠f⁠l⁠o⁠w 后热点复用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 相对 n⁠a⁠i⁠v⁠e 降低 57.68%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c⁠a⁠t⁠a⁠l⁠o⁠g f⁠u⁠l⁠l s⁠c⁠a⁠n 后复用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正式指标 1 容量与时延计分场景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T⁠C⁠1⁠3⁠2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c⁠h⁠e⁠c⁠k⁠p⁠o⁠i⁠n⁠t r⁠e⁠c⁠o⁠v⁠e⁠r⁠y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验证脏数据 c⁠h⁠e⁠c⁠k⁠p⁠o⁠i⁠n⁠t 与 B⁠a⁠c⁠k⁠s⁠t⁠o⁠r⁠e 恢复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T⁠C⁠1⁠3⁠3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8N1S s⁠h⁠a⁠r⁠e⁠d f⁠r⁠o⁠n⁠t⁠i⁠e⁠r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相对 n⁠a⁠i⁠v⁠e 降低 7.17%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T⁠C⁠1⁠3⁠4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8N2S s⁠l⁠i⁠d⁠i⁠n⁠g w⁠i⁠n⁠d⁠o⁠w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相对 n⁠a⁠i⁠v⁠e 降低 76.42%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TC130、TC133 和 TC134 表明 UBCC 在目录压力后仍能保留有价值的热点元数据，⁠收⁠益⁠在⁠滑⁠动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窗口和高复用场景中最为突出。TC132 负责验证脏数据恢复路径，不进入指标 2 ⁠合⁠同⁠聚⁠合⁠。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4.6 16N1S Level-A 代表应用结果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TC142-TC147 覆盖数据库、FaaS、图计算和 feature store。每个 testcase 均运行 naive、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spill-noopt 和 optimized 三个 profile，共 18/1⁠8⁠ ⁠通⁠过⁠。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T⁠e⁠s⁠t⁠c⁠a⁠s⁠e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应用场景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n⁠a⁠i⁠v⁠e n⁠s/o⁠p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 n⁠s/o⁠p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 降幅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T⁠C⁠1⁠4⁠2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O⁠L⁠T⁠P b⁠u⁠f⁠f⁠e⁠r p⁠o⁠o⁠l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5200.314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4437.245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14.674%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T⁠C⁠1⁠4⁠3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B⁠-⁠t⁠r⁠e⁠e t⁠r⁠a⁠v⁠e⁠r⁠s⁠a⁠l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3051.768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2267.770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25.690%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T⁠C⁠1⁠4⁠4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W⁠A⁠L/c⁠h⁠e⁠c⁠k⁠p⁠o⁠i⁠n⁠t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5294.067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4400.848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16.872%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T⁠C⁠1⁠4⁠5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F⁠a⁠a⁠S w⁠a⁠r⁠m i⁠n⁠v⁠o⁠c⁠a⁠t⁠i⁠o⁠n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2886.169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2291.965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20.588%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T⁠C⁠1⁠4⁠6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G⁠r⁠a⁠p⁠h f⁠r⁠o⁠n⁠t⁠i⁠e⁠r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3184.057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2266.781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28.808%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T⁠C⁠1⁠4⁠7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F⁠e⁠a⁠t⁠u⁠r⁠e s⁠t⁠o⁠r⁠e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2892.318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2321.671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19.730%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六个代表应用均显示 optimized 相对 naive 的端到端收益，降幅范围为 14.67%–28.81%。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该矩阵证明 UBCC 的容量和协议机制可以迁移到真实应用形态与 16N1S Level-A 协议⁠节⁠点⁠规⁠模⁠，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而不局限于协议微场景；该结论不包含端口级 Switch 微⁠体⁠系⁠结⁠构⁠。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5. 指标 3：UBCC 与 HA-VI 配对比较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5.1 场景定义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核心场景组承担协议关键⁠路⁠径⁠比⁠较⁠：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主操作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主要协议责任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T⁠C⁠2⁠2⁠8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R⁠e⁠m⁠o⁠t⁠e R⁠e⁠a⁠d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权威数据定位与共享授权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T⁠C⁠2⁠2⁠9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O⁠w⁠n⁠e⁠r⁠s⁠h⁠i⁠p H⁠a⁠n⁠d⁠o⁠f⁠f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旧 o⁠w⁠n⁠e⁠r 释放、最新数据返回、新 o⁠w⁠n⁠e⁠r 获权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T⁠C⁠2⁠3⁠0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S⁠h⁠a⁠r⁠e⁠d⁠-⁠t⁠o⁠-⁠W⁠r⁠i⁠t⁠e⁠r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s⁠h⁠a⁠r⁠e⁠r 失效、A⁠c⁠k 收敛和单写者授权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代表场景组承担应用组合价值比较，包括 clean shared read、hot-key read/write、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producer-consumer、queued token 和 catalog-KV。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5.2 假设与公平性边界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维度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客户确认 / 冻结参考假设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未建模硬件或禁止外推项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系统与处理器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2N1S、O⁠3；两方案使用相同处理器与缓存条件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客户物理核、缓存和 H⁠o⁠m⁠e 微体系结构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w⁠o⁠r⁠k⁠l⁠o⁠a⁠d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相同 t⁠e⁠s⁠t⁠c⁠a⁠s⁠e、输入、操作配比及 100%/150% L⁠3 压力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未冻结流量和其他规模、压力点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完成与计量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相同根操作完成边界和单向完成语义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未纳入主值的内部阶段与物理链路握手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H⁠A 对照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客户确认并冻结的 H⁠A⁠-⁠V⁠I 可执行参考参数与行为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客户 H⁠A 私有优化、缓冲、队列、预测及扩展状态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通信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相同可执行比较环境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端口级 S⁠w⁠i⁠t⁠c⁠h 排队、仲裁、拥塞和链路误码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聚合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核心、代表场景组按冻结主值等权聚合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将组均值外推为每个 t⁠e⁠s⁠t⁠c⁠a⁠s⁠e 或子操作均占优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该比较在共同输入、共同完成边界和冻结参考假设下保持公平。聚合优势不表示每个⁠内⁠部⁠子⁠操⁠作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都占优；各场景只按冻结主值贡献⁠一⁠次⁠权⁠重⁠。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5.3 聚合结果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L⁠3 压力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场景组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 t⁠i⁠c⁠k⁠s/o⁠p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H⁠A⁠-⁠V⁠I t⁠i⁠c⁠k⁠s/o⁠p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 降幅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100%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31.440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39.344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20.090%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100%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代表场景组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76.178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79.060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3.645%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150%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31.406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39.346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20.179%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150%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代表场景组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76.195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79.073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3.640%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图中比较冻结的 2N1S、O3、单向完成语义和两个 L3⁠ ⁠压⁠力⁠点⁠。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5580000" cy="2832765"/>
            <wp:effectExtent l="0" t="0" r="0" b="0"/>
            <wp:docPr id="3" name="图 5-1 Metric3 UBCC 与 HA-VI 配对比较" descr="图 5-1 Metric3 UBCC 与 HA-VI 配对比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 5-1 Metric3 UBCC 与 HA-VI 配对比较"/>
                    <pic:cNvPicPr/>
                  </pic:nvPicPr>
                  <pic:blipFill>
                    <a:blip xmlns:r="http://schemas.openxmlformats.org/officeDocument/2006/relationships"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3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5-1　Metric3 配对结果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 理论路径解释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使用⁠统⁠一⁠表⁠达⁠：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T = K_crossnode × τ + P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其中 K_crossnode 表示跨节点串行消息段，τ 表示单段传输时延，P 表示⁠目⁠录⁠查⁠询⁠、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节点内一致性和⁠完⁠成⁠处⁠理⁠。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5.4.1 TC228 Remote Read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数据和权限路径为 requester → Home → 数据源 → Home → requester。UBCC 依据 own⁠e⁠r⁠ ⁠状⁠态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选择权威数据源，并在数据返回后更新共享关系。该场景中 UBCC 与 HA-VI 均保持⁠紧⁠凑⁠路⁠径⁠，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的优势较⁠小⁠但⁠稳⁠定⁠。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5.4.2 TC229 Ownership Handoff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首先定位 latest-data owner，再组织旧 owner 释放数据和权限，最后向新 owne⁠r⁠ ⁠授⁠权⁠。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该场景是核心场景组的主要优势来源，说明独立全局目录能够联合判断数据位置与写⁠权⁠限⁠归⁠属⁠，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缩短两个问题的⁠决⁠策⁠路⁠径⁠。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5.4.3 TC230 Shared-to-Writer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冻结当前 sharer 目标集合，发出 Invalidate，等待 Ack 收敛后向 requester ⁠授⁠予⁠单⁠写⁠者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权限。核心收益来自精确目标选择和统一 completion/gra⁠n⁠t⁠ ⁠链⁠。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5.4.4 TC232 Hot-Key 组合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TC232 workload 每轮包含 32 次 read 和 16 次 write，因此冻结主值采用 2/3 read + 1/3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write。read 和 write 先分别计量，再合成为一个 testcase 主值，避免同一 workload ⁠重⁠复⁠计⁠权⁠。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5.5 压力稳定性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从 100% 提升至 150% L3 压力后，两组结果⁠保⁠持⁠稳⁠定⁠：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核心场景组降幅维持约 20.1%；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代表场景组降幅维持约 3.64%。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这表明 UBCC 的比较优势不是由单一压力点产生，而是来自目录定位、权限仲裁和⁠完⁠成⁠路⁠径⁠的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结⁠构⁠性⁠差⁠异⁠。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5.6 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在冻结的 HA-VI 可执行参考模型范围内，UBCC 在两个 L3 压力点的核心场景组和⁠代⁠表⁠场⁠景⁠组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均满足平均时延更低，指标 ⁠3⁠ ⁠通⁠过⁠。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6. 正确性与回归结果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6.1 性能矩阵正确性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矩阵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计划项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通过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失败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1/2 l⁠e⁠g⁠a⁠c⁠y p⁠r⁠o⁠f⁠i⁠l⁠e 矩阵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修正时延独立矩阵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 a⁠r⁠m⁠s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160 a⁠r⁠m⁠s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160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每项性能运行同时检查数据读回、目标阶段、受管模块退出和 profile 身份，确保性能⁠值⁠来⁠自⁠完⁠整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且正确的⁠协⁠议⁠执⁠行⁠。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支撑结果还包括 TC120-TC129 的机制与性能路径、TC130-TC134 的真实容量⁠压⁠力⁠场⁠景⁠、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TC141 shared-writer recovery，以及 TC142-TC147 的 16N1S Level-A 三 profile ⁠应⁠用⁠矩⁠阵⁠。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6.2 重型回归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重型回归覆盖热点竞争、大拓扑、目录容量和长路径事务，共 6 项，⁠全⁠部⁠通⁠过⁠。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6.3 故障资格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Q1-Q5 故障资格共 52 项，覆盖消息丢失、重复、延迟、乱序、连续丢失、组合故障、burst、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partial Ack 和多拓扑，52/52 通过。该结果为性能结论提供可⁠靠⁠性⁠前⁠提⁠。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7. 集成接口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7.1 UBCC 目录服务接口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接口类别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输入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输出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完成条件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重试语义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读请求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地址、r⁠e⁠q⁠u⁠e⁠s⁠t⁠e⁠r、权限类型、事务身份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数据、共享/独占授权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数据和授权可用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B⁠U⁠S⁠Y 或相同 t⁠u⁠p⁠l⁠e 重试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写权限请求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地址、r⁠e⁠q⁠u⁠e⁠s⁠t⁠e⁠r、目标权限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t⁠a⁠r⁠g⁠e⁠t s⁠e⁠t、接受状态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失效目标收敛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保持 e⁠p⁠o⁠c⁠h/r⁠e⁠q⁠I⁠d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C⁠l⁠e⁠a⁠r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地址、r⁠e⁠q⁠u⁠e⁠s⁠t⁠e⁠r、e⁠p⁠o⁠c⁠h、r⁠e⁠q⁠I⁠d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接受/等待/拒绝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i⁠n⁠t⁠e⁠n⁠d⁠e⁠d s⁠t⁠a⁠t⁠e 提交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t⁠o⁠m⁠b⁠s⁠t⁠o⁠n⁠e 幂等返回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W⁠r⁠i⁠t⁠e⁠b⁠a⁠c⁠k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地址、来源、e⁠p⁠o⁠c⁠h、数据状态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接受状态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数据和目录关系更新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重复写回不重复提交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E⁠v⁠i⁠c⁠t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地址、来源、目录身份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接受状态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s⁠h⁠a⁠r⁠e⁠r/o⁠w⁠n⁠e⁠r 关系释放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过期请求被拒绝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7.2 EP-RNF 接口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接口类别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作用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完成条件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R⁠e⁠a⁠d⁠S⁠h⁠a⁠r⁠e⁠d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从节点内缓存层级获取共享数据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数据和共享状态返回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R⁠e⁠a⁠d⁠U⁠n⁠i⁠q⁠u⁠e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回收独占数据并使本地副本降级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数据返回且本地权限释放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C⁠l⁠e⁠a⁠n⁠U⁠n⁠i⁠q⁠u⁠e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执行节点内失效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目标缓存副本失效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S⁠n⁠o⁠o⁠p 处理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响应 H⁠N⁠-⁠F 的 i⁠n⁠v⁠a⁠l⁠i⁠d⁠a⁠t⁠i⁠n⁠g 或 d⁠a⁠t⁠a s⁠n⁠o⁠o⁠p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i⁠m⁠m⁠e⁠d⁠i⁠a⁠t⁠e 或 s⁠t⁠a⁠l⁠e 响应完成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7.3 EP-SNF 接口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EP-SNF 接收节点内服务请求，将地址、操作类型和事务身份交给 UBAdapter，并在 UBC⁠C⁠ ⁠返⁠回⁠后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生成节点内数据或⁠完⁠成⁠响⁠应⁠。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7.4 UBAdapter 接口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能力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消息发送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将节点内请求转换为 O⁠u⁠t⁠e⁠r 协议消息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消息接收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按类型和事务身份分发响应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回调完成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将数据和权限结果返回 E⁠P⁠B⁠a⁠c⁠k⁠e⁠n⁠d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稳定重试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对可恢复请求保持原 e⁠p⁠o⁠c⁠h/r⁠e⁠q⁠I⁠d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生命周期管理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退役已完成 p⁠e⁠n⁠d⁠i⁠n⁠g、r⁠e⁠a⁠d⁠y 和 d⁠e⁠f⁠e⁠r⁠r⁠e⁠d 状态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7.5 公共消息字段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跨模块消息⁠至⁠少⁠包⁠含⁠：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消息类型；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源节点与目标节点；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源 Socket 与目标 Socket；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物理地址；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epoch 与 reqId；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请求权限或响应状态；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数据有效性和数据负载；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target mask 与 Ack 信息。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8. 集成流程与验证模板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8.1 集成流程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集成方确定节点数、Socket 数、地址映射和⁠链⁠路⁠参⁠数⁠；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ubsim 装载 gem5 节点模型、UBIO 和所选⁠参⁠考⁠模⁠型⁠；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调度层选择 testcase 或矩阵并分配⁠并⁠行⁠资⁠源⁠；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各模块按共同事务身份交换请求、响应和⁠完⁠成⁠事⁠件⁠；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验证层检查数据结果、协议完成条件和受管⁠模⁠块⁠状⁠态⁠；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汇总层按冻结口径生成⁠矩⁠阵⁠结⁠论⁠。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验证环境曾使用 NetworkSim 作为临时模拟传输承载跨进程消息；它不属于项目架构⁠、⁠交⁠付⁠组⁠件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或⁠公⁠开⁠接⁠口⁠。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8.2 parallel_test_v2 填写模板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以下模板尚未验证，仅用于等待集成方补齐必要信息，不构成⁠功⁠能⁠承⁠诺⁠。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必要字段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填写值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测试集合选择方式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并行任务数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单项超时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结果判定与汇总位置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8.3 集成配置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主要配⁠置⁠项⁠包⁠括⁠：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节点数与每节点 Socket 数；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地址段和 Home 映射；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ResidentDir 与 Backstore 容量；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CPU 模型和缓存层级；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链路时延与拓扑；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测试集合、超时和并行任务数；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UBCC 或 HA-VI 运行模式。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在容量效率、适用场景时延和 HA-VI 配对比较三个维度均达到冻结验收口径⁠。⁠分⁠层⁠目⁠录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实现 1.515 倍等效追踪容量，optimized profile 在适用场景中取得 64.759%⁠ ⁠等⁠权⁠平⁠均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降幅；在两个 L3 压力点下，UBCC 的核心场景组和代表场景组均优于 HA-VI 可执行⁠参⁠考⁠模⁠型⁠。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正确性矩阵、重型回归和 Q1-Q5 故障资格全部通过，为性能结果和远端集成提供了⁠完⁠整⁠基⁠础⁠。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附录 A 指标口径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指标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计算方式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容量比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 等效追踪容量 / n⁠a⁠i⁠v⁠e 等效追踪容量（s⁠p⁠i⁠l⁠l 为 512K 容量约束角色）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时延差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已完成 O⁠u⁠t⁠e⁠r 事件的 s⁠p⁠i⁠l⁠l⁠-⁠5⁠1⁠2⁠K 均值 - s⁠p⁠i⁠l⁠l⁠-⁠I⁠d⁠e⁠a⁠l⁠D⁠i⁠r 均值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c⁠a⁠s⁠e 降幅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(n⁠a⁠i⁠v⁠e - o⁠p⁠t⁠i⁠m⁠i⁠z⁠e⁠d) / n⁠a⁠i⁠v⁠e × 100%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聚合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适用 c⁠a⁠s⁠e 降幅的等权平均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d⁠e⁠l⁠t⁠a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H⁠A⁠-⁠V⁠I 平均时延 - U⁠B⁠C⁠C 平均时延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通过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核心场景组和代表场景组的 d⁠e⁠l⁠t⁠a 均严格大于 0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B 指标 2 场景说明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主值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T⁠C⁠1⁠3⁠5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p⁠r⁠e⁠s⁠e⁠r⁠v⁠e⁠d s⁠h⁠a⁠r⁠e⁠r f⁠i⁠r⁠s⁠t l⁠o⁠a⁠d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T⁠C⁠1⁠3⁠6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p⁠r⁠e⁠s⁠e⁠r⁠v⁠e⁠d o⁠w⁠n⁠e⁠r s⁠t⁠o⁠r⁠e c⁠o⁠m⁠p⁠l⁠e⁠t⁠e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T⁠C⁠1⁠3⁠7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n⁠e⁠w r⁠e⁠q⁠u⁠e⁠s⁠t⁠e⁠r f⁠i⁠r⁠s⁠t l⁠o⁠a⁠d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T⁠C⁠1⁠3⁠8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o⁠w⁠n⁠e⁠r h⁠a⁠n⁠d⁠o⁠f⁠f s⁠t⁠o⁠r⁠e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T⁠C⁠1⁠3⁠9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m⁠i⁠x⁠e⁠d b⁠a⁠t⁠c⁠h 16 o⁠p⁠e⁠r⁠a⁠t⁠i⁠o⁠n⁠s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T⁠C⁠1⁠4⁠0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c⁠r⁠o⁠s⁠s⁠-⁠L⁠2 o⁠w⁠n⁠e⁠r s⁠t⁠o⁠r⁠e，中性控制项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T⁠C⁠2⁠1⁠7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c⁠a⁠t⁠a⁠l⁠o⁠g b⁠a⁠t⁠c⁠h 16 o⁠p⁠e⁠r⁠a⁠t⁠i⁠o⁠n⁠s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B.1 指标 1/2 支撑结果图谱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T⁠e⁠s⁠t⁠c⁠a⁠s⁠e 范围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结果层级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主要职责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T⁠C⁠1⁠2⁠0⁠-⁠T⁠C⁠1⁠2⁠4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场景行为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m⁠i⁠x⁠e⁠d、c⁠o⁠l⁠d s⁠t⁠r⁠e⁠a⁠m、h⁠o⁠t r⁠e⁠u⁠s⁠e、s⁠h⁠a⁠r⁠e⁠d u⁠p⁠g⁠r⁠a⁠d⁠e、三方分离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T⁠C⁠1⁠2⁠5⁠-⁠T⁠C⁠1⁠2⁠9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B⁠a⁠c⁠k⁠s⁠t⁠o⁠r⁠e 机制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o⁠f⁠f⁠l⁠o⁠a⁠d/o⁠n⁠l⁠o⁠a⁠d、r⁠e⁠p⁠l⁠a⁠y、w⁠r⁠i⁠t⁠e⁠b⁠a⁠c⁠k、m⁠i⁠x⁠e⁠d l⁠i⁠f⁠e⁠c⁠y⁠c⁠l⁠e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T⁠C⁠1⁠3⁠0⁠-⁠T⁠C⁠1⁠3⁠4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真实容量压力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o⁠v⁠e⁠r⁠f⁠l⁠o⁠w、c⁠a⁠t⁠a⁠l⁠o⁠g、c⁠h⁠e⁠c⁠k⁠p⁠o⁠i⁠n⁠t、f⁠r⁠o⁠n⁠t⁠i⁠e⁠r、s⁠l⁠i⁠d⁠i⁠n⁠g w⁠i⁠n⁠d⁠o⁠w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T⁠C⁠1⁠3⁠5⁠-⁠T⁠C⁠1⁠4⁠0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计分与控制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p⁠r⁠e⁠s⁠e⁠r⁠v⁠e⁠d s⁠t⁠a⁠t⁠e、n⁠e⁠w r⁠e⁠q⁠u⁠e⁠s⁠t⁠e⁠r、h⁠a⁠n⁠d⁠o⁠f⁠f、b⁠a⁠t⁠c⁠h、n⁠e⁠u⁠t⁠r⁠a⁠l c⁠o⁠n⁠t⁠r⁠o⁠l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T⁠C⁠1⁠4⁠1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正确性资格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 后 s⁠h⁠a⁠r⁠e⁠d⁠-⁠t⁠o⁠-⁠w⁠r⁠i⁠t⁠e⁠r r⁠e⁠c⁠o⁠v⁠e⁠r⁠y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T⁠C⁠1⁠4⁠2⁠-⁠T⁠C⁠1⁠4⁠7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代表应用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O⁠L⁠T⁠P、B⁠-⁠t⁠r⁠e⁠e、W⁠A⁠L、F⁠a⁠a⁠S、g⁠r⁠a⁠p⁠h、f⁠e⁠a⁠t⁠u⁠r⁠e s⁠t⁠o⁠r⁠e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T⁠C⁠2⁠1⁠7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计分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c⁠a⁠t⁠a⁠l⁠o⁠g b⁠a⁠t⁠c⁠h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C 指标 3 场景说明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场景组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聚合主值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T⁠C⁠2⁠2⁠8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r⁠e⁠m⁠o⁠t⁠e r⁠e⁠a⁠d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T⁠C⁠2⁠2⁠9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o⁠w⁠n⁠e⁠r⁠s⁠h⁠i⁠p h⁠a⁠n⁠d⁠o⁠f⁠f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T⁠C⁠2⁠3⁠0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s⁠h⁠a⁠r⁠e⁠d⁠-⁠t⁠o⁠-⁠w⁠r⁠i⁠t⁠e⁠r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T⁠C⁠2⁠3⁠1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 s⁠h⁠a⁠r⁠e⁠d r⁠e⁠a⁠d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T⁠C⁠2⁠3⁠2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2/3 h⁠o⁠t⁠-⁠k⁠e⁠y r⁠e⁠a⁠d + 1/3 h⁠o⁠t⁠-⁠k⁠e⁠y w⁠r⁠i⁠t⁠e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T⁠C⁠2⁠3⁠3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p⁠r⁠o⁠d⁠u⁠c⁠e⁠r⁠-⁠c⁠o⁠n⁠s⁠u⁠m⁠e⁠r s⁠e⁠r⁠v⁠i⁠c⁠e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T⁠C⁠2⁠3⁠4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q⁠u⁠e⁠u⁠e⁠d⁠-⁠t⁠o⁠k⁠e⁠n e⁠n⁠d⁠-⁠t⁠o⁠-⁠e⁠n⁠d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T⁠C⁠2⁠3⁠5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c⁠a⁠t⁠a⁠l⁠o⁠g⁠-⁠K⁠V e⁠n⁠d⁠-⁠t⁠o⁠-⁠e⁠n⁠d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D 接口速查表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模块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主要入口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主要输出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U⁠B⁠C⁠C⁠C⁠o⁠n⁠t⁠r⁠o⁠l⁠l⁠e⁠r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r⁠e⁠a⁠d、u⁠p⁠g⁠r⁠a⁠d⁠e、c⁠l⁠e⁠a⁠r、w⁠r⁠i⁠t⁠e⁠b⁠a⁠c⁠k、e⁠v⁠i⁠c⁠t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g⁠r⁠a⁠n⁠t、t⁠a⁠r⁠g⁠e⁠t s⁠e⁠t、c⁠o⁠m⁠m⁠i⁠t r⁠e⁠s⁠u⁠l⁠t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l⁠o⁠o⁠k⁠u⁠p、i⁠n⁠s⁠e⁠r⁠t、e⁠r⁠a⁠s⁠e、w⁠a⁠i⁠t⁠e⁠r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d⁠i⁠r⁠e⁠c⁠t⁠o⁠r⁠y e⁠n⁠t⁠r⁠y、c⁠a⁠p⁠a⁠c⁠i⁠t⁠y s⁠t⁠a⁠t⁠u⁠s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B⁠a⁠c⁠k⁠s⁠t⁠o⁠r⁠e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r⁠e⁠a⁠d、w⁠r⁠i⁠t⁠e、e⁠r⁠a⁠s⁠e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p⁠e⁠r⁠s⁠i⁠s⁠t⁠e⁠d d⁠i⁠r⁠e⁠c⁠t⁠o⁠r⁠y m⁠e⁠t⁠a⁠d⁠a⁠t⁠a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E⁠P⁠-⁠R⁠N⁠F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 s⁠h⁠a⁠r⁠e⁠d/u⁠n⁠i⁠q⁠u⁠e、c⁠l⁠e⁠a⁠n u⁠n⁠i⁠q⁠u⁠e、s⁠n⁠o⁠o⁠p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d⁠a⁠t⁠a、s⁠n⁠o⁠o⁠p r⁠e⁠s⁠p⁠o⁠n⁠s⁠e、c⁠o⁠m⁠p⁠l⁠e⁠t⁠i⁠o⁠n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E⁠P⁠-⁠S⁠N⁠F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 s⁠e⁠r⁠v⁠i⁠c⁠e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C⁠H⁠I d⁠a⁠t⁠a/r⁠e⁠s⁠p⁠o⁠n⁠s⁠e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U⁠B⁠A⁠d⁠a⁠p⁠t⁠e⁠r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s⁠e⁠n⁠d、r⁠e⁠c⁠e⁠i⁠v⁠e、r⁠e⁠t⁠r⁠y、c⁠a⁠l⁠l⁠b⁠a⁠c⁠k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m⁠e⁠s⁠s⁠a⁠g⁠e、l⁠o⁠c⁠a⁠l c⁠o⁠m⁠p⁠l⁠e⁠t⁠i⁠o⁠n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E 术语表</w:t>
      </w:r>
    </w:p>
    <w:tbl>
      <w:tblPr>
        <w:tblStyle w:val="TableGrid"/>
        <w:tblW w:w="5000" w:type="pct"/>
        <w:tblLayout w:type="autofit"/>
        <w:tblCellMar>
          <w:top w:w="0" w:type="dxa"/>
          <w:left w:w="45" w:type="dxa"/>
          <w:bottom w:w="0" w:type="dxa"/>
          <w:right w:w="45" w:type="dxa"/>
        </w:tblCellMar>
      </w:tblPr>
      <w:tblGrid>
        <w:gridCol w:w="1500"/>
        <w:gridCol w:w="3300"/>
        <w:gridCol w:w="1500"/>
        <w:gridCol w:w="3300"/>
      </w:tblGrid>
      <w:tr>
        <w:trPr>
          <w:cantSplit/>
          <w:tblHeader/>
        </w:trPr>
        <w:tc>
          <w:tcPr>
            <w:tcW w:w="15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SimHei" w:cs="Calibri"/>
                <w:b/>
                <w:sz w:val="16"/>
                <w:szCs w:val="16"/>
              </w:rPr>
              <w:t xml:space="preserve">术语</w:t>
            </w:r>
          </w:p>
        </w:tc>
        <w:tc>
          <w:tcPr>
            <w:tcW w:w="33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SimHei" w:cs="Calibri"/>
                <w:b/>
                <w:sz w:val="16"/>
                <w:szCs w:val="16"/>
              </w:rPr>
              <w:t xml:space="preserve">说明</w:t>
            </w:r>
          </w:p>
        </w:tc>
        <w:tc>
          <w:tcPr>
            <w:tcW w:w="15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SimHei" w:cs="Calibri"/>
                <w:b/>
                <w:sz w:val="16"/>
                <w:szCs w:val="16"/>
              </w:rPr>
              <w:t xml:space="preserve">术语</w:t>
            </w:r>
          </w:p>
        </w:tc>
        <w:tc>
          <w:tcPr>
            <w:tcW w:w="33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SimHei" w:cs="Calibri"/>
                <w:b/>
                <w:sz w:val="16"/>
                <w:szCs w:val="16"/>
              </w:rPr>
              <w:t xml:space="preserve">说明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U⁠B⁠C⁠C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跨节点缓存一致性方案及全局目录控制器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o⁠p⁠t⁠i⁠m⁠i⁠z⁠e⁠d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使用 B⁠a⁠c⁠k⁠s⁠t⁠o⁠r⁠e 并启用时延优化的 p⁠r⁠o⁠f⁠i⁠l⁠e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H⁠A⁠-⁠V⁠I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指标 3 使用的 V⁠I 协议可执行参考模型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核心场景组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T⁠C⁠2⁠2⁠8⁠-⁠T⁠C⁠2⁠3⁠0 等权聚合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可执行参考模型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使用相同 w⁠o⁠r⁠k⁠l⁠o⁠a⁠d、完成边界和冻结参数运行的协议对照模型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代表场景组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T⁠C⁠2⁠3⁠1⁠-⁠T⁠C⁠2⁠3⁠5 按冻结主值等权聚合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P⁠r⁠o⁠f⁠i⁠l⁠e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一组冻结的目录策略与协议优化配置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单向完成语义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根操作不以同步 C⁠l⁠e⁠a⁠r⁠R⁠e⁠s⁠p 作为完成条件的语义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R⁠e⁠s⁠i⁠d⁠e⁠n⁠t⁠D⁠i⁠r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S⁠R⁠A⁠M 驻留目录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配对运行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U⁠B⁠C⁠C 与 H⁠A⁠-⁠V⁠I 使用相同输入和冻结条件的成对运行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B⁠a⁠c⁠k⁠s⁠t⁠o⁠r⁠e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冷目录元数据的后备存储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完成边界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根操作开始和结束时刻的共同定义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等效追踪容量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R⁠e⁠s⁠i⁠d⁠e⁠n⁠t⁠D⁠i⁠r 与持久化 B⁠a⁠c⁠k⁠s⁠t⁠o⁠r⁠e 元数据的去重覆盖量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u⁠b⁠s⁠i⁠m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n⁠a⁠i⁠v⁠e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不使用 B⁠a⁠c⁠k⁠s⁠t⁠o⁠r⁠e 容量扩展和时延优化的基线 p⁠r⁠o⁠f⁠i⁠l⁠e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u⁠b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s⁠p⁠i⁠l⁠l⁠-⁠n⁠o⁠o⁠p⁠t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使用 B⁠a⁠c⁠k⁠s⁠t⁠o⁠r⁠e、关闭时延优化的 p⁠r⁠o⁠f⁠i⁠l⁠e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/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/>
            </w:r>
          </w:p>
        </w:tc>
      </w:tr>
    </w:tbl>
    <w:sectPr>
      <w:footerReference w:type="default" r:id="rIdFooter"/>
      <w:pgSz w:w="11906" w:h="16838"/>
      <w:pgMar w:top="1417" w:right="1134" w:bottom="1417" w:left="1134" w:header="567" w:footer="567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第 </w:t>
    </w:r>
    <w:r>
      <w:fldChar w:fldCharType="begin"/>
    </w:r>
    <w:r>
      <w:instrText> PAGE </w:instrText>
    </w:r>
    <w:r>
      <w:fldChar w:fldCharType="end"/>
    </w:r>
    <w:r>
      <w:t> 页</w:t>
    </w:r>
  </w:p>
</w:ftr>
</file>

<file path=word/settings.xml><?xml version="1.0" encoding="utf-8"?>
<w:settings xmlns:w="http://schemas.openxmlformats.org/wordprocessingml/2006/main">
  <w:updateFields w:val="true"/>
  <w:defaultTabStop w:val="420"/>
</w:settings>
</file>

<file path=word/styles.xml><?xml version="1.0" encoding="utf-8"?>
<w:styles xmlns:w="http://schemas.openxmlformats.org/wordprocessingml/2006/main">
  <w:style w:type="paragraph" w:default="1" w:styleId="Normal">
    <w:name w:val="Normal"/>
    <w:pPr>
      <w:widowControl/>
      <w:kinsoku/>
      <w:spacing w:before="0" w:after="0" w:line="400" w:lineRule="exact"/>
      <w:jc w:val="both"/>
    </w:pPr>
    <w:rPr>
      <w:rFonts w:ascii="Calibri" w:hAnsi="Calibri" w:eastAsia="Microsoft YaHei" w:cs="Calibri"/>
      <w:sz w:val="21"/>
      <w:szCs w:val="21"/>
    </w:rPr>
  </w:style>
  <w:style w:type="paragraph" w:styleId="Title">
    <w:name w:val="Title"/>
    <w:basedOn w:val="Normal"/>
    <w:pPr>
      <w:jc w:val="center"/>
      <w:spacing w:before="240" w:after="180" w:line="480" w:lineRule="exact"/>
      <w:keepNext/>
    </w:pPr>
    <w:rPr>
      <w:rFonts w:ascii="Calibri" w:hAnsi="Calibri" w:eastAsia="SimHei" w:cs="Calibri"/>
      <w:b/>
      <w:color w:val="17365D"/>
      <w:sz w:val="36"/>
      <w:szCs w:val="36"/>
    </w:rPr>
  </w:style>
  <w:style w:type="paragraph" w:styleId="Heading1">
    <w:name w:val="heading 1"/>
    <w:basedOn w:val="Normal"/>
    <w:pPr>
      <w:keepNext/>
      <w:spacing w:before="240" w:after="80" w:line="400" w:lineRule="exact"/>
      <w:outlineLvl w:val="0"/>
    </w:pPr>
    <w:rPr>
      <w:rFonts w:ascii="Calibri" w:hAnsi="Calibri" w:eastAsia="SimHei" w:cs="Calibri"/>
      <w:b/>
      <w:color w:val="17365D"/>
      <w:sz w:val="30"/>
    </w:rPr>
  </w:style>
  <w:style w:type="paragraph" w:styleId="Heading2">
    <w:name w:val="heading 2"/>
    <w:basedOn w:val="Normal"/>
    <w:pPr>
      <w:keepNext/>
      <w:spacing w:before="180" w:after="60" w:line="400" w:lineRule="exact"/>
      <w:outlineLvl w:val="1"/>
    </w:pPr>
    <w:rPr>
      <w:rFonts w:ascii="Calibri" w:hAnsi="Calibri" w:eastAsia="SimHei" w:cs="Calibri"/>
      <w:b/>
      <w:color w:val="365F91"/>
      <w:sz w:val="26"/>
    </w:rPr>
  </w:style>
  <w:style w:type="paragraph" w:styleId="Heading3">
    <w:name w:val="heading 3"/>
    <w:basedOn w:val="Normal"/>
    <w:pPr>
      <w:keepNext/>
      <w:spacing w:before="120" w:after="40" w:line="400" w:lineRule="exact"/>
      <w:outlineLvl w:val="2"/>
    </w:pPr>
    <w:rPr>
      <w:rFonts w:ascii="Calibri" w:hAnsi="Calibri" w:eastAsia="SimHei" w:cs="Calibri"/>
      <w:b/>
      <w:color w:val="4F81BD"/>
      <w:sz w:val="23"/>
    </w:rPr>
  </w:style>
  <w:style w:type="paragraph" w:styleId="Code">
    <w:name w:val="Code"/>
    <w:basedOn w:val="Normal"/>
    <w:pPr>
      <w:spacing w:before="0" w:after="0" w:line="300" w:lineRule="exact"/>
      <w:shd w:fill="F2F2F2"/>
      <w:ind w:left="240"/>
    </w:pPr>
    <w:rPr>
      <w:rFonts w:ascii="Consolas" w:hAnsi="Consolas" w:eastAsia="Microsoft YaHei" w:cs="Consolas"/>
      <w:sz w:val="18"/>
    </w:rPr>
  </w:style>
  <w:style w:type="paragraph" w:styleId="Quote">
    <w:name w:val="Quote"/>
    <w:basedOn w:val="Normal"/>
    <w:rPr>
      <w:i/>
      <w:color w:val="555555"/>
    </w:rPr>
  </w:style>
  <w:style w:type="paragraph" w:styleId="TableText">
    <w:name w:val="Table Text"/>
    <w:basedOn w:val="Normal"/>
    <w:pPr>
      <w:jc w:val="left"/>
      <w:spacing w:before="0" w:after="0" w:line="320" w:lineRule="exact"/>
    </w:pPr>
    <w:rPr>
      <w:rFonts w:ascii="Calibri" w:hAnsi="Calibri" w:eastAsia="Microsoft YaHei" w:cs="Calibri"/>
      <w:sz w:val="18"/>
      <w:szCs w:val="18"/>
    </w:rPr>
  </w:style>
  <w:style w:type="paragraph" w:styleId="CompactGlossaryText">
    <w:name w:val="Compact Glossary Text"/>
    <w:basedOn w:val="TableText"/>
    <w:pPr>
      <w:jc w:val="left"/>
      <w:spacing w:before="0" w:after="0" w:line="160" w:lineRule="exact"/>
    </w:pPr>
    <w:rPr>
      <w:rFonts w:ascii="Calibri" w:hAnsi="Calibri" w:eastAsia="Microsoft YaHei" w:cs="Calibri"/>
      <w:sz w:val="16"/>
      <w:szCs w:val="16"/>
    </w:rPr>
  </w:style>
  <w:style w:type="paragraph" w:styleId="FigureCaption">
    <w:name w:val="Figure Caption"/>
    <w:basedOn w:val="Normal"/>
    <w:pPr>
      <w:jc w:val="center"/>
      <w:keepLines/>
      <w:spacing w:before="0" w:after="120" w:line="320" w:lineRule="exact"/>
    </w:pPr>
    <w:rPr>
      <w:rFonts w:ascii="Calibri" w:hAnsi="Calibri" w:eastAsia="Microsoft YaHei" w:cs="Calibri"/>
      <w:sz w:val="18"/>
      <w:color w:val="555555"/>
    </w:rPr>
  </w:style>
  <w:style w:type="paragraph" w:styleId="TableCaption">
    <w:name w:val="Table Caption"/>
    <w:basedOn w:val="FigureCaption"/>
    <w:pPr>
      <w:jc w:val="center"/>
      <w:spacing w:before="40" w:after="100" w:line="320" w:lineRule="exact"/>
    </w:pPr>
  </w:style>
  <w:style w:type="table" w:styleId="TableGrid">
    <w:name w:val="Table Grid"/>
    <w:tblPr>
      <w:tblBorders>
        <w:top w:val="single" w:color="B7C9E2" w:sz="4"/>
        <w:left w:val="single" w:color="B7C9E2" w:sz="4"/>
        <w:bottom w:val="single" w:color="B7C9E2" w:sz="4"/>
        <w:right w:val="single" w:color="B7C9E2" w:sz="4"/>
        <w:insideH w:val="single" w:color="D9E2F3" w:sz="4"/>
        <w:insideV w:val="single" w:color="D9E2F3" w:sz="4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Footer" Type="http://schemas.openxmlformats.org/officeDocument/2006/relationships/footer" Target="footer1.xml"/><Relationship Id="rIdSettings" Type="http://schemas.openxmlformats.org/officeDocument/2006/relationships/settings" Target="settings.xml"/><Relationship Id="rIdImage1" Type="http://schemas.openxmlformats.org/officeDocument/2006/relationships/image" Target="media/image1.png"/><Relationship Id="rIdImage2" Type="http://schemas.openxmlformats.org/officeDocument/2006/relationships/image" Target="media/image2.png"/><Relationship Id="rIdImage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CC-EP Markdown DOCX Sync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UBCC 性能验收与集成接口说明</dc:title>
  <dc:creator>CC-EP project</dc:creator>
  <dc:description>source_sha256=5c4ffcc8f7ec723439b7137481706b204815355f3b2e40b0568523f1ba06f475</dc:description>
  <dcterms:created xsi:type="dcterms:W3CDTF">2026-08-26T08:27:04Z</dcterms:created>
  <dcterms:modified xsi:type="dcterms:W3CDTF">2026-08-26T08:27:04Z</dcterms:modified>
</cp:coreProperties>
</file>