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⁠交⁠付⁠内⁠容</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方案在正常执行、并发竞争和可恢复消息传输故障下的协议正确性，⁠重⁠点⁠覆⁠盖⁠：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方案采用分层验证方法：形式化模型验证状态与动作规则，定向机制验证连接模⁠型⁠与⁠实⁠现⁠，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4636800" cy="4140000"/>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4636800" cy="4140000"/>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项仿真测试</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结论成立于对应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模型提供 Safety ⁠检⁠查⁠结⁠果⁠。</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15"/>
        <w:gridCol w:w="4197"/>
        <w:gridCol w:w="4086"/>
      </w:tblGrid>
      <w:tr>
        <w:trPr>
          <w:cantSplit/>
          <w:tblHeader/>
        </w:trPr>
        <w:tc>
          <w:tcPr>
            <w:tcW w:w="13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08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当前实现及既定可执行场景</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既定 H⁠A⁠-⁠V⁠I 参考范围内聚合结果支持 U⁠B⁠C⁠C 优势</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各模型分别承担明确的协议论证职责，端到端测试补充数据路径、缓存容量和运行⁠拓⁠扑⁠验⁠证⁠。</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2329"/>
        <w:gridCol w:w="3635"/>
        <w:gridCol w:w="3635"/>
      </w:tblGrid>
      <w:tr>
        <w:trPr>
          <w:cantSplit/>
          <w:tblHeader/>
        </w:trPr>
        <w:tc>
          <w:tcPr>
            <w:tcW w:w="23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支持的结论</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核心与传输模型的 S⁠a⁠f⁠e⁠t⁠y/L⁠i⁠v⁠e⁠n⁠e⁠s⁠s，以及 f⁠o⁠c⁠u⁠s⁠e⁠d 模型声明的 S⁠a⁠f⁠e⁠t⁠y</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机制差异、实验结果来源与适用条件</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目标集合确定并保持、I⁠n⁠v⁠a⁠l⁠i⁠d⁠a⁠t⁠e⁠R⁠e⁠q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08"/>
        <w:gridCol w:w="2571"/>
        <w:gridCol w:w="1473"/>
        <w:gridCol w:w="2846"/>
      </w:tblGrid>
      <w:tr>
        <w:trPr>
          <w:cantSplit/>
          <w:tblHeader/>
        </w:trPr>
        <w:tc>
          <w:tcPr>
            <w:tcW w:w="270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5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4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84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T⁠C⁠9⁠8 验证</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T⁠C⁠2⁠2⁠4、T⁠C⁠1⁠2⁠6 验证</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Home UBCC 控制器使用保留和提交两个阶段管理跨⁠节⁠点⁠授⁠权⁠：</w:t>
      </w:r>
    </w:p>
    <w:p>
      <w:pPr>
        <w:ind w:left="0" w:firstLine="420"/>
      </w:pPr>
      <w:r>
        <w:rPr>
          <w:rFonts w:ascii="Calibri" w:hAnsi="Calibri" w:eastAsia="Microsoft YaHei" w:cs="Calibri"/>
        </w:rPr>
        <w:t xml:space="preserve">1. 请求通过仲裁后，Home UBCC 控制器建立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Home UBCC 控制器校验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可靠性验证采用节点与 Home 持续存活、可恢复传输故障最终解除的⁠模⁠型⁠条⁠件⁠。</w:t>
      </w:r>
    </w:p>
    <w:tbl>
      <w:tblPr>
        <w:tblStyle w:val="TableGrid"/>
        <w:tblW w:w="5000" w:type="pct"/>
        <w:tblLayout w:type="fixed"/>
        <w:tblCellMar>
          <w:top w:w="60" w:type="dxa"/>
          <w:left w:w="90" w:type="dxa"/>
          <w:bottom w:w="60" w:type="dxa"/>
          <w:right w:w="90" w:type="dxa"/>
        </w:tblCellMar>
      </w:tblPr>
      <w:tblGrid>
        <w:gridCol w:w="1250"/>
        <w:gridCol w:w="3650"/>
        <w:gridCol w:w="3250"/>
        <w:gridCol w:w="1450"/>
      </w:tblGrid>
      <w:tr>
        <w:trPr>
          <w:cantSplit/>
          <w:tblHeader/>
        </w:trPr>
        <w:tc>
          <w:tcPr>
            <w:tcW w:w="1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4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验证证据</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Q⁠4</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项仿真测试，最终结果为 52/5⁠2⁠ ⁠通⁠过⁠。</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故障动作按类别计数，同一测试可计入多个类别；仿真测试总数⁠为⁠ ⁠5⁠2⁠。</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比较目的与固定范围</w:t>
      </w:r>
    </w:p>
    <w:p>
      <w:pPr>
        <w:ind w:left="0" w:firstLine="420"/>
      </w:pPr>
      <w:r>
        <w:rPr>
          <w:rFonts w:ascii="Calibri" w:hAnsi="Calibri" w:eastAsia="Microsoft YaHei" w:cs="Calibri"/>
        </w:rPr>
        <w:t xml:space="preserve">HA-VI 证据用于回答：在相同 workload、完成边界和统一参数下，UBCC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压力；该结果定位为理论分析与可执行参考⁠模⁠型⁠比⁠较⁠。</w:t>
      </w:r>
    </w:p>
    <w:p>
      <w:pPr>
        <w:pStyle w:val="Heading3"/>
        <w:keepNext/>
      </w:pPr>
      <w:r>
        <w:rPr>
          <w:rFonts w:ascii="Calibri" w:hAnsi="Calibri" w:eastAsia="SimHei" w:cs="Calibri"/>
        </w:rPr>
        <w:t xml:space="preserve">6.2 参考条件与公平性定义</w:t>
      </w:r>
    </w:p>
    <w:tbl>
      <w:tblPr>
        <w:tblStyle w:val="TableGrid"/>
        <w:tblW w:w="5000" w:type="pct"/>
        <w:tblLayout w:type="fixed"/>
        <w:tblCellMar>
          <w:top w:w="60" w:type="dxa"/>
          <w:left w:w="90" w:type="dxa"/>
          <w:bottom w:w="60" w:type="dxa"/>
          <w:right w:w="90" w:type="dxa"/>
        </w:tblCellMar>
      </w:tblPr>
      <w:tblGrid>
        <w:gridCol w:w="1942"/>
        <w:gridCol w:w="4097"/>
        <w:gridCol w:w="3559"/>
      </w:tblGrid>
      <w:tr>
        <w:trPr>
          <w:cantSplit/>
          <w:tblHeader/>
        </w:trPr>
        <w:tc>
          <w:tcPr>
            <w:tcW w:w="194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0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统一参考条件</w:t>
            </w:r>
          </w:p>
        </w:tc>
        <w:tc>
          <w:tcPr>
            <w:tcW w:w="355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参考模型抽象</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处理器、缓存与 H⁠o⁠m⁠e 采用共同可执行环境配置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结果对应表列 w⁠o⁠r⁠k⁠l⁠o⁠a⁠d、输入配比与 L⁠3 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计量采用根操作单向完成事件</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既定 H⁠A⁠-⁠V⁠I 可执行参考模型及其目录、状态和时延参数</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H⁠A⁠-⁠V⁠I 按表列目录、状态与时延参数执行</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通信采用共同可执行传输环境</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按正式主值形成核心场景组和代表场景组的等权聚合</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结论适用于核心与代表场景组聚合</w:t>
            </w:r>
          </w:p>
        </w:tc>
      </w:tr>
    </w:tbl>
    <w:p>
      <w:pPr>
        <w:ind w:left="0" w:firstLine="420"/>
      </w:pPr>
      <w:r>
        <w:rPr>
          <w:rFonts w:ascii="Calibri" w:hAnsi="Calibri" w:eastAsia="Microsoft YaHei" w:cs="Calibri"/>
        </w:rPr>
        <w:t xml:space="preserve">这些条件保证配对比较在既定参考范围内使用共同输入和共同完成边界。结论反映⁠核⁠心⁠场⁠景⁠组</w:t>
      </w:r>
    </w:p>
    <w:p>
      <w:pPr>
        <w:ind w:left="0" w:firstLine="420"/>
      </w:pPr>
      <w:r>
        <w:rPr>
          <w:rFonts w:ascii="Calibri" w:hAnsi="Calibri" w:eastAsia="Microsoft YaHei" w:cs="Calibri"/>
        </w:rPr>
        <w:t xml:space="preserve">与代表场景组的平均主值⁠比⁠较⁠结⁠果⁠。</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56"/>
        <w:gridCol w:w="3180"/>
        <w:gridCol w:w="1915"/>
        <w:gridCol w:w="3348"/>
      </w:tblGrid>
      <w:tr>
        <w:trPr>
          <w:cantSplit/>
          <w:tblHeader/>
        </w:trPr>
        <w:tc>
          <w:tcPr>
            <w:tcW w:w="115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318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既定参考模型</w:t>
            </w:r>
          </w:p>
        </w:tc>
        <w:tc>
          <w:tcPr>
            <w:tcW w:w="334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独立 R⁠e⁠s⁠i⁠d⁠e⁠n⁠t⁠D⁠i⁠r + H⁠6⁠4 B⁠a⁠c⁠k⁠s⁠t⁠o⁠r⁠e</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既定参考目录组织</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方案将全局元数据与节点内 H⁠o⁠m⁠e 资源解耦</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理论结构比较用于解释机制差异，性能结论由相同输入下的正式配对⁠运⁠行⁠给⁠出⁠。</w:t>
      </w:r>
    </w:p>
    <w:p>
      <w:pPr>
        <w:pStyle w:val="Heading3"/>
        <w:keepNext/>
      </w:pPr>
      <w:r>
        <w:rPr>
          <w:rFonts w:ascii="Calibri" w:hAnsi="Calibri" w:eastAsia="SimHei" w:cs="Calibri"/>
        </w:rPr>
        <w:t xml:space="preserve">6.4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该结果与理论分析相互印证，适用于上述 HA-VI 参考模型及固定⁠实⁠验⁠配⁠置⁠。</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节点协议能力验证</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延迟。结果确认了 16 节点规模下的协议端点与事务⁠收⁠敛⁠能⁠力⁠。</w:t>
      </w:r>
    </w:p>
    <w:p>
      <w:pPr>
        <w:pStyle w:val="Heading2"/>
        <w:keepNext/>
      </w:pPr>
      <w:r>
        <w:rPr>
          <w:rFonts w:ascii="Calibri" w:hAnsi="Calibri" w:eastAsia="SimHei" w:cs="Calibri"/>
        </w:rPr>
        <w:t xml:space="preserve">8. 交付内容</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采用独立 O⁠u⁠t⁠e⁠r 一致性层和分层目录的跨节点一致性体系结构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维护全局目录并执行同址事务仲裁的控制器组件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由地址映射选定、负责目标地址目录和提交的控制器实例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O⁠u⁠t⁠-⁠o⁠f⁠-⁠O⁠r⁠d⁠e⁠r，乱序执行并按架构顺序提交的处理器模型；用于验证乱序条件下的同步与一致性语义</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在公平调度和消息最终可达条件下，事务能够持续推进并最终完成的性质</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source_sha256=f37c1cb6439dcd7710270736318f4fdb0fcaae6d2776988666122513889e454f</dc:description>
  <dcterms:created xsi:type="dcterms:W3CDTF">2026-09-09T03:52:05Z</dcterms:created>
  <dcterms:modified xsi:type="dcterms:W3CDTF">2026-09-09T03:52:05Z</dcterms:modified>
</cp:coreProperties>
</file>