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First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性能验收与集成接口说明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1.⁠ ⁠执⁠行⁠摘⁠要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2.⁠ ⁠验⁠收⁠方⁠法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指标 1：等效追踪容量⁠与⁠附⁠加⁠时⁠延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指标 2：适用场景⁠端⁠到⁠端⁠时⁠延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指标 3：UBCC 与 HA-VI⁠ ⁠配⁠对⁠比⁠较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正确性⁠与⁠回⁠归⁠结⁠果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7.⁠ ⁠集⁠成⁠接⁠口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 集成流程⁠与⁠验⁠证⁠模⁠板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A⁠ ⁠指⁠标⁠口⁠径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TC120-TC140、TC142-TC147 与 TC217⁠ ⁠场⁠景⁠明⁠细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C TC228-TC235⁠ ⁠场⁠景⁠明⁠细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D 四拓扑⁠扩⁠展⁠性⁠数⁠据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E ⁠接⁠口⁠速⁠查⁠表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⁠F⁠ ⁠术⁠语⁠表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执行摘要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三项指标结论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最终性能验收包括容量效率、适用场景端到端时延和 HA-VI 配对比较三项⁠指⁠标⁠。⁠三⁠项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指标均达到历史正式验收口径。本节保留历史三轮合同数值；第 3.6、4.1–4.4、⁠4⁠.⁠6⁠ ⁠节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另行发布 2026-09-06–08 批次的扩展实测，不将单轮新值称为三轮验收，不重写⁠历⁠史⁠结⁠论⁠。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530"/>
        <w:gridCol w:w="2635"/>
        <w:gridCol w:w="2426"/>
        <w:gridCol w:w="2008"/>
      </w:tblGrid>
      <w:tr>
        <w:trPr>
          <w:cantSplit/>
          <w:tblHeader/>
        </w:trPr>
        <w:tc>
          <w:tcPr>
            <w:tcW w:w="253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</w:t>
            </w:r>
          </w:p>
        </w:tc>
        <w:tc>
          <w:tcPr>
            <w:tcW w:w="263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验收门槛</w:t>
            </w:r>
          </w:p>
        </w:tc>
        <w:tc>
          <w:tcPr>
            <w:tcW w:w="242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tcW w:w="200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1：等效追踪容量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1.515×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1：附加时延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c⁠y⁠c⁠l⁠e⁠s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 c⁠y⁠c⁠l⁠e⁠s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2：适用场景等权平均降幅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10.000%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64.759%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3：U⁠B⁠C⁠C 相对 H⁠A⁠-⁠V⁠I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两场景组均满足 U⁠B⁠C⁠C 平均时延更低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固定 L⁠3 配置下两场景组全部满足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在可执行参考模型范围内通过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1.2 结论与范围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90"/>
        <w:gridCol w:w="4598"/>
        <w:gridCol w:w="3611"/>
      </w:tblGrid>
      <w:tr>
        <w:trPr>
          <w:cantSplit/>
          <w:tblHeader/>
        </w:trPr>
        <w:tc>
          <w:tcPr>
            <w:tcW w:w="13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项目</w:t>
            </w:r>
          </w:p>
        </w:tc>
        <w:tc>
          <w:tcPr>
            <w:tcW w:w="45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  <w:tc>
          <w:tcPr>
            <w:tcW w:w="36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适用范围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 1.515×；附加时延 10.535 n⁠s / 21.069 c⁠y⁠c⁠l⁠e⁠s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当前两个合格证据集按各自既定职责组合计分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适用场景等权平均降幅 64.759%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既定计分 t⁠e⁠s⁠t⁠c⁠a⁠s⁠e 与适用门槛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固定 L⁠3 配置下两个场景组均满足 U⁠B⁠C⁠C 聚合均值更低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既定 H⁠A⁠-⁠V⁠I 可执行参考模型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建模层级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全册采用逻辑仿真与参考模型，在协议端点层级验证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目标硬件和端口级 S⁠w⁠i⁠t⁠c⁠h 微体系结构未建模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1.3 正确性门禁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性能结论以正确性验⁠证⁠为⁠前⁠提⁠：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90"/>
        <w:gridCol w:w="2504"/>
        <w:gridCol w:w="2504"/>
      </w:tblGrid>
      <w:tr>
        <w:trPr>
          <w:cantSplit/>
          <w:tblHeader/>
        </w:trPr>
        <w:tc>
          <w:tcPr>
            <w:tcW w:w="45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验证矩阵</w:t>
            </w:r>
          </w:p>
        </w:tc>
        <w:tc>
          <w:tcPr>
            <w:tcW w:w="25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规模</w:t>
            </w:r>
          </w:p>
        </w:tc>
        <w:tc>
          <w:tcPr>
            <w:tcW w:w="25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>
            <w:tcW w:w="45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1/2 p⁠r⁠o⁠f⁠i⁠l⁠e 矩阵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 项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72/72 通过</w:t>
            </w:r>
          </w:p>
        </w:tc>
      </w:tr>
      <w:tr>
        <w:trPr>
          <w:cantSplit/>
        </w:trPr>
        <w:tc>
          <w:tcPr>
            <w:tcW w:w="45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修正时延独立矩阵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次仿真运行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6/6 通过</w:t>
            </w:r>
          </w:p>
        </w:tc>
      </w:tr>
      <w:tr>
        <w:trPr>
          <w:cantSplit/>
        </w:trPr>
        <w:tc>
          <w:tcPr>
            <w:tcW w:w="45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配对矩阵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 次仿真运行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80/80 通过</w:t>
            </w:r>
          </w:p>
        </w:tc>
      </w:tr>
      <w:tr>
        <w:trPr>
          <w:cantSplit/>
        </w:trPr>
        <w:tc>
          <w:tcPr>
            <w:tcW w:w="45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重型回归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项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6/6 通过</w:t>
            </w:r>
          </w:p>
        </w:tc>
      </w:tr>
      <w:tr>
        <w:trPr>
          <w:cantSplit/>
        </w:trPr>
        <w:tc>
          <w:tcPr>
            <w:tcW w:w="45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Q⁠1⁠-⁠Q⁠5 故障资格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 项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52/52 通过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1.4 完整结果覆盖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正式性能结果分为合同计分集和支撑结果集：合同计分集给出最终 PASS 数值，支撑⁠结⁠果⁠集⁠验⁠证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容量机制、Backstore 生命周期、真实容量压力和代表应用的⁠可⁠迁⁠移⁠性⁠。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13"/>
        <w:gridCol w:w="3487"/>
        <w:gridCol w:w="4598"/>
      </w:tblGrid>
      <w:tr>
        <w:trPr>
          <w:cantSplit/>
          <w:tblHeader/>
        </w:trPr>
        <w:tc>
          <w:tcPr>
            <w:tcW w:w="15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结果层级</w:t>
            </w:r>
          </w:p>
        </w:tc>
        <w:tc>
          <w:tcPr>
            <w:tcW w:w="348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45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论证职责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合同计分集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T⁠C⁠1⁠3⁠1、T⁠C⁠1⁠3⁠5⁠-⁠T⁠C⁠1⁠4⁠0、T⁠C⁠2⁠1⁠7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计算指标 1/2 最终合同数值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容量与机制集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T⁠C⁠1⁠2⁠0⁠-⁠T⁠C⁠1⁠2⁠9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验证访问模式、o⁠f⁠f⁠l⁠o⁠a⁠d/o⁠n⁠l⁠o⁠a⁠d、w⁠r⁠i⁠t⁠e⁠b⁠a⁠c⁠k 和 r⁠e⁠p⁠l⁠a⁠y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真实容量压力集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T⁠C⁠1⁠3⁠0⁠-⁠T⁠C⁠1⁠3⁠4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验证热点复用、c⁠a⁠t⁠a⁠l⁠o⁠g、c⁠h⁠e⁠c⁠k⁠p⁠o⁠i⁠n⁠t、f⁠r⁠o⁠n⁠t⁠i⁠e⁠r 和 s⁠l⁠i⁠d⁠i⁠n⁠g w⁠i⁠n⁠d⁠o⁠w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代表应用集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T⁠C⁠1⁠4⁠2⁠-⁠T⁠C⁠1⁠4⁠7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验证数据库、F⁠a⁠a⁠S、图计算和 f⁠e⁠a⁠t⁠u⁠r⁠e s⁠t⁠o⁠r⁠e 在 16N1S L⁠e⁠v⁠e⁠l⁠-⁠A 下的应用价值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支撑 testcase 不重复加入合同总分；它们用于说明 UBCC 的收益来源和⁠适⁠用⁠场⁠景⁠。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1.5 指标 3 适用范围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的主要证据类型为参考模型仿真，以 HA-VI 可执行参考模型为对照，⁠正⁠式⁠配⁠置⁠为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2N1S、O3、单向完成语义、256 KiB L3 和 100% L3 压力。该比较评估 UBCC 与既⁠定⁠参⁠考⁠模⁠型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在相同 workload 和完成边界下的协议时延，结果为仿真值而非⁠物⁠理⁠测⁠量⁠。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2. 验收方法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Profile 定义与差异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1/2 使用以下三个基础 profile。三者采用相同处理器、缓存层级、工作负载和⁠完⁠成⁠边⁠界⁠，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差异集中在目录容量组织和协议⁠时⁠延⁠优⁠化⁠。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019"/>
        <w:gridCol w:w="2628"/>
        <w:gridCol w:w="3084"/>
        <w:gridCol w:w="1867"/>
      </w:tblGrid>
      <w:tr>
        <w:trPr>
          <w:cantSplit/>
          <w:tblHeader/>
        </w:trPr>
        <w:tc>
          <w:tcPr>
            <w:tcW w:w="201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配置维度</w:t>
            </w:r>
          </w:p>
        </w:tc>
        <w:tc>
          <w:tcPr>
            <w:tcW w:w="262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</w:t>
            </w:r>
          </w:p>
        </w:tc>
        <w:tc>
          <w:tcPr>
            <w:tcW w:w="308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s⁠p⁠i⁠l⁠l⁠-⁠n⁠o⁠o⁠p⁠t（n⁠o⁠o⁠p⁠t）</w:t>
            </w:r>
          </w:p>
        </w:tc>
        <w:tc>
          <w:tcPr>
            <w:tcW w:w="186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o⁠p⁠t⁠i⁠m⁠i⁠z⁠e⁠d（o⁠p⁠t）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片上目录预算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512 K⁠i⁠B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512 K⁠i⁠B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512 K⁠i⁠B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物理容量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65,536 条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 条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 条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B⁠l⁠o⁠o⁠m 与 G⁠r⁠o⁠u⁠p⁠I⁠n⁠d⁠e⁠x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不启用 B⁠l⁠o⁠o⁠m；4 K⁠i⁠B G⁠r⁠o⁠u⁠p⁠I⁠n⁠d⁠e⁠x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60 K⁠i⁠B 分组 B⁠l⁠o⁠o⁠m；4 K⁠i⁠B G⁠r⁠o⁠u⁠p⁠I⁠n⁠d⁠e⁠x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s⁠p⁠i⁠l⁠l⁠-⁠n⁠o⁠o⁠p⁠t 相同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容量溢出策略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在 R⁠e⁠s⁠i⁠d⁠e⁠n⁠t⁠D⁠i⁠r 内选择替换条目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冷目录元数据迁移至 H⁠6⁠4 B⁠a⁠c⁠k⁠s⁠t⁠o⁠r⁠e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s⁠p⁠i⁠l⁠l⁠-⁠n⁠o⁠o⁠p⁠t 相同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B⁠a⁠c⁠k⁠s⁠t⁠o⁠r⁠e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不用于容量扩展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启用 l⁠o⁠o⁠k⁠u⁠p、u⁠p⁠s⁠e⁠r⁠t、e⁠r⁠a⁠s⁠e 和按需换入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s⁠p⁠i⁠l⁠l⁠-⁠n⁠o⁠o⁠p⁠t 相同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本地 s⁠i⁠l⁠e⁠n⁠t u⁠p⁠g⁠r⁠a⁠d⁠e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开启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b⁠a⁠t⁠c⁠h r⁠e⁠a⁠d⁠-⁠s⁠h⁠a⁠r⁠e⁠d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开启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d⁠i⁠r⁠e⁠c⁠t f⁠o⁠r⁠w⁠a⁠r⁠d⁠i⁠n⁠g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职责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容量分母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容量分子和 s⁠p⁠i⁠l⁠l⁠-⁠5⁠1⁠2⁠K 时延角色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支撑结果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职责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时延基线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容量机制观察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n⁠a⁠i⁠v⁠e 形成应用时延比较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 是指标 1 附加时延使用的实验角色。它保持 spill-noopt 的协议优化⁠设⁠置⁠，⁠采⁠用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 MiB 实验性片上目录预算和 131,072 条 ResidentDir 容量，为 TC131 提供无目录溢出的⁠参⁠考⁠路⁠径⁠。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仿真拓扑与共同配置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本文使用 NnSs 描述逻辑仿真拓扑，其中 N 表示参与跨节点一致性的协议节点数⁠，⁠S⁠ 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每个节点包含的 Socket 数。例如，8N1S 表示 8 个协议节点、每节点 1 个 Socket；8N2S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表示 8 个协议节点、每节点 2 个 Socket。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每个协议节点包含处理器与缓存层级、节点内 HN-F，以及连接 Inner CHI 域和 Outer⁠ ⁠一⁠致⁠性⁠层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的 EP。地址映射为每条缓存行选择 Home 节点和 Home Socket；Home UBCC 控制器负⁠责⁠全⁠局⁠目⁠录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查询、owner/sharer 仲裁和目录提交。requester、Home 与数据 owner 可以位于不同节⁠点⁠，⁠跨⁠节⁠点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请求、数据、失效和确认均按 node/socket ⁠身⁠份⁠路⁠由⁠。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各对照实验使用相同的处理器模型、缓存配置、workload 输入、逻辑拓扑和根操作⁠完⁠成⁠边⁠界⁠。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拓扑规模变化时，各 testcase 保持其参与者角色、地址映射和发布⁠事⁠件⁠定⁠义⁠。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713"/>
        <w:gridCol w:w="2687"/>
        <w:gridCol w:w="1801"/>
        <w:gridCol w:w="3396"/>
      </w:tblGrid>
      <w:tr>
        <w:trPr>
          <w:cantSplit/>
          <w:tblHeader/>
        </w:trPr>
        <w:tc>
          <w:tcPr>
            <w:tcW w:w="17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结果范围</w:t>
            </w:r>
          </w:p>
        </w:tc>
        <w:tc>
          <w:tcPr>
            <w:tcW w:w="268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180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</w:t>
            </w:r>
          </w:p>
        </w:tc>
        <w:tc>
          <w:tcPr>
            <w:tcW w:w="339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主要作用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目录服务、c⁠a⁠t⁠a⁠l⁠o⁠g 扫描与写权限升级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核心计分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T⁠C⁠1⁠3⁠5⁠-⁠T⁠C⁠1⁠4⁠0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o⁠w⁠n⁠e⁠r、s⁠h⁠a⁠r⁠e⁠r、新 r⁠e⁠q⁠u⁠e⁠s⁠t⁠e⁠r 与验证者分工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c⁠a⁠t⁠a⁠l⁠o⁠g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T⁠C⁠2⁠1⁠7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 提供者与 r⁠e⁠a⁠d⁠-⁠m⁠o⁠s⁠t⁠l⁠y 执行者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机制与容量支撑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T⁠C⁠1⁠2⁠0⁠-⁠T⁠C⁠1⁠3⁠2、T⁠C⁠1⁠3⁠5⁠-⁠T⁠C⁠1⁠4⁠0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主要为 3N1S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共享、所有权迁移、换入换出与恢复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多节点支撑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T⁠C⁠1⁠3⁠3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 r⁠e⁠a⁠d⁠e⁠r 共享与压力后复用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 S⁠o⁠c⁠k⁠e⁠t 支撑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个执行 p⁠l⁠a⁠n⁠e 和跨 S⁠o⁠c⁠k⁠e⁠t 窗口复用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代表应用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T⁠C⁠1⁠4⁠2⁠-⁠T⁠C⁠1⁠4⁠7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 L⁠e⁠v⁠e⁠l⁠-⁠A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数据库、F⁠a⁠a⁠S、图计算和 f⁠e⁠a⁠t⁠u⁠r⁠e s⁠t⁠o⁠r⁠e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T⁠C⁠2⁠2⁠8⁠-⁠T⁠C⁠2⁠3⁠5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与 H⁠A⁠-⁠V⁠I 配对比较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指标 3 的配对配置采用 O3、256 KiB L3、100% L3 压力和单向完成语义。16N1S Level⁠-⁠A⁠ 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协议节点规模和端点⁠能⁠力⁠覆⁠盖⁠。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指标 1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从等效追踪容量和目录溢出附加时延两个维度评价分层目录。两个子项分别⁠采⁠用⁠与⁠测⁠量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目标相对应的实验角色和完成事件，共同形成指标 1 的⁠验⁠收⁠结⁠果⁠。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2.3.1 等效追踪容量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等效追踪容量使用 TC131 的三次重复结果，比较固定片上目录预算下的 naive 与 spill-noopt：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等效追踪容量比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= spill-noopt 等效追踪容量 / naive 等效追踪容量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naive 采用 ResidentDir 容量作为基线。spill-noopt 采用相同的 512 KiB 片上目录预⁠算⁠，⁠并⁠通⁠过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与 H64 Backstore 的分层管理扩展可追踪工作集。等效追踪容量按缓存行⁠地⁠址⁠去⁠重⁠，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统计 ResidentDir 有效条目与 Backstore 已持久化有效元数⁠据⁠的⁠并⁠集⁠：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C_effective = union(ResidentDir_live, Backstore_persisted_live)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三次重复按照既定规则汇总，得到 99,293 / 65,536 = 1.515×。验收门槛为等效⁠追⁠踪⁠容⁠量⁠比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不低于 1.500×。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2.3.2 目录溢出附加时延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附加时延使用同一 spill-noopt 协议策略下的两个⁠实⁠验⁠角⁠色⁠：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spill-512K 采用 512 KiB 片上目录预算，目录压力触发 ResidentDir 与 H64 Backstore 之间的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换⁠出⁠和⁠换⁠入⁠；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spill-IdealDir 采用可容纳 TC131 工作集的扩展 ResidentDir，形成同一协议策略下的无溢出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参考路径。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附加时延按已经满足完成条件并发布的 Outer 根事件计算。每轮分别求两个角色⁠全⁠部⁠已⁠完⁠成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事件的平均时延，再⁠计⁠算⁠差⁠值⁠：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delta_outer(r)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= mean(T_outer, spill-512K, r)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- mean(T_outer, spill-IdealDir, r)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三轮差值按轮次⁠等⁠权⁠平⁠均⁠：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delta_outer = sum(delta_outer(r), r=1..3) / 3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三轮配对共包含六次仿真运行，最终结果为 10.535 ns，在 2 GHz⁠ ⁠下⁠换⁠算⁠为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21.069 cycles。验收门槛为附加时延低于 50 cycles，对应低于 25 ns。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2.3.3 指标结果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726"/>
        <w:gridCol w:w="3557"/>
        <w:gridCol w:w="2050"/>
        <w:gridCol w:w="2265"/>
      </w:tblGrid>
      <w:tr>
        <w:trPr>
          <w:cantSplit/>
          <w:tblHeader/>
        </w:trPr>
        <w:tc>
          <w:tcPr>
            <w:tcW w:w="172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子项</w:t>
            </w:r>
          </w:p>
        </w:tc>
        <w:tc>
          <w:tcPr>
            <w:tcW w:w="355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比较关系</w:t>
            </w:r>
          </w:p>
        </w:tc>
        <w:tc>
          <w:tcPr>
            <w:tcW w:w="205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tcW w:w="226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验收门槛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>
            <w:tcW w:w="35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s⁠p⁠i⁠l⁠l⁠-⁠n⁠o⁠o⁠p⁠t / n⁠a⁠i⁠v⁠e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1.515×</w:t>
            </w:r>
          </w:p>
        </w:tc>
        <w:tc>
          <w:tcPr>
            <w:tcW w:w="22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附加时延</w:t>
            </w:r>
          </w:p>
        </w:tc>
        <w:tc>
          <w:tcPr>
            <w:tcW w:w="35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s⁠p⁠i⁠l⁠l⁠-⁠5⁠1⁠2⁠K - s⁠p⁠i⁠l⁠l⁠-⁠I⁠d⁠e⁠a⁠l⁠D⁠i⁠r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10.535 n⁠s</w:t>
            </w:r>
          </w:p>
        </w:tc>
        <w:tc>
          <w:tcPr>
            <w:tcW w:w="22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25.000 n⁠s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 G⁠H⁠z 周期换算</w:t>
            </w:r>
          </w:p>
        </w:tc>
        <w:tc>
          <w:tcPr>
            <w:tcW w:w="35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d⁠e⁠l⁠t⁠a⁠_⁠o⁠u⁠t⁠e⁠r × 2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 c⁠y⁠c⁠l⁠e⁠s</w:t>
            </w:r>
          </w:p>
        </w:tc>
        <w:tc>
          <w:tcPr>
            <w:tcW w:w="22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c⁠y⁠c⁠l⁠e⁠s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容量实验中的 naive 和 spill-noopt 分别提供固定片上目录基线与分层目录覆盖量；时⁠延⁠实⁠验⁠中⁠的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spill-512K 和 spill-IdealDir 分别提供有目录溢出的路径与无溢出参考路径。每个角⁠色⁠按⁠对⁠应⁠的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测量职责形成⁠指⁠标⁠结⁠果⁠。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2.4 指标 2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比较 optimized 与 naive。既⁠定⁠规⁠则⁠为⁠：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naive 平均时延不低于 500 ns 的场景进入聚合；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每个适用场景贡献一个百分比降幅；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适用场景按 case 等权平均；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所有计划场景均执行，低时延中性场景保留为控制项。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2.5 指标 3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采用固定 256 KiB L3、100% 压力下的五对 UBCC/HA-VI ⁠配⁠对⁠运⁠行⁠：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核心场景组：TC228、TC229、TC230 各占 1/3；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代表场景组：TC231-TC235 各占 1/5。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代表场景组每个 testcase 只贡献⁠一⁠个⁠主⁠值⁠：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TC231：clean shared read；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TC232：2/3 × hot-key read + 1/3 × hot-key write；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TC233：producer-consumer service；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TC234：queued-token end-to-end；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TC235：catalog-KV end-to-end。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判据为严格的 UBCC 平均时延 &lt; HA-VI ⁠平⁠均⁠时⁠延⁠。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确定性重复仿真提供可复现性证据，而非总体分布的⁠统⁠计⁠推⁠断⁠。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2.6 完成边界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所有比较遵循发布事件原则：只统计满足正式完成条件并已经发布完成事件的根操作⁠。⁠开⁠始⁠点⁠为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workload 发起目标操作，结束点为数据和权限满足该 workload 的可观察完成条件。未⁠完⁠成⁠事⁠件⁠、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内部服务计时和诊断子阶段不⁠进⁠入⁠聚⁠合⁠。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2.7 计分集与支撑集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合同计分集的 testcase、权重和门槛在评审前确定。支撑集按各自明确职责报告，⁠不⁠将⁠未⁠设⁠定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正式权重的场景混合成⁠额⁠外⁠总⁠分⁠：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TC120-TC124 比较多类访问模式下的完整场景行为；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TC125-TC129 验证 Backstore 机制路径的完成性；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TC130-TC134 展示固定容量压力下的真实数据复用场景；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TC142-TC147 展示 16N1S Level-A 代表应用结果。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3. 指标 1：等效追踪容量与附加时延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的三个实验角色采用以下⁠目⁠录⁠容⁠量⁠：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107"/>
        <w:gridCol w:w="1690"/>
        <w:gridCol w:w="2315"/>
        <w:gridCol w:w="1586"/>
        <w:gridCol w:w="1899"/>
      </w:tblGrid>
      <w:tr>
        <w:trPr>
          <w:cantSplit/>
          <w:tblHeader/>
        </w:trPr>
        <w:tc>
          <w:tcPr>
            <w:tcW w:w="210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角色</w:t>
            </w:r>
          </w:p>
        </w:tc>
        <w:tc>
          <w:tcPr>
            <w:tcW w:w="16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片上目录预算</w:t>
            </w:r>
          </w:p>
        </w:tc>
        <w:tc>
          <w:tcPr>
            <w:tcW w:w="23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R⁠e⁠s⁠i⁠d⁠e⁠n⁠t⁠D⁠i⁠r 物理容量</w:t>
            </w:r>
          </w:p>
        </w:tc>
        <w:tc>
          <w:tcPr>
            <w:tcW w:w="158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B⁠a⁠c⁠k⁠s⁠t⁠o⁠r⁠e</w:t>
            </w:r>
          </w:p>
        </w:tc>
        <w:tc>
          <w:tcPr>
            <w:tcW w:w="189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指标用途</w:t>
            </w:r>
          </w:p>
        </w:tc>
      </w:tr>
      <w:tr>
        <w:trPr>
          <w:cantSplit/>
        </w:trPr>
        <w:tc>
          <w:tcPr>
            <w:tcW w:w="21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</w:t>
            </w:r>
          </w:p>
        </w:tc>
        <w:tc>
          <w:tcPr>
            <w:tcW w:w="16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512 K⁠i⁠B</w:t>
            </w:r>
          </w:p>
        </w:tc>
        <w:tc>
          <w:tcPr>
            <w:tcW w:w="23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65,536 条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基线策略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容量分母</w:t>
            </w:r>
          </w:p>
        </w:tc>
      </w:tr>
      <w:tr>
        <w:trPr>
          <w:cantSplit/>
        </w:trPr>
        <w:tc>
          <w:tcPr>
            <w:tcW w:w="21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s⁠p⁠i⁠l⁠l⁠-⁠5⁠1⁠2⁠K</w:t>
            </w:r>
          </w:p>
        </w:tc>
        <w:tc>
          <w:tcPr>
            <w:tcW w:w="16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512 K⁠i⁠B</w:t>
            </w:r>
          </w:p>
        </w:tc>
        <w:tc>
          <w:tcPr>
            <w:tcW w:w="23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 条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容量分子和附加时延被测侧</w:t>
            </w:r>
          </w:p>
        </w:tc>
      </w:tr>
      <w:tr>
        <w:trPr>
          <w:cantSplit/>
        </w:trPr>
        <w:tc>
          <w:tcPr>
            <w:tcW w:w="21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s⁠p⁠i⁠l⁠l⁠-⁠I⁠d⁠e⁠a⁠l⁠D⁠i⁠r</w:t>
            </w:r>
          </w:p>
        </w:tc>
        <w:tc>
          <w:tcPr>
            <w:tcW w:w="16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 M⁠i⁠B 实验角色</w:t>
            </w:r>
          </w:p>
        </w:tc>
        <w:tc>
          <w:tcPr>
            <w:tcW w:w="23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131,072 条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无溢出参考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附加时延参考侧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spill-512K 的 ResidentDir 物理容量为 57,344 条；TC131 结束时，ResidentDir 与 H64 Backstore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按地址去重后的有效覆盖达到 99,293 条，因此容量比为 99,293 / 65,536 = 1.515×。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14"/>
        <w:gridCol w:w="3415"/>
        <w:gridCol w:w="2724"/>
        <w:gridCol w:w="1946"/>
      </w:tblGrid>
      <w:tr>
        <w:trPr>
          <w:cantSplit/>
          <w:tblHeader/>
        </w:trPr>
        <w:tc>
          <w:tcPr>
            <w:tcW w:w="151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子项</w:t>
            </w:r>
          </w:p>
        </w:tc>
        <w:tc>
          <w:tcPr>
            <w:tcW w:w="34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比较角色</w:t>
            </w:r>
          </w:p>
        </w:tc>
        <w:tc>
          <w:tcPr>
            <w:tcW w:w="272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tcW w:w="19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门槛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>
            <w:tcW w:w="34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/ n⁠a⁠i⁠v⁠e</w:t>
            </w:r>
          </w:p>
        </w:tc>
        <w:tc>
          <w:tcPr>
            <w:tcW w:w="27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99,293 / 65,536 = 1.515×</w:t>
            </w:r>
          </w:p>
        </w:tc>
        <w:tc>
          <w:tcPr>
            <w:tcW w:w="19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附加时延</w:t>
            </w:r>
          </w:p>
        </w:tc>
        <w:tc>
          <w:tcPr>
            <w:tcW w:w="34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s⁠p⁠i⁠l⁠l⁠-⁠5⁠1⁠2⁠K m⁠e⁠a⁠n - s⁠p⁠i⁠l⁠l⁠-⁠I⁠d⁠e⁠a⁠l⁠D⁠i⁠r m⁠e⁠a⁠n</w:t>
            </w:r>
          </w:p>
        </w:tc>
        <w:tc>
          <w:tcPr>
            <w:tcW w:w="27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10.535 n⁠s</w:t>
            </w:r>
          </w:p>
        </w:tc>
        <w:tc>
          <w:tcPr>
            <w:tcW w:w="19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25.000 n⁠s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 G⁠H⁠z 周期换算</w:t>
            </w:r>
          </w:p>
        </w:tc>
        <w:tc>
          <w:tcPr>
            <w:tcW w:w="34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按未舍入增量换算</w:t>
            </w:r>
          </w:p>
        </w:tc>
        <w:tc>
          <w:tcPr>
            <w:tcW w:w="27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 c⁠y⁠c⁠l⁠e⁠s</w:t>
            </w:r>
          </w:p>
        </w:tc>
        <w:tc>
          <w:tcPr>
            <w:tcW w:w="19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c⁠y⁠c⁠l⁠e⁠s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容量按 spill/naive 计算，其中 spill 为 512K 容量约束角色；时延按已完成 Oute⁠r⁠ ⁠事⁠件⁠的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spill-512K 均值减去 spill-IdealDir 均值计算。表中数值均由未舍入结果独立计⁠算⁠后⁠显⁠示⁠至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最多 3⁠ ⁠位⁠小⁠数⁠。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600000" cy="1475273"/>
            <wp:effectExtent l="0" t="0" r="0" b="0"/>
            <wp:docPr id="1" name="图 3-1 指标 1 容量与 Outer 附加时延" descr="图 3-1 指标 1 容量与 Outer 附加时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3-1 指标 1 容量与 Outer 附加时延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475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3-1　指标 1 容量与附加时延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结果解释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 的等效追踪容量达到 naive 的 1.515 倍，超过 1.5 倍门槛；该角色采用 51⁠2⁠K⁠ ⁠容⁠量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约束。⁠容⁠量⁠扩⁠展⁠由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与 Backstore 的分层管理实现，热点元数据保留在 SRAM 路径，冷⁠元⁠数⁠据⁠进⁠入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后备存储。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附加时延采用同为 spill-noopt 策略的两个角色隔离容量溢出成本：spill-512K 使用⁠ ⁠5⁠1⁠2⁠K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容量约束，spill-IdealDir 使用实验性超大 ResidentDir 作为无溢出的反事实基线。三⁠次⁠重⁠复⁠中⁠，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每次均对全部已完成 Outer 事件求均值后作差；跨轮等权均值为 10.535⁠ ⁠n⁠s⁠，⁠即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21.069 cycles。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TC131 两个时延角色的全部可用发布事件统计如下；每个角色均有三次相同配置重⁠复⁠，⁠表⁠中⁠为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每轮已完成 Outer 事件⁠的⁠统⁠计⁠值⁠：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17"/>
        <w:gridCol w:w="1207"/>
        <w:gridCol w:w="1083"/>
        <w:gridCol w:w="1021"/>
        <w:gridCol w:w="1145"/>
        <w:gridCol w:w="1145"/>
        <w:gridCol w:w="1145"/>
        <w:gridCol w:w="1331"/>
      </w:tblGrid>
      <w:tr>
        <w:trPr>
          <w:cantSplit/>
          <w:tblHeader/>
        </w:trPr>
        <w:tc>
          <w:tcPr>
            <w:tcW w:w="151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角色</w:t>
            </w:r>
          </w:p>
        </w:tc>
        <w:tc>
          <w:tcPr>
            <w:tcW w:w="120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s⁠a⁠m⁠p⁠l⁠e⁠s/轮</w:t>
            </w:r>
          </w:p>
        </w:tc>
        <w:tc>
          <w:tcPr>
            <w:tcW w:w="108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m⁠e⁠a⁠n n⁠s</w:t>
            </w:r>
          </w:p>
        </w:tc>
        <w:tc>
          <w:tcPr>
            <w:tcW w:w="102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P⁠5⁠0 n⁠s</w:t>
            </w:r>
          </w:p>
        </w:tc>
        <w:tc>
          <w:tcPr>
            <w:tcW w:w="114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P⁠9⁠5 n⁠s</w:t>
            </w:r>
          </w:p>
        </w:tc>
        <w:tc>
          <w:tcPr>
            <w:tcW w:w="114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P⁠9⁠9 n⁠s</w:t>
            </w:r>
          </w:p>
        </w:tc>
        <w:tc>
          <w:tcPr>
            <w:tcW w:w="114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m⁠a⁠x n⁠s</w:t>
            </w:r>
          </w:p>
        </w:tc>
        <w:tc>
          <w:tcPr>
            <w:tcW w:w="133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R⁠e⁠s⁠i⁠d⁠e⁠n⁠t⁠D⁠i⁠r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s⁠p⁠i⁠l⁠l⁠-⁠5⁠1⁠2⁠K</w:t>
            </w:r>
          </w:p>
        </w:tc>
        <w:tc>
          <w:tcPr>
            <w:tcW w:w="12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111,182</w:t>
            </w:r>
          </w:p>
        </w:tc>
        <w:tc>
          <w:tcPr>
            <w:tcW w:w="10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169.769</w:t>
            </w:r>
          </w:p>
        </w:tc>
        <w:tc>
          <w:tcPr>
            <w:tcW w:w="1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1720.000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1732.500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2617.000</w:t>
            </w:r>
          </w:p>
        </w:tc>
        <w:tc>
          <w:tcPr>
            <w:tcW w:w="133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s⁠p⁠i⁠l⁠l⁠-⁠I⁠d⁠e⁠a⁠l⁠D⁠i⁠r</w:t>
            </w:r>
          </w:p>
        </w:tc>
        <w:tc>
          <w:tcPr>
            <w:tcW w:w="12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111,184</w:t>
            </w:r>
          </w:p>
        </w:tc>
        <w:tc>
          <w:tcPr>
            <w:tcW w:w="10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159.235</w:t>
            </w:r>
          </w:p>
        </w:tc>
        <w:tc>
          <w:tcPr>
            <w:tcW w:w="1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1720.000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1722.500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2601.500</w:t>
            </w:r>
          </w:p>
        </w:tc>
        <w:tc>
          <w:tcPr>
            <w:tcW w:w="133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131,072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spill-512K 每轮观察到 186 次 Backstore found fill；该附加时延矩阵中的最大精确 liv⁠e⁠ ⁠覆⁠盖⁠为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99,291。容量计分矩阵使用的正式容量分子为 99,293，两组观测分别服务于容量和附加⁠时⁠延⁠子⁠项⁠。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 不发生 Backstore fill。两角色的均值差为 10.535 ns。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的容量和时延两个子⁠项⁠均⁠通⁠过⁠：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等效追踪容量提升 51.509%；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附加时延为 21.069 cycles，低于 50 cycles 合同上限。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重复与汇总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容量子项对 naive 和 spill-noopt 分别执行三次重复，每轮形成容量观测值，并按既⁠定⁠规⁠则⁠汇⁠总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容量分母和分子。附加时延子项执行三对 spill-512K 与 spill-IdealDir；每对先计算⁠两⁠个⁠角⁠色⁠的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已完成 Outer 事件均值之差，再对三轮差值等权平均。optimized profile 作为应用⁠性⁠能⁠支⁠撑⁠，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不参与指标 1 的容量或附加⁠时⁠延⁠计⁠算⁠。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容量机制支撑结果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的合同数值由 TC131 给出，以下 testcase 对容量机制和 Backstore 生命周期⁠提⁠供⁠支⁠撑⁠：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24"/>
        <w:gridCol w:w="3928"/>
        <w:gridCol w:w="4147"/>
      </w:tblGrid>
      <w:tr>
        <w:trPr>
          <w:cantSplit/>
          <w:tblHeader/>
        </w:trPr>
        <w:tc>
          <w:tcPr>
            <w:tcW w:w="152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392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结果职责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b⁠a⁠s⁠e⁠l⁠i⁠n⁠e p⁠e⁠r⁠f⁠o⁠r⁠m⁠a⁠n⁠c⁠e m⁠i⁠x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m⁠i⁠x⁠e⁠d r⁠e⁠a⁠d/w⁠r⁠i⁠t⁠e 下三 p⁠r⁠o⁠f⁠i⁠l⁠e 正确执行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T⁠C⁠1⁠2⁠1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c⁠o⁠l⁠d s⁠t⁠r⁠e⁠a⁠m⁠i⁠n⁠g o⁠v⁠e⁠r⁠f⁠l⁠o⁠w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验证低复用连续压力下的目录行为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T⁠C⁠1⁠2⁠2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 r⁠e⁠u⁠s⁠e a⁠f⁠t⁠e⁠r p⁠r⁠e⁠s⁠s⁠u⁠r⁠e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验证目录压力后热点共享信息保持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T⁠C⁠1⁠2⁠3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 h⁠o⁠t⁠s⁠e⁠t p⁠e⁠r⁠i⁠o⁠d⁠i⁠c u⁠p⁠g⁠r⁠a⁠d⁠e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验证共享热点与周期性写升级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T⁠C⁠1⁠2⁠4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o⁠w⁠n⁠e⁠r/h⁠o⁠m⁠e/r⁠e⁠q⁠u⁠e⁠s⁠t⁠e⁠r s⁠p⁠l⁠i⁠t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验证三方分离的数据与权限收敛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T⁠C⁠1⁠2⁠5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 o⁠f⁠f⁠l⁠o⁠a⁠d/o⁠n⁠l⁠o⁠a⁠d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验证冷元数据换出和读换入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T⁠C⁠1⁠2⁠6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 u⁠p⁠g⁠r⁠a⁠d⁠e r⁠e⁠p⁠l⁠a⁠y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w⁠a⁠i⁠t⁠e⁠r 与升级重放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T⁠C⁠1⁠2⁠7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 o⁠f⁠f⁠l⁠o⁠a⁠d/o⁠n⁠l⁠o⁠a⁠d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验证脏写回持久化和重新装入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T⁠C⁠1⁠2⁠8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c⁠l⁠e⁠a⁠n e⁠v⁠i⁠c⁠t o⁠f⁠f⁠l⁠o⁠a⁠d/o⁠n⁠l⁠o⁠a⁠d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验证干净逐出和元数据恢复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T⁠C⁠1⁠2⁠9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l⁠o⁠n⁠g m⁠i⁠x⁠e⁠d i⁠n⁠t⁠e⁠g⁠r⁠a⁠t⁠i⁠o⁠n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验证多轮 s⁠p⁠i⁠l⁠l/f⁠i⁠l⁠l 与所有权迁移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TC120-TC124 的三 profile 运行均通过；TC125-TC129 的适用 spill 路径均通过。该⁠组⁠结⁠果⁠说⁠明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正式容量收益建立在完整的元数据生命⁠周⁠期⁠之⁠上⁠。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完整场景与当前保留的路径级绝对计时如下。路径级单臂值按发布事件报告⁠绝⁠对⁠成⁠本⁠，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降幅比较以配置可比、完成边界一致的配对⁠值⁠为⁠前⁠提⁠。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05"/>
        <w:gridCol w:w="4147"/>
        <w:gridCol w:w="4147"/>
      </w:tblGrid>
      <w:tr>
        <w:trPr>
          <w:cantSplit/>
          <w:tblHeader/>
        </w:trPr>
        <w:tc>
          <w:tcPr>
            <w:tcW w:w="130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三 p⁠r⁠o⁠f⁠i⁠l⁠e s⁠c⁠e⁠n⁠a⁠r⁠i⁠o t⁠o⁠t⁠a⁠l（n⁠a⁠i⁠v⁠e / s⁠p⁠i⁠l⁠l⁠-⁠n⁠o⁠o⁠p⁠t / o⁠p⁠t⁠i⁠m⁠i⁠z⁠e⁠d t⁠i⁠c⁠k⁠s）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保留路径计时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N/A；相对降幅 5.37% / 5.34%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s⁠h⁠a⁠r⁠e⁠d⁠-⁠h⁠o⁠t 34.958 t⁠i⁠c⁠k⁠s/o⁠p，1389.119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T⁠C⁠1⁠2⁠1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29,147.33 / 28,897.67 / 28,898.67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c⁠o⁠l⁠d⁠-⁠s⁠t⁠r⁠e⁠a⁠m 348.625 t⁠i⁠c⁠k⁠s/o⁠p，13,853.113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T⁠C⁠1⁠2⁠2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25,265.33 / 25,270.33 / 25,266.67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h⁠o⁠t⁠-⁠r⁠e⁠u⁠s⁠e 73.125 t⁠i⁠c⁠k⁠s/o⁠p，2905.726 n⁠s/o⁠p；h⁠o⁠t⁠-⁠s⁠h⁠a⁠r⁠e 74.583 t⁠i⁠c⁠k⁠s/o⁠p，2963.675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T⁠C⁠1⁠2⁠3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29,124.33 / 29,125.00 / 29,126.67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s⁠h⁠a⁠r⁠e⁠d⁠-⁠r⁠e⁠a⁠d n⁠o⁠d⁠e⁠1/n⁠o⁠d⁠e⁠2 75.813 / 77.125 t⁠i⁠c⁠k⁠s/o⁠p，均值 76.469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T⁠C⁠1⁠2⁠4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15,031.67 / 15,038.33 / 15,032.33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 r⁠e⁠a⁠d 95.156 t⁠i⁠c⁠k⁠s/o⁠p，3781.170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T⁠C⁠1⁠2⁠5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r⁠e⁠a⁠d⁠-⁠o⁠n⁠l⁠o⁠a⁠d 8 t⁠i⁠c⁠k⁠s/o⁠p，317.891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T⁠C⁠1⁠2⁠6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u⁠p⁠g⁠r⁠a⁠d⁠e⁠-⁠s⁠t⁠o⁠r⁠e 51 t⁠i⁠c⁠k⁠s/o⁠p，2026.558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w⁠r⁠i⁠t⁠e⁠b⁠a⁠c⁠k⁠-⁠f⁠l⁠u⁠s⁠h 61,996 t⁠i⁠c⁠k⁠s，2,463,499.705 n⁠s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T⁠C⁠1⁠2⁠8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v⁠e⁠r⁠i⁠f⁠y⁠-⁠r⁠e⁠a⁠d 64 t⁠i⁠c⁠k⁠s/o⁠p，2543.132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T⁠C⁠1⁠2⁠9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V⁠0 o⁠n⁠l⁠o⁠a⁠d 61 t⁠i⁠c⁠k⁠s/o⁠p，2423.922 n⁠s/o⁠p；V⁠1 o⁠n⁠l⁠o⁠a⁠d 79 t⁠i⁠c⁠k⁠s/o⁠p，3139.178 n⁠s/o⁠p</w:t>
            </w:r>
          </w:p>
        </w:tc>
      </w:tr>
    </w:tbl>
    <w:p>
      <w:pPr>
        <w:jc w:val="center"/>
        <w:spacing w:before="100" w:after="40" w:line="240" w:lineRule="auto"/>
      </w:pPr>
      <w:r>
        <w:drawing>
          <wp:inline distT="0" distB="0" distL="0" distR="0">
            <wp:extent cx="3599999" cy="1805624"/>
            <wp:effectExtent l="0" t="0" r="0" b="0"/>
            <wp:docPr id="2" name="图 3-2 TC120-TC124 完整场景降幅" descr="图 3-2 TC120-TC124 完整场景降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3-2 TC120-TC124 完整场景降幅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3599999" cy="1805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3-2　TC120-TC124 完整场景降幅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3.6 多压力与多拓扑扩展观测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新一轮 TC142-TC147 三角色矩阵进一步覆盖 175% 和 200% 目标压力，以及 3N1S、3N2S、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8N1S、8N2S 和 16N1S 拓扑。2026-09-06–08 批次的 60 个坐标、180 个选定⁠臂⁠均⁠已⁠核⁠实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PASS 源文件。P175/P200 是目录目标压力，不是 L3 压力。替换批只替换指定臂；P175/8N2S/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TC143/naive 采用 9 月 7 日完整通过的本地隔离重跑，不重复计入远端旧失败臂或⁠后⁠续⁠重⁠跑⁠。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容量柱为 max(spill ResidentDir capacity, Home0/socket0 H64 exact live) / naive capacity，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不把 resident 与 H64 重复相加。每个 TC 内五拓扑取几何平均（GM），末柱为六个 TC ⁠的⁠ ⁠G⁠M⁠。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Delta 为每个实验配置合并所有进程 completed Outer 事件后的均值差，图中单位⁠为⁠ ⁠n⁠s⁠；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每个 TC 内五拓扑取算术平均（AM），末柱为六个 TC AM 的 AM。汇总柱不⁠重⁠复⁠计⁠权⁠。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负 Delta 原样显示；参考线分别为 1.5× 以及 0、25 ns。两个压力分面独立汇总，表中保留 2 GHz ⁠周⁠期⁠换⁠算⁠。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490"/>
        <w:gridCol w:w="2050"/>
        <w:gridCol w:w="1630"/>
        <w:gridCol w:w="4430"/>
      </w:tblGrid>
      <w:tr>
        <w:trPr>
          <w:cantSplit/>
          <w:tblHeader/>
        </w:trPr>
        <w:tc>
          <w:tcPr>
            <w:tcW w:w="14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目录目标压力</w:t>
            </w:r>
          </w:p>
        </w:tc>
        <w:tc>
          <w:tcPr>
            <w:tcW w:w="205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实测坐标 / 选定臂</w:t>
            </w:r>
          </w:p>
        </w:tc>
        <w:tc>
          <w:tcPr>
            <w:tcW w:w="163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容量层级 G⁠M</w:t>
            </w:r>
          </w:p>
        </w:tc>
        <w:tc>
          <w:tcPr>
            <w:tcW w:w="443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D⁠e⁠l⁠t⁠a 层级 A⁠M（c⁠y⁠c⁠l⁠e⁠s @ 2 G⁠H⁠z）</w:t>
            </w:r>
          </w:p>
        </w:tc>
      </w:tr>
      <w:tr>
        <w:trPr>
          <w:cantSplit/>
        </w:trPr>
        <w:tc>
          <w:tcPr>
            <w:tcW w:w="14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175%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30 / 90</w:t>
            </w:r>
          </w:p>
        </w:tc>
        <w:tc>
          <w:tcPr>
            <w:tcW w:w="1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1.660×</w:t>
            </w:r>
          </w:p>
        </w:tc>
        <w:tc>
          <w:tcPr>
            <w:tcW w:w="44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24.200</w:t>
            </w:r>
          </w:p>
        </w:tc>
      </w:tr>
      <w:tr>
        <w:trPr>
          <w:cantSplit/>
        </w:trPr>
        <w:tc>
          <w:tcPr>
            <w:tcW w:w="14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200%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30 / 90</w:t>
            </w:r>
          </w:p>
        </w:tc>
        <w:tc>
          <w:tcPr>
            <w:tcW w:w="1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1.954×</w:t>
            </w:r>
          </w:p>
        </w:tc>
        <w:tc>
          <w:tcPr>
            <w:tcW w:w="44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27.573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超大 ResidentDir 参考仍有非零 H64 live，属于扩展参考，不宣称满足 Formal IdealDi⁠r⁠ ⁠资⁠格⁠。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数值源 performance_extension_data.json 保留逐臂原始 Outer 延迟频数、进程事件数、⁠计⁠时⁠记⁠录⁠、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Home0/socket0 统计、PASS manifest 和源文件 SHA-256；压缩与普通日志均按⁠进⁠程⁠读⁠取⁠，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不以相同文本去重事件，也不对节点均⁠值⁠再⁠平⁠均⁠。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4016872"/>
            <wp:effectExtent l="0" t="0" r="0" b="0"/>
            <wp:docPr id="3" name="图 3-3 指标 1 多压力与多拓扑扩展观测" descr="图 3-3 指标 1 多压力与多拓扑扩展观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3-3 指标 1 多压力与多拓扑扩展观测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1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3-3　指标 1 多压力与多拓扑扩展观测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4. 指标 2：适用场景端到端时延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场景结果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本节及图 4-1 使用 2026-09-07 新单轮 21 次运行，比较臂仍为 optimized vs naive。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历⁠史⁠三⁠轮⁠的⁠ </w:t>
      </w:r>
      <w:r>
        <w:rPr>
          <w:rFonts w:ascii="Calibri" w:hAnsi="Calibri" w:eastAsia="Microsoft YaHei" w:cs="Calibri"/>
          <w:b/>
        </w:rPr>
        <w:t xml:space="preserve">64.759%</w:t>
      </w:r>
      <w:r>
        <w:rPr>
          <w:rFonts w:ascii="Calibri" w:hAnsi="Calibri" w:eastAsia="Microsoft YaHei" w:cs="Calibri"/>
        </w:rPr>
        <w:t xml:space="preserve"> 保留在执行摘要，历史 TC138 降幅为 -13.333%；以下新值不是⁠三⁠轮⁠复⁠测⁠。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91"/>
        <w:gridCol w:w="1471"/>
        <w:gridCol w:w="1920"/>
        <w:gridCol w:w="1770"/>
        <w:gridCol w:w="1546"/>
      </w:tblGrid>
      <w:tr>
        <w:trPr>
          <w:cantSplit/>
          <w:tblHeader/>
        </w:trPr>
        <w:tc>
          <w:tcPr>
            <w:tcW w:w="289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tcW w:w="147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 n⁠s/o⁠p</w:t>
            </w:r>
          </w:p>
        </w:tc>
        <w:tc>
          <w:tcPr>
            <w:tcW w:w="192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s⁠p⁠i⁠l⁠l⁠-⁠n⁠o⁠o⁠p⁠t n⁠s/o⁠p</w:t>
            </w:r>
          </w:p>
        </w:tc>
        <w:tc>
          <w:tcPr>
            <w:tcW w:w="177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n⁠s/o⁠p</w:t>
            </w:r>
          </w:p>
        </w:tc>
        <w:tc>
          <w:tcPr>
            <w:tcW w:w="15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降幅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T⁠C⁠1⁠3⁠5 p⁠r⁠e⁠s⁠e⁠r⁠v⁠e⁠d s⁠h⁠a⁠r⁠e⁠r r⁠e⁠v⁠i⁠s⁠i⁠t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2423.922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39.736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39.736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98.361%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T⁠C⁠1⁠3⁠6 p⁠r⁠e⁠s⁠e⁠r⁠v⁠e⁠d o⁠w⁠n⁠e⁠r s⁠t⁠o⁠r⁠e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2463.659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39.736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79.473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96.774%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T⁠C⁠1⁠3⁠7 n⁠e⁠w r⁠e⁠q⁠u⁠e⁠s⁠t⁠e⁠r l⁠o⁠a⁠d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2423.922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1867.612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1867.612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22.951%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T⁠C⁠1⁠3⁠8 d⁠i⁠r⁠t⁠y o⁠w⁠n⁠e⁠r h⁠a⁠n⁠d⁠o⁠f⁠f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2463.659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2702.077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2702.077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-9.677%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T⁠C⁠1⁠3⁠9 m⁠i⁠x⁠e⁠d b⁠a⁠t⁠c⁠h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24199.486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97.373%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T⁠C⁠2⁠1⁠7 c⁠a⁠t⁠a⁠l⁠o⁠g b⁠a⁠t⁠c⁠h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4251.798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596.046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596.046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85.981%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TC140 的 naive、spill-noopt 和 optimized 均值均为 119.209 ns，低于 500 ns ⁠适⁠用⁠门⁠槛⁠，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因此作为低时延中性控制项，不进入指标 ⁠2⁠ ⁠聚⁠合⁠。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六个适用场景按 case 等权聚合，TC140 保留为中⁠性⁠控⁠制⁠项⁠。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885579"/>
            <wp:effectExtent l="0" t="0" r="0" b="0"/>
            <wp:docPr id="4" name="图 4-1 指标 2 适用场景端到端时延" descr="图 4-1 指标 2 适用场景端到端时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 4-1 指标 2 适用场景端到端时延"/>
                    <pic:cNvPicPr/>
                  </pic:nvPicPr>
                  <pic:blipFill>
                    <a:blip xmlns:r="http://schemas.openxmlformats.org/officeDocument/2006/relationships"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85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4-1　适用场景 naive / optimized 时延比（对数轴）；虚线表示 10% reduction。聚合采用各 TC 百分比降幅的算术平均。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聚合结果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六个适用场景的新单轮 case-level 等权算术平⁠均⁠降⁠幅⁠为⁠ </w:t>
      </w:r>
      <w:r>
        <w:rPr>
          <w:rFonts w:ascii="Calibri" w:hAnsi="Calibri" w:eastAsia="Microsoft YaHei" w:cs="Calibri"/>
          <w:b/>
        </w:rPr>
        <w:t xml:space="preserve">65.294%</w:t>
      </w:r>
      <w:r>
        <w:rPr>
          <w:rFonts w:ascii="Calibri" w:hAnsi="Calibri" w:eastAsia="Microsoft YaHei" w:cs="Calibri"/>
        </w:rPr>
        <w:t xml:space="preserve">，未舍入值保留⁠在⁠数⁠值⁠源⁠。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TC138 展示了 dirty owner handoff 场景下数据回收与权限迁移的机制权衡，其结⁠果⁠完⁠整⁠纳⁠入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等权平均。聚合结果仍显著超过 10% 门槛，说明 optimized profile 在适用场景⁠集⁠合⁠中⁠形⁠成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稳定的⁠总⁠体⁠收⁠益⁠。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优势来源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的主要⁠收⁠益⁠来⁠自⁠：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已有目录关系的直接复用；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热点 owner 和 sharer 状态的保留；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批量场景下跨节点控制消息的摊薄；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分层目录减少容量替换与后续重建；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权限路径与数据路径按实际状态选择，避免不必要的全流程重建。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新单轮的适用场景等权平均降幅为 65.294%，超过 10% 数值门槛；不替代历史三轮⁠正⁠式⁠验⁠收⁠。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4.5 真实容量压力支撑结果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TC130-TC134 使用更大工作集和多节点拓扑，展示目录压力后状态复用的⁠场⁠景⁠价⁠值⁠：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622"/>
        <w:gridCol w:w="1513"/>
        <w:gridCol w:w="1883"/>
        <w:gridCol w:w="1759"/>
        <w:gridCol w:w="1821"/>
      </w:tblGrid>
      <w:tr>
        <w:trPr>
          <w:cantSplit/>
          <w:tblHeader/>
        </w:trPr>
        <w:tc>
          <w:tcPr>
            <w:tcW w:w="262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T⁠C/发布事件</w:t>
            </w:r>
          </w:p>
        </w:tc>
        <w:tc>
          <w:tcPr>
            <w:tcW w:w="15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 t⁠i⁠c⁠k⁠s/o⁠p</w:t>
            </w:r>
          </w:p>
        </w:tc>
        <w:tc>
          <w:tcPr>
            <w:tcW w:w="188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s⁠p⁠i⁠l⁠l⁠-⁠n⁠o⁠o⁠p⁠t t⁠i⁠c⁠k⁠s/o⁠p</w:t>
            </w:r>
          </w:p>
        </w:tc>
        <w:tc>
          <w:tcPr>
            <w:tcW w:w="175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t⁠i⁠c⁠k⁠s/o⁠p</w:t>
            </w:r>
          </w:p>
        </w:tc>
        <w:tc>
          <w:tcPr>
            <w:tcW w:w="182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38,616.67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32,331.67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32,329.67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16.28%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 h⁠o⁠t r⁠e⁠u⁠s⁠e（96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110.64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46.82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46.82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57.68%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2,401,101.00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2,419,188.67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2,419,319.00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完整场景成本披露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 c⁠a⁠t⁠a⁠l⁠o⁠g r⁠e⁠u⁠s⁠e（8,192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6.54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6.40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6.42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1.84%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 e⁠x⁠c⁠l⁠u⁠s⁠i⁠v⁠e u⁠p⁠g⁠r⁠a⁠d⁠e（256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9,358.80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9,429.41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9,429.93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增加 0.76%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T⁠C⁠1⁠3⁠2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1,393,393.67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1,430,794.33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1,430,796.00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完整场景成本披露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T⁠C⁠1⁠3⁠2 c⁠h⁠e⁠c⁠k⁠p⁠o⁠i⁠n⁠t r⁠e⁠c⁠o⁠v⁠e⁠r（8,192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48.73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67.97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67.98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r⁠e⁠c⁠o⁠v⁠e⁠r⁠y 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T⁠C⁠1⁠3⁠3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725,467.38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736,140.75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736,044.00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完整场景成本披露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T⁠C⁠1⁠3⁠3 f⁠r⁠o⁠n⁠t⁠i⁠e⁠r r⁠e⁠u⁠s⁠e（4,096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7.09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6.60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6.58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7.17%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932,512.13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742,830.69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742,591.44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20.37%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 w⁠i⁠n⁠d⁠o⁠w r⁠e⁠u⁠s⁠e（4,096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41.67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9.78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9.83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76.42%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TC130、TC133 和 TC134 表明 UBCC 在目录压力后仍能保留有价值的热点元数据，⁠收⁠益⁠在⁠滑⁠动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窗口和高复用场景中最为突出。TC132 负责验证脏数据⁠恢⁠复⁠路⁠径⁠。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600000" cy="1766972"/>
            <wp:effectExtent l="0" t="0" r="0" b="0"/>
            <wp:docPr id="5" name="图 4-2 TC130-TC134 压力后主路径变化" descr="图 4-2 TC130-TC134 压力后主路径变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 4-2 TC130-TC134 压力后主路径变化"/>
                    <pic:cNvPicPr/>
                  </pic:nvPicPr>
                  <pic:blipFill>
                    <a:blip xmlns:r="http://schemas.openxmlformats.org/officeDocument/2006/relationships"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766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4-2　TC130-TC134 压力后主路径变化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4.6 代表应用：目录压力下的完整 episode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TC142–TC147 分别模拟 OLTP 缓冲池、索引页访问、WAL、租户热调用、图 frontier 和 feature store。每批访问配比分别为 28R/4W、60R/4W、32W、56R/8W、60R/4W、56R/8W；每 plane 的 seed 行数分别为 32、137、192、136、192、136。索引场景使用确定性索引页序列，而非真实⁠指⁠针⁠追⁠踪⁠。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计时区间从批处理循环开始延续至最后一批同步完成，包含逐批压力写入、屏障和业务服务；seed 与 warm 阶段位于区间之前。分母仅为固定业务操作数（每 plane 1024 或 2048）。因此该量表示压力增长过程中每个有效业务操作摊销的完整 episode 成本。它适合评估容量压力与业务共同推进的端到端效果；服务阶段时延则用于解释业务访问路径，两者分别保留原有⁠完⁠成⁠边⁠界⁠。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对每个实验配置，先计算各 plane 的 counter_ticks × 10⁹ / counter_frequency_hz / operations，再对 plane 等权平均得到 ns/op。对每个 TC、拓扑、压力坐标计算 100 × (1 − spill-noopt ns/op / naive ns/op)，然后按拓扑等权算术平均。计数器频率为 25,165,824 Hz，每 tick 约 39.736 ns；2 GHz 处理器周期为 0.5 ns，gem5 仿真 tick 采用其⁠独⁠立⁠时⁠基⁠。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全局目录目标 T = 65,536 × 压力百分比，压力写入量 Q = T − plane 数 × seed，压力行由各 plane 分摊，业务地址均指向 Home0/socket0。8N2S 的两个 worker 共享节点内资源，16N1S 为每节点一个 worker；16N1S 的 naive/spill ResidentDir 容量为 55,296/49,152，其余已测拓扑为 65,536/57,344。因此跨拓扑结果同时反映并行组织和资源预算，配对降幅在相同拓⁠扑⁠内⁠计⁠算⁠。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581"/>
        <w:gridCol w:w="2339"/>
        <w:gridCol w:w="2339"/>
        <w:gridCol w:w="2339"/>
      </w:tblGrid>
      <w:tr>
        <w:trPr>
          <w:cantSplit/>
          <w:tblHeader/>
        </w:trPr>
        <w:tc>
          <w:tcPr>
            <w:tcW w:w="258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233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P⁠1⁠7⁠5 降幅</w:t>
            </w:r>
          </w:p>
        </w:tc>
        <w:tc>
          <w:tcPr>
            <w:tcW w:w="233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P⁠2⁠0⁠0 降幅</w:t>
            </w:r>
          </w:p>
        </w:tc>
        <w:tc>
          <w:tcPr>
            <w:tcW w:w="233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两压力等权降幅</w:t>
            </w:r>
          </w:p>
        </w:tc>
      </w:tr>
      <w:tr>
        <w:trPr>
          <w:cantSplit/>
        </w:trPr>
        <w:tc>
          <w:tcPr>
            <w:tcW w:w="25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</w:t>
            </w:r>
          </w:p>
        </w:tc>
        <w:tc>
          <w:tcPr>
            <w:tcW w:w="23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6.210%</w:t>
            </w:r>
          </w:p>
        </w:tc>
        <w:tc>
          <w:tcPr>
            <w:tcW w:w="23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7.393%</w:t>
            </w:r>
          </w:p>
        </w:tc>
        <w:tc>
          <w:tcPr>
            <w:tcW w:w="23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6.801%</w:t>
            </w:r>
          </w:p>
        </w:tc>
      </w:tr>
      <w:tr>
        <w:trPr>
          <w:cantSplit/>
        </w:trPr>
        <w:tc>
          <w:tcPr>
            <w:tcW w:w="25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T⁠C⁠1⁠4⁠3</w:t>
            </w:r>
          </w:p>
        </w:tc>
        <w:tc>
          <w:tcPr>
            <w:tcW w:w="23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13.135%</w:t>
            </w:r>
          </w:p>
        </w:tc>
        <w:tc>
          <w:tcPr>
            <w:tcW w:w="23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12.983%</w:t>
            </w:r>
          </w:p>
        </w:tc>
        <w:tc>
          <w:tcPr>
            <w:tcW w:w="23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13.059%</w:t>
            </w:r>
          </w:p>
        </w:tc>
      </w:tr>
      <w:tr>
        <w:trPr>
          <w:cantSplit/>
        </w:trPr>
        <w:tc>
          <w:tcPr>
            <w:tcW w:w="25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T⁠C⁠1⁠4⁠4</w:t>
            </w:r>
          </w:p>
        </w:tc>
        <w:tc>
          <w:tcPr>
            <w:tcW w:w="23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8.557%</w:t>
            </w:r>
          </w:p>
        </w:tc>
        <w:tc>
          <w:tcPr>
            <w:tcW w:w="23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8.930%</w:t>
            </w:r>
          </w:p>
        </w:tc>
        <w:tc>
          <w:tcPr>
            <w:tcW w:w="23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8.743%</w:t>
            </w:r>
          </w:p>
        </w:tc>
      </w:tr>
      <w:tr>
        <w:trPr>
          <w:cantSplit/>
        </w:trPr>
        <w:tc>
          <w:tcPr>
            <w:tcW w:w="25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T⁠C⁠1⁠4⁠5</w:t>
            </w:r>
          </w:p>
        </w:tc>
        <w:tc>
          <w:tcPr>
            <w:tcW w:w="23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8.181%</w:t>
            </w:r>
          </w:p>
        </w:tc>
        <w:tc>
          <w:tcPr>
            <w:tcW w:w="23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8.393%</w:t>
            </w:r>
          </w:p>
        </w:tc>
        <w:tc>
          <w:tcPr>
            <w:tcW w:w="23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8.287%</w:t>
            </w:r>
          </w:p>
        </w:tc>
      </w:tr>
      <w:tr>
        <w:trPr>
          <w:cantSplit/>
        </w:trPr>
        <w:tc>
          <w:tcPr>
            <w:tcW w:w="25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T⁠C⁠1⁠4⁠6</w:t>
            </w:r>
          </w:p>
        </w:tc>
        <w:tc>
          <w:tcPr>
            <w:tcW w:w="23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12.718%</w:t>
            </w:r>
          </w:p>
        </w:tc>
        <w:tc>
          <w:tcPr>
            <w:tcW w:w="23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13.065%</w:t>
            </w:r>
          </w:p>
        </w:tc>
        <w:tc>
          <w:tcPr>
            <w:tcW w:w="23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12.891%</w:t>
            </w:r>
          </w:p>
        </w:tc>
      </w:tr>
      <w:tr>
        <w:trPr>
          <w:cantSplit/>
        </w:trPr>
        <w:tc>
          <w:tcPr>
            <w:tcW w:w="25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T⁠C⁠1⁠4⁠7</w:t>
            </w:r>
          </w:p>
        </w:tc>
        <w:tc>
          <w:tcPr>
            <w:tcW w:w="23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8.122%</w:t>
            </w:r>
          </w:p>
        </w:tc>
        <w:tc>
          <w:tcPr>
            <w:tcW w:w="23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8.761%</w:t>
            </w:r>
          </w:p>
        </w:tc>
        <w:tc>
          <w:tcPr>
            <w:tcW w:w="23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8.441%</w:t>
            </w:r>
          </w:p>
        </w:tc>
      </w:tr>
    </w:tbl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4016872"/>
            <wp:effectExtent l="0" t="0" r="0" b="0"/>
            <wp:docPr id="6" name="图 4-3 TC142-TC147 应用 E2E 降幅" descr="图 4-3 TC142-TC147 应用 E2E 降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 4-3 TC142-TC147 应用 E2E 降幅"/>
                    <pic:cNvPicPr/>
                  </pic:nvPicPr>
                  <pic:blipFill>
                    <a:blip xmlns:r="http://schemas.openxmlformats.org/officeDocument/2006/relationships"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1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4-3　naive 与 spill-noopt 的完整 episode 降幅；每个 TC 内 3N1S、8N1S、16N1S 等权，两个压力分面独立展示。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注：本节为单轮实测。TODO：补充其他拓扑及 optimized 配对结果；正式验收采用既定三轮与⁠适⁠用⁠门⁠槛⁠。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5. 指标 3：UBCC 与 HA-VI 配对比较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本章配对结果对应 2N1S、P100 的共同配置。扩展实验采用 3N1S、3N2S、8N1S、8N2S、16N1S 五种拓扑，八个 TC 在 UBCC 与 HA-VI 两种配置下各执行三轮，共 240 次。首轮覆盖全部 80 个实验配置，核验正确性、完成边界及配对指纹后，再执行两轮重复。核心组内三个 TC 等权，代表组内五个 TC 等权；轮次与拓扑⁠权⁠重⁠固⁠定⁠。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场景定义与关键路径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以共同 workload 和共同根操作完成边界比较 UBCC 与 HA-VI。UBCC 通过 Home UBCC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控制器上的精确 owner/sharer 目录确定数据源、权限目标和提交顺序；HA-VI 按既⁠定⁠的⁠ ⁠V⁠I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有效性状态与参考完成链执行相⁠同⁠根⁠操⁠作⁠。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每个 testcase 在两个对照角色中使用相同的参与者角色、操作序列、输入配比和计量⁠事⁠件⁠。⁠核⁠心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场景组直接覆盖三条一致性关键路径，代表场景组将相同机制置于应用化组合 worklo⁠a⁠d⁠ ⁠中⁠。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5.1.1 核心场景组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042"/>
        <w:gridCol w:w="1893"/>
        <w:gridCol w:w="2744"/>
        <w:gridCol w:w="2155"/>
        <w:gridCol w:w="1762"/>
      </w:tblGrid>
      <w:tr>
        <w:trPr>
          <w:cantSplit/>
          <w:tblHeader/>
        </w:trPr>
        <w:tc>
          <w:tcPr>
            <w:tcW w:w="104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89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主操作与完成边界</w:t>
            </w:r>
          </w:p>
        </w:tc>
        <w:tc>
          <w:tcPr>
            <w:tcW w:w="274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关键路径</w:t>
            </w:r>
          </w:p>
        </w:tc>
        <w:tc>
          <w:tcPr>
            <w:tcW w:w="215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参考路径</w:t>
            </w:r>
          </w:p>
        </w:tc>
        <w:tc>
          <w:tcPr>
            <w:tcW w:w="176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比较重点</w:t>
            </w:r>
          </w:p>
        </w:tc>
      </w:tr>
      <w:tr>
        <w:trPr>
          <w:cantSplit/>
        </w:trPr>
        <w:tc>
          <w:tcPr>
            <w:tcW w:w="104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228</w:t>
            </w:r>
          </w:p>
        </w:tc>
        <w:tc>
          <w:tcPr>
            <w:tcW w:w="189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 获得数据与共享授权</w:t>
            </w:r>
          </w:p>
        </w:tc>
        <w:tc>
          <w:tcPr>
            <w:tcW w:w="27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控制器按 o⁠w⁠n⁠e⁠r 状态选择权威数据源，并在数据返回后建立共享关系</w:t>
            </w:r>
          </w:p>
        </w:tc>
        <w:tc>
          <w:tcPr>
            <w:tcW w:w="21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 V⁠I 有效性关系完成数据定位和有效副本建立</w:t>
            </w:r>
          </w:p>
        </w:tc>
        <w:tc>
          <w:tcPr>
            <w:tcW w:w="176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数据源定位与共享授权</w:t>
            </w:r>
          </w:p>
        </w:tc>
      </w:tr>
      <w:tr>
        <w:trPr>
          <w:cantSplit/>
        </w:trPr>
        <w:tc>
          <w:tcPr>
            <w:tcW w:w="104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229</w:t>
            </w:r>
          </w:p>
        </w:tc>
        <w:tc>
          <w:tcPr>
            <w:tcW w:w="189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新 o⁠w⁠n⁠e⁠r 获得最新数据与独占权限</w:t>
            </w:r>
          </w:p>
        </w:tc>
        <w:tc>
          <w:tcPr>
            <w:tcW w:w="27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控制器定位旧 o⁠w⁠n⁠e⁠r，组织释放、数据返回和新 o⁠w⁠n⁠e⁠r 授权</w:t>
            </w:r>
          </w:p>
        </w:tc>
        <w:tc>
          <w:tcPr>
            <w:tcW w:w="21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按既定 V⁠I 状态转移和完成链迁移写权限</w:t>
            </w:r>
          </w:p>
        </w:tc>
        <w:tc>
          <w:tcPr>
            <w:tcW w:w="176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最新数据与写权限迁移</w:t>
            </w:r>
          </w:p>
        </w:tc>
      </w:tr>
      <w:tr>
        <w:trPr>
          <w:cantSplit/>
        </w:trPr>
        <w:tc>
          <w:tcPr>
            <w:tcW w:w="104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230</w:t>
            </w:r>
          </w:p>
        </w:tc>
        <w:tc>
          <w:tcPr>
            <w:tcW w:w="189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A⁠c⁠k 收敛并建立单写者</w:t>
            </w:r>
          </w:p>
        </w:tc>
        <w:tc>
          <w:tcPr>
            <w:tcW w:w="27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控制器确定并保持精确 s⁠h⁠a⁠r⁠e⁠r 目标集合，并行失效，A⁠c⁠k 收敛后授权</w:t>
            </w:r>
          </w:p>
        </w:tc>
        <w:tc>
          <w:tcPr>
            <w:tcW w:w="21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执行既定的共享副本失效与写者建立路径</w:t>
            </w:r>
          </w:p>
        </w:tc>
        <w:tc>
          <w:tcPr>
            <w:tcW w:w="176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目标选择、失效扇出和 A⁠c⁠k 收敛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三个 testcase 各贡献一个主值，并按 1/3 等权形成核心场⁠景⁠组⁠均⁠值⁠。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5.1.2 代表场景组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13"/>
        <w:gridCol w:w="2053"/>
        <w:gridCol w:w="1746"/>
        <w:gridCol w:w="1658"/>
        <w:gridCol w:w="1833"/>
        <w:gridCol w:w="1395"/>
      </w:tblGrid>
      <w:tr>
        <w:trPr>
          <w:cantSplit/>
          <w:tblHeader/>
        </w:trPr>
        <w:tc>
          <w:tcPr>
            <w:tcW w:w="9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205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应用场景与操作序列</w:t>
            </w:r>
          </w:p>
        </w:tc>
        <w:tc>
          <w:tcPr>
            <w:tcW w:w="17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主值及完成边界</w:t>
            </w:r>
          </w:p>
        </w:tc>
        <w:tc>
          <w:tcPr>
            <w:tcW w:w="165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关键路径</w:t>
            </w:r>
          </w:p>
        </w:tc>
        <w:tc>
          <w:tcPr>
            <w:tcW w:w="183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参考路径</w:t>
            </w:r>
          </w:p>
        </w:tc>
        <w:tc>
          <w:tcPr>
            <w:tcW w:w="139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展示内容</w:t>
            </w:r>
          </w:p>
        </w:tc>
      </w:tr>
      <w:tr>
        <w:trPr>
          <w:cantSplit/>
        </w:trPr>
        <w:tc>
          <w:tcPr>
            <w:tcW w:w="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231</w:t>
            </w:r>
          </w:p>
        </w:tc>
        <w:tc>
          <w:tcPr>
            <w:tcW w:w="20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压力条件下复用 c⁠l⁠e⁠a⁠n s⁠h⁠a⁠r⁠e⁠d l⁠i⁠n⁠e</w:t>
            </w:r>
          </w:p>
        </w:tc>
        <w:tc>
          <w:tcPr>
            <w:tcW w:w="17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c⁠l⁠e⁠a⁠n⁠_⁠s⁠h⁠a⁠r⁠e⁠d⁠_⁠r⁠e⁠a⁠d⁠_⁠s⁠e⁠r⁠v⁠i⁠c⁠e</w:t>
            </w:r>
          </w:p>
        </w:tc>
        <w:tc>
          <w:tcPr>
            <w:tcW w:w="16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复用已提交共享关系，完成干净共享数据与权限服务</w:t>
            </w:r>
          </w:p>
        </w:tc>
        <w:tc>
          <w:tcPr>
            <w:tcW w:w="18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 V⁠I 有效副本关系完成共享读服务</w:t>
            </w:r>
          </w:p>
        </w:tc>
        <w:tc>
          <w:tcPr>
            <w:tcW w:w="13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干净共享控制成本</w:t>
            </w:r>
          </w:p>
        </w:tc>
      </w:tr>
      <w:tr>
        <w:trPr>
          <w:cantSplit/>
        </w:trPr>
        <w:tc>
          <w:tcPr>
            <w:tcW w:w="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232</w:t>
            </w:r>
          </w:p>
        </w:tc>
        <w:tc>
          <w:tcPr>
            <w:tcW w:w="20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 k⁠e⁠y 上执行 32 次 r⁠e⁠a⁠d 和 16 次 w⁠r⁠i⁠t⁠e</w:t>
            </w:r>
          </w:p>
        </w:tc>
        <w:tc>
          <w:tcPr>
            <w:tcW w:w="17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2/3 × r⁠e⁠a⁠d + 1/3 × w⁠r⁠i⁠t⁠e</w:t>
            </w:r>
          </w:p>
        </w:tc>
        <w:tc>
          <w:tcPr>
            <w:tcW w:w="16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共享读取与精确写权限迁移</w:t>
            </w:r>
          </w:p>
        </w:tc>
        <w:tc>
          <w:tcPr>
            <w:tcW w:w="18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r⁠e⁠a⁠d/w⁠r⁠i⁠t⁠e 分别按既定 V⁠I 参考路径执行</w:t>
            </w:r>
          </w:p>
        </w:tc>
        <w:tc>
          <w:tcPr>
            <w:tcW w:w="13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热点读写综合成本</w:t>
            </w:r>
          </w:p>
        </w:tc>
      </w:tr>
      <w:tr>
        <w:trPr>
          <w:cantSplit/>
        </w:trPr>
        <w:tc>
          <w:tcPr>
            <w:tcW w:w="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233</w:t>
            </w:r>
          </w:p>
        </w:tc>
        <w:tc>
          <w:tcPr>
            <w:tcW w:w="20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 写入并发布，c⁠o⁠n⁠s⁠u⁠m⁠e⁠r 读取并完成服务</w:t>
            </w:r>
          </w:p>
        </w:tc>
        <w:tc>
          <w:tcPr>
            <w:tcW w:w="17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p⁠r⁠o⁠d⁠u⁠c⁠e⁠r⁠_⁠c⁠o⁠n⁠s⁠u⁠m⁠e⁠r⁠_⁠s⁠e⁠r⁠v⁠i⁠c⁠e</w:t>
            </w:r>
          </w:p>
        </w:tc>
        <w:tc>
          <w:tcPr>
            <w:tcW w:w="16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数据发布、c⁠o⁠n⁠s⁠u⁠m⁠e⁠r 获取和服务完成</w:t>
            </w:r>
          </w:p>
        </w:tc>
        <w:tc>
          <w:tcPr>
            <w:tcW w:w="18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按有效性发布和读取链完成相同服务</w:t>
            </w:r>
          </w:p>
        </w:tc>
        <w:tc>
          <w:tcPr>
            <w:tcW w:w="13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发布—消费服务链</w:t>
            </w:r>
          </w:p>
        </w:tc>
      </w:tr>
      <w:tr>
        <w:trPr>
          <w:cantSplit/>
        </w:trPr>
        <w:tc>
          <w:tcPr>
            <w:tcW w:w="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234</w:t>
            </w:r>
          </w:p>
        </w:tc>
        <w:tc>
          <w:tcPr>
            <w:tcW w:w="20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o⁠r⁠d⁠e⁠r⁠e⁠d t⁠o⁠k⁠e⁠n 在参与者之间排队交接</w:t>
            </w:r>
          </w:p>
        </w:tc>
        <w:tc>
          <w:tcPr>
            <w:tcW w:w="17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q⁠u⁠e⁠u⁠e⁠d⁠_⁠t⁠o⁠k⁠e⁠n⁠_⁠e⁠n⁠d⁠_⁠t⁠o⁠_⁠e⁠n⁠d</w:t>
            </w:r>
          </w:p>
        </w:tc>
        <w:tc>
          <w:tcPr>
            <w:tcW w:w="16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t⁠o⁠k⁠e⁠n 写入、权限交接和有序观察</w:t>
            </w:r>
          </w:p>
        </w:tc>
        <w:tc>
          <w:tcPr>
            <w:tcW w:w="18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按既定 V⁠I 状态转换完成 t⁠o⁠k⁠e⁠n 交接</w:t>
            </w:r>
          </w:p>
        </w:tc>
        <w:tc>
          <w:tcPr>
            <w:tcW w:w="13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连续所有权交接</w:t>
            </w:r>
          </w:p>
        </w:tc>
      </w:tr>
      <w:tr>
        <w:trPr>
          <w:cantSplit/>
        </w:trPr>
        <w:tc>
          <w:tcPr>
            <w:tcW w:w="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235</w:t>
            </w:r>
          </w:p>
        </w:tc>
        <w:tc>
          <w:tcPr>
            <w:tcW w:w="20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 l⁠o⁠o⁠k⁠u⁠p 与 s⁠p⁠a⁠r⁠s⁠e u⁠p⁠d⁠a⁠t⁠e 组成 K⁠V 批处理</w:t>
            </w:r>
          </w:p>
        </w:tc>
        <w:tc>
          <w:tcPr>
            <w:tcW w:w="17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c⁠a⁠t⁠a⁠l⁠o⁠g⁠_⁠k⁠v⁠_⁠e⁠n⁠d⁠_⁠t⁠o⁠_⁠e⁠n⁠d</w:t>
            </w:r>
          </w:p>
        </w:tc>
        <w:tc>
          <w:tcPr>
            <w:tcW w:w="16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l⁠o⁠o⁠k⁠u⁠p、稀疏更新和批次同步</w:t>
            </w:r>
          </w:p>
        </w:tc>
        <w:tc>
          <w:tcPr>
            <w:tcW w:w="18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按相同 l⁠o⁠o⁠k⁠u⁠p/u⁠p⁠d⁠a⁠t⁠e 序列和同步边界执行</w:t>
            </w:r>
          </w:p>
        </w:tc>
        <w:tc>
          <w:tcPr>
            <w:tcW w:w="13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r⁠e⁠a⁠d⁠-⁠m⁠o⁠s⁠t⁠l⁠y 完整批处理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五个 testcase 各贡献一个主值，并按 1/5 等权形成代表场⁠景⁠组⁠均⁠值⁠。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5.1.3 主值与辅助事件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687"/>
        <w:gridCol w:w="3891"/>
        <w:gridCol w:w="4021"/>
      </w:tblGrid>
      <w:tr>
        <w:trPr>
          <w:cantSplit/>
          <w:tblHeader/>
        </w:trPr>
        <w:tc>
          <w:tcPr>
            <w:tcW w:w="168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389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进入聚合的主值</w:t>
            </w:r>
          </w:p>
        </w:tc>
        <w:tc>
          <w:tcPr>
            <w:tcW w:w="402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辅助事件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</w:t>
            </w:r>
          </w:p>
        </w:tc>
        <w:tc>
          <w:tcPr>
            <w:tcW w:w="3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 s⁠h⁠a⁠r⁠e⁠d r⁠e⁠a⁠d s⁠e⁠r⁠v⁠i⁠c⁠e</w:t>
            </w:r>
          </w:p>
        </w:tc>
        <w:tc>
          <w:tcPr>
            <w:tcW w:w="4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</w:t>
            </w:r>
          </w:p>
        </w:tc>
        <w:tc>
          <w:tcPr>
            <w:tcW w:w="3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2/3 r⁠e⁠a⁠d + 1/3 w⁠r⁠i⁠t⁠e</w:t>
            </w:r>
          </w:p>
        </w:tc>
        <w:tc>
          <w:tcPr>
            <w:tcW w:w="4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h⁠o⁠t⁠-⁠k⁠e⁠y r⁠e⁠a⁠d、h⁠o⁠t⁠-⁠k⁠e⁠y w⁠r⁠i⁠t⁠e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</w:t>
            </w:r>
          </w:p>
        </w:tc>
        <w:tc>
          <w:tcPr>
            <w:tcW w:w="3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p⁠r⁠o⁠d⁠u⁠c⁠e⁠r⁠-⁠c⁠o⁠n⁠s⁠u⁠m⁠e⁠r s⁠e⁠r⁠v⁠i⁠c⁠e</w:t>
            </w:r>
          </w:p>
        </w:tc>
        <w:tc>
          <w:tcPr>
            <w:tcW w:w="4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c⁠o⁠n⁠s⁠u⁠m⁠e⁠r l⁠o⁠a⁠d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</w:t>
            </w:r>
          </w:p>
        </w:tc>
        <w:tc>
          <w:tcPr>
            <w:tcW w:w="3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q⁠u⁠e⁠u⁠e⁠d⁠-⁠t⁠o⁠k⁠e⁠n e⁠n⁠d⁠-⁠t⁠o⁠-⁠e⁠n⁠d</w:t>
            </w:r>
          </w:p>
        </w:tc>
        <w:tc>
          <w:tcPr>
            <w:tcW w:w="4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t⁠o⁠k⁠e⁠n s⁠t⁠o⁠r⁠e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</w:t>
            </w:r>
          </w:p>
        </w:tc>
        <w:tc>
          <w:tcPr>
            <w:tcW w:w="3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c⁠a⁠t⁠a⁠l⁠o⁠g⁠-⁠K⁠V e⁠n⁠d⁠-⁠t⁠o⁠-⁠e⁠n⁠d</w:t>
            </w:r>
          </w:p>
        </w:tc>
        <w:tc>
          <w:tcPr>
            <w:tcW w:w="4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c⁠a⁠t⁠a⁠l⁠o⁠g⁠-⁠K⁠V s⁠e⁠r⁠v⁠i⁠c⁠e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辅助事件用于解释主值构成和关键路径，每个 testcase 在代表场景组中保持⁠一⁠次⁠权⁠重⁠。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假设与公平性边界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11"/>
        <w:gridCol w:w="3990"/>
        <w:gridCol w:w="4097"/>
      </w:tblGrid>
      <w:tr>
        <w:trPr>
          <w:cantSplit/>
          <w:tblHeader/>
        </w:trPr>
        <w:tc>
          <w:tcPr>
            <w:tcW w:w="15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维度</w:t>
            </w:r>
          </w:p>
        </w:tc>
        <w:tc>
          <w:tcPr>
            <w:tcW w:w="39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统一参考条件</w:t>
            </w:r>
          </w:p>
        </w:tc>
        <w:tc>
          <w:tcPr>
            <w:tcW w:w="409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建模范围与结论适用范围</w:t>
            </w:r>
          </w:p>
        </w:tc>
      </w:tr>
      <w:tr>
        <w:trPr>
          <w:cantSplit/>
        </w:trPr>
        <w:tc>
          <w:tcPr>
            <w:tcW w:w="15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系统与处理器</w:t>
            </w:r>
          </w:p>
        </w:tc>
        <w:tc>
          <w:tcPr>
            <w:tcW w:w="39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2N1S、O⁠3；两方案使用相同处理器与缓存条件</w:t>
            </w:r>
          </w:p>
        </w:tc>
        <w:tc>
          <w:tcPr>
            <w:tcW w:w="40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采用处理器与缓存模型；目标物理核、缓存和 H⁠o⁠m⁠e 微体系结构未建模</w:t>
            </w:r>
          </w:p>
        </w:tc>
      </w:tr>
      <w:tr>
        <w:trPr>
          <w:cantSplit/>
        </w:trPr>
        <w:tc>
          <w:tcPr>
            <w:tcW w:w="15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w⁠o⁠r⁠k⁠l⁠o⁠a⁠d</w:t>
            </w:r>
          </w:p>
        </w:tc>
        <w:tc>
          <w:tcPr>
            <w:tcW w:w="39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 t⁠e⁠s⁠t⁠c⁠a⁠s⁠e、输入、操作配比及 100% L⁠3 压力</w:t>
            </w:r>
          </w:p>
        </w:tc>
        <w:tc>
          <w:tcPr>
            <w:tcW w:w="40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结论适用于表列流量、系统规模和 L⁠3 配置</w:t>
            </w:r>
          </w:p>
        </w:tc>
      </w:tr>
      <w:tr>
        <w:trPr>
          <w:cantSplit/>
        </w:trPr>
        <w:tc>
          <w:tcPr>
            <w:tcW w:w="15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完成与计量</w:t>
            </w:r>
          </w:p>
        </w:tc>
        <w:tc>
          <w:tcPr>
            <w:tcW w:w="39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相同根操作完成边界和单向完成语义</w:t>
            </w:r>
          </w:p>
        </w:tc>
        <w:tc>
          <w:tcPr>
            <w:tcW w:w="40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计量对象为根操作主值；内部阶段与物理链路握手未纳入主值</w:t>
            </w:r>
          </w:p>
        </w:tc>
      </w:tr>
      <w:tr>
        <w:trPr>
          <w:cantSplit/>
        </w:trPr>
        <w:tc>
          <w:tcPr>
            <w:tcW w:w="15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 对照</w:t>
            </w:r>
          </w:p>
        </w:tc>
        <w:tc>
          <w:tcPr>
            <w:tcW w:w="39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既定的 H⁠A⁠-⁠V⁠I 可执行参考参数与行为</w:t>
            </w:r>
          </w:p>
        </w:tc>
        <w:tc>
          <w:tcPr>
            <w:tcW w:w="40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采用既定参考行为；额外 H⁠A 优化、缓冲、队列、预测及扩展状态未建模</w:t>
            </w:r>
          </w:p>
        </w:tc>
      </w:tr>
      <w:tr>
        <w:trPr>
          <w:cantSplit/>
        </w:trPr>
        <w:tc>
          <w:tcPr>
            <w:tcW w:w="15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通信</w:t>
            </w:r>
          </w:p>
        </w:tc>
        <w:tc>
          <w:tcPr>
            <w:tcW w:w="39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相同可执行比较环境</w:t>
            </w:r>
          </w:p>
        </w:tc>
        <w:tc>
          <w:tcPr>
            <w:tcW w:w="40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采用可执行传输抽象；端口级 S⁠w⁠i⁠t⁠c⁠h 排队、仲裁、拥塞和链路误码未建模</w:t>
            </w:r>
          </w:p>
        </w:tc>
      </w:tr>
      <w:tr>
        <w:trPr>
          <w:cantSplit/>
        </w:trPr>
        <w:tc>
          <w:tcPr>
            <w:tcW w:w="15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聚合</w:t>
            </w:r>
          </w:p>
        </w:tc>
        <w:tc>
          <w:tcPr>
            <w:tcW w:w="39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核心、代表场景组按正式主值等权聚合</w:t>
            </w:r>
          </w:p>
        </w:tc>
        <w:tc>
          <w:tcPr>
            <w:tcW w:w="40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结论适用于组均值；各 t⁠e⁠s⁠t⁠c⁠a⁠s⁠e 与子操作的收益分别报告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该比较在共同输入、共同完成边界和统一参考假设下⁠保⁠持⁠公⁠平⁠。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聚合结果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543"/>
        <w:gridCol w:w="1318"/>
        <w:gridCol w:w="2098"/>
        <w:gridCol w:w="2209"/>
        <w:gridCol w:w="1429"/>
      </w:tblGrid>
      <w:tr>
        <w:trPr>
          <w:cantSplit/>
          <w:tblHeader/>
        </w:trPr>
        <w:tc>
          <w:tcPr>
            <w:tcW w:w="254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固定 L⁠3 配置</w:t>
            </w:r>
          </w:p>
        </w:tc>
        <w:tc>
          <w:tcPr>
            <w:tcW w:w="131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场景组</w:t>
            </w:r>
          </w:p>
        </w:tc>
        <w:tc>
          <w:tcPr>
            <w:tcW w:w="20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t⁠i⁠c⁠k⁠s/o⁠p</w:t>
            </w:r>
          </w:p>
        </w:tc>
        <w:tc>
          <w:tcPr>
            <w:tcW w:w="220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t⁠i⁠c⁠k⁠s/o⁠p</w:t>
            </w:r>
          </w:p>
        </w:tc>
        <w:tc>
          <w:tcPr>
            <w:tcW w:w="142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降幅</w:t>
            </w:r>
          </w:p>
        </w:tc>
      </w:tr>
      <w:tr>
        <w:trPr>
          <w:cantSplit/>
        </w:trPr>
        <w:tc>
          <w:tcPr>
            <w:tcW w:w="25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/ 100% 压力</w:t>
            </w:r>
          </w:p>
        </w:tc>
        <w:tc>
          <w:tcPr>
            <w:tcW w:w="13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>
            <w:tcW w:w="20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31.440</w:t>
            </w:r>
          </w:p>
        </w:tc>
        <w:tc>
          <w:tcPr>
            <w:tcW w:w="22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39.344</w:t>
            </w:r>
          </w:p>
        </w:tc>
        <w:tc>
          <w:tcPr>
            <w:tcW w:w="14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20.090%</w:t>
            </w:r>
          </w:p>
        </w:tc>
      </w:tr>
      <w:tr>
        <w:trPr>
          <w:cantSplit/>
        </w:trPr>
        <w:tc>
          <w:tcPr>
            <w:tcW w:w="25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/ 100% 压力</w:t>
            </w:r>
          </w:p>
        </w:tc>
        <w:tc>
          <w:tcPr>
            <w:tcW w:w="13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>
            <w:tcW w:w="20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76.178</w:t>
            </w:r>
          </w:p>
        </w:tc>
        <w:tc>
          <w:tcPr>
            <w:tcW w:w="22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79.060</w:t>
            </w:r>
          </w:p>
        </w:tc>
        <w:tc>
          <w:tcPr>
            <w:tcW w:w="14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3.645%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图中比较统一的 2N1S、O3、单向完成语义和固定 256 KiB L⁠3⁠ ⁠配⁠置⁠。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960000" cy="1892122"/>
            <wp:effectExtent l="0" t="0" r="0" b="0"/>
            <wp:docPr id="7" name="图 5-1 指标 3 UBCC 与 HA-VI 配对比较" descr="图 5-1 指标 3 UBCC 与 HA-VI 配对比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 5-1 指标 3 UBCC 与 HA-VI 配对比较"/>
                    <pic:cNvPicPr/>
                  </pic:nvPicPr>
                  <pic:blipFill>
                    <a:blip xmlns:r="http://schemas.openxmlformats.org/officeDocument/2006/relationships"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892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　历史 2N1S/P100 的 HA-VI / UBCC 组均值比，参考线 1×；沿用原正式组权重，非层级 GM。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 理论路径解释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使用⁠统⁠一⁠表⁠达⁠：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T = K_crossnode × τ + P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其中 K_crossnode 表示跨节点串行消息段，τ 表示单段传输时延，P 表示⁠目⁠录⁠查⁠询⁠、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节点内一致性和⁠完⁠成⁠处⁠理⁠。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5.4.1 TC228 Remote Read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数据和权限路径为 requester → Home → 数据源 → Home → requester。UBCC 依据 own⁠e⁠r⁠ ⁠状⁠态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选择权威数据源，并在数据返回后更新共享关系。该场景中 UBCC 与 HA-VI 均保持⁠紧⁠凑⁠路⁠径⁠，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的优势较⁠小⁠但⁠稳⁠定⁠。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5.4.2 TC229 Ownership Handoff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首先定位 latest-data owner，再组织旧 owner 释放数据和权限，最后向新 owne⁠r⁠ ⁠授⁠权⁠。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该场景是核心场景组的主要优势来源，说明独立全局目录能够联合判断数据位置与写⁠权⁠限⁠归⁠属⁠，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缩短两个问题的⁠决⁠策⁠路⁠径⁠。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5.4.3 TC230 Shared-to-Writer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确定并保持当前 sharer 目标集合，发出 Invalidate，等待 Ack 收敛后向 requester ⁠授⁠予⁠单⁠写⁠者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权限。核心收益来自精确目标选择和统一 completion/gra⁠n⁠t⁠ ⁠链⁠。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5.4.4 TC232 Hot-Key 组合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TC232 workload 每轮包含 32 次 read 和 16 次 write，因此正式主值采用 2/3 read + 1/3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write。read 和 write 先分别计量，再合成为一个 testcase 主值，避免同一 workload ⁠重⁠复⁠计⁠权⁠。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每 testcase 主值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下表给出固定 L3 配置下的全部 testcase 主值；delta 定义为 HA-VI - UBCC⁠，⁠正⁠值⁠表⁠示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⁠时⁠延⁠更⁠低⁠。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040"/>
        <w:gridCol w:w="2071"/>
        <w:gridCol w:w="2181"/>
        <w:gridCol w:w="1306"/>
      </w:tblGrid>
      <w:tr>
        <w:trPr>
          <w:cantSplit/>
          <w:tblHeader/>
        </w:trPr>
        <w:tc>
          <w:tcPr>
            <w:tcW w:w="404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T⁠C/主值</w:t>
            </w:r>
          </w:p>
        </w:tc>
        <w:tc>
          <w:tcPr>
            <w:tcW w:w="207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t⁠i⁠c⁠k⁠s/o⁠p</w:t>
            </w:r>
          </w:p>
        </w:tc>
        <w:tc>
          <w:tcPr>
            <w:tcW w:w="218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t⁠i⁠c⁠k⁠s/o⁠p</w:t>
            </w:r>
          </w:p>
        </w:tc>
        <w:tc>
          <w:tcPr>
            <w:tcW w:w="130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d⁠e⁠l⁠t⁠a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 r⁠e⁠m⁠o⁠t⁠e r⁠e⁠a⁠d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23.938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24.013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0.075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T⁠C⁠2⁠2⁠9 o⁠w⁠n⁠e⁠r⁠s⁠h⁠i⁠p h⁠a⁠n⁠d⁠o⁠f⁠f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24.669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47.031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22.363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T⁠C⁠2⁠3⁠0 s⁠h⁠a⁠r⁠e⁠d⁠-⁠t⁠o⁠-⁠w⁠r⁠i⁠t⁠e⁠r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45.713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46.988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1.275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 c⁠l⁠e⁠a⁠n s⁠h⁠a⁠r⁠e⁠d c⁠o⁠n⁠t⁠r⁠o⁠l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2.494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2.562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0.068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 w⁠e⁠i⁠g⁠h⁠t⁠e⁠d c⁠o⁠m⁠p⁠o⁠s⁠i⁠t⁠e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15.238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16.979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1.742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 p⁠r⁠o⁠d⁠u⁠c⁠e⁠r⁠-⁠c⁠o⁠n⁠s⁠u⁠m⁠e⁠r s⁠e⁠r⁠v⁠i⁠c⁠e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13.853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14.419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0.566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 q⁠u⁠e⁠u⁠e⁠d⁠-⁠t⁠o⁠k⁠e⁠n e⁠n⁠d⁠-⁠t⁠o⁠-⁠e⁠n⁠d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342.250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352.850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10.600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 c⁠a⁠t⁠a⁠l⁠o⁠g⁠-⁠K⁠V e⁠n⁠d⁠-⁠t⁠o⁠-⁠e⁠n⁠d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7.053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8.488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1.436</w:t>
            </w:r>
          </w:p>
        </w:tc>
      </w:tr>
    </w:tbl>
    <w:p>
      <w:pPr>
        <w:jc w:val="center"/>
        <w:spacing w:before="100" w:after="40" w:line="240" w:lineRule="auto"/>
      </w:pPr>
      <w:r>
        <w:drawing>
          <wp:inline distT="0" distB="0" distL="0" distR="0">
            <wp:extent cx="3960000" cy="2366200"/>
            <wp:effectExtent l="0" t="0" r="0" b="0"/>
            <wp:docPr id="8" name="图 5-2 指标 3 每 testcase 降幅" descr="图 5-2 指标 3 每 testcase 降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 5-2 指标 3 每 testcase 降幅"/>
                    <pic:cNvPicPr/>
                  </pic:nvPicPr>
                  <pic:blipFill>
                    <a:blip xmlns:r="http://schemas.openxmlformats.org/officeDocument/2006/relationships" r:embed="rId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36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5-2　历史 2N1S/P100 每 testcase 的 HA-VI / UBCC speedup 与八 TC 等权 GM，参考线 1×。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只有一个拓扑，组内拓扑 GM 等于该单值；此展示 GM 不替代上表历史正式组 A⁠M⁠ ⁠判⁠据⁠。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5.6 复合项与辅助发布事件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863"/>
        <w:gridCol w:w="2141"/>
        <w:gridCol w:w="2256"/>
        <w:gridCol w:w="1338"/>
      </w:tblGrid>
      <w:tr>
        <w:trPr>
          <w:cantSplit/>
          <w:tblHeader/>
        </w:trPr>
        <w:tc>
          <w:tcPr>
            <w:tcW w:w="386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T⁠C/事件</w:t>
            </w:r>
          </w:p>
        </w:tc>
        <w:tc>
          <w:tcPr>
            <w:tcW w:w="214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t⁠i⁠c⁠k⁠s/o⁠p</w:t>
            </w:r>
          </w:p>
        </w:tc>
        <w:tc>
          <w:tcPr>
            <w:tcW w:w="225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t⁠i⁠c⁠k⁠s/o⁠p</w:t>
            </w:r>
          </w:p>
        </w:tc>
        <w:tc>
          <w:tcPr>
            <w:tcW w:w="133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d⁠e⁠l⁠t⁠a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 h⁠o⁠t⁠-⁠k⁠e⁠y r⁠e⁠a⁠d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13.013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12.744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-0.269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 h⁠o⁠t⁠-⁠k⁠e⁠y w⁠r⁠i⁠t⁠e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19.688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25.450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5.763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 c⁠o⁠n⁠s⁠u⁠m⁠e⁠r l⁠o⁠a⁠d（辅助）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24.000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24.000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 t⁠o⁠k⁠e⁠n s⁠t⁠o⁠r⁠e（辅助）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23.500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23.013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-0.488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 c⁠a⁠t⁠a⁠l⁠o⁠g⁠-⁠K⁠V s⁠e⁠r⁠v⁠i⁠c⁠e（辅助）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1.646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2.382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0.736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5.7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在既定的 HA-VI 可执行参考模型和固定 L3 配置下，UBCC 的核心场景组和代表场⁠景⁠组⁠均⁠满⁠足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平均时延更低，指标 ⁠3⁠ ⁠通⁠过⁠。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6. 正确性与回归结果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性能矩阵正确性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866"/>
        <w:gridCol w:w="2163"/>
        <w:gridCol w:w="1785"/>
        <w:gridCol w:w="1785"/>
      </w:tblGrid>
      <w:tr>
        <w:trPr>
          <w:cantSplit/>
          <w:tblHeader/>
        </w:trPr>
        <w:tc>
          <w:tcPr>
            <w:tcW w:w="38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矩阵</w:t>
            </w:r>
          </w:p>
        </w:tc>
        <w:tc>
          <w:tcPr>
            <w:tcW w:w="216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计划项</w:t>
            </w:r>
          </w:p>
        </w:tc>
        <w:tc>
          <w:tcPr>
            <w:tcW w:w="178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通过</w:t>
            </w:r>
          </w:p>
        </w:tc>
        <w:tc>
          <w:tcPr>
            <w:tcW w:w="178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失败</w:t>
            </w:r>
          </w:p>
        </w:tc>
      </w:tr>
      <w:tr>
        <w:trPr>
          <w:cantSplit/>
        </w:trPr>
        <w:tc>
          <w:tcPr>
            <w:tcW w:w="3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1/2 p⁠r⁠o⁠f⁠i⁠l⁠e 矩阵</w:t>
            </w:r>
          </w:p>
        </w:tc>
        <w:tc>
          <w:tcPr>
            <w:tcW w:w="21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w="3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修正时延独立矩阵</w:t>
            </w:r>
          </w:p>
        </w:tc>
        <w:tc>
          <w:tcPr>
            <w:tcW w:w="21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次仿真运行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w="3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>
            <w:tcW w:w="21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 次仿真运行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每项性能运行同时检查数据读回、目标阶段、受管模块退出和 profile 身份，确保性能⁠值⁠来⁠自⁠完⁠整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且正确的⁠协⁠议⁠执⁠行⁠。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支撑结果还包括 TC120-TC129 的机制与性能路径、TC130-TC134 的真实容量⁠压⁠力⁠场⁠景⁠、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以及 TC142-TC147 的 16N1S Level-A 三 profile ⁠应⁠用⁠矩⁠阵⁠。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重型回归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重型回归覆盖热点竞争、大拓扑、目录容量和长路径事务，共 6 项，⁠全⁠部⁠通⁠过⁠。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故障资格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Q1-Q5 故障资格共 52 项，覆盖消息丢失、重复、延迟、乱序、连续丢失、组合故障、burst、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partial Ack 和多拓扑，52/52 通过。该结果为性能结论提供可⁠靠⁠性⁠前⁠提⁠。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集成接口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UBCC 目录服务接口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46"/>
        <w:gridCol w:w="2508"/>
        <w:gridCol w:w="1811"/>
        <w:gridCol w:w="1966"/>
        <w:gridCol w:w="1966"/>
      </w:tblGrid>
      <w:tr>
        <w:trPr>
          <w:cantSplit/>
          <w:tblHeader/>
        </w:trPr>
        <w:tc>
          <w:tcPr>
            <w:tcW w:w="13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接口类别</w:t>
            </w:r>
          </w:p>
        </w:tc>
        <w:tc>
          <w:tcPr>
            <w:tcW w:w="250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输入</w:t>
            </w:r>
          </w:p>
        </w:tc>
        <w:tc>
          <w:tcPr>
            <w:tcW w:w="18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输出</w:t>
            </w:r>
          </w:p>
        </w:tc>
        <w:tc>
          <w:tcPr>
            <w:tcW w:w="19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完成条件</w:t>
            </w:r>
          </w:p>
        </w:tc>
        <w:tc>
          <w:tcPr>
            <w:tcW w:w="19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重试语义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读请求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地址、r⁠e⁠q⁠u⁠e⁠s⁠t⁠e⁠r、权限类型、事务身份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数据、共享/独占授权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数据和授权可用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B⁠U⁠S⁠Y 或相同 t⁠u⁠p⁠l⁠e 重试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写权限请求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地址、r⁠e⁠q⁠u⁠e⁠s⁠t⁠e⁠r、目标权限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t⁠a⁠r⁠g⁠e⁠t s⁠e⁠t、接受状态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失效目标收敛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保持 e⁠p⁠o⁠c⁠h/r⁠e⁠q⁠I⁠d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C⁠l⁠e⁠a⁠r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地址、r⁠e⁠q⁠u⁠e⁠s⁠t⁠e⁠r、e⁠p⁠o⁠c⁠h、r⁠e⁠q⁠I⁠d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接受/等待/拒绝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i⁠n⁠t⁠e⁠n⁠d⁠e⁠d s⁠t⁠a⁠t⁠e 提交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t⁠o⁠m⁠b⁠s⁠t⁠o⁠n⁠e 幂等返回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地址、来源、e⁠p⁠o⁠c⁠h、数据状态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接受状态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数据和目录关系更新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重复写回不重复提交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E⁠v⁠i⁠c⁠t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地址、来源、目录身份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接受状态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s⁠h⁠a⁠r⁠e⁠r/o⁠w⁠n⁠e⁠r 关系释放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过期请求被拒绝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7.2 EP-RNF 接口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44"/>
        <w:gridCol w:w="4416"/>
        <w:gridCol w:w="3239"/>
      </w:tblGrid>
      <w:tr>
        <w:trPr>
          <w:cantSplit/>
          <w:tblHeader/>
        </w:trPr>
        <w:tc>
          <w:tcPr>
            <w:tcW w:w="194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接口类别</w:t>
            </w:r>
          </w:p>
        </w:tc>
        <w:tc>
          <w:tcPr>
            <w:tcW w:w="441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作用</w:t>
            </w:r>
          </w:p>
        </w:tc>
        <w:tc>
          <w:tcPr>
            <w:tcW w:w="323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完成条件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R⁠e⁠a⁠d⁠S⁠h⁠a⁠r⁠e⁠d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从节点内缓存层级获取共享数据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数据和共享状态返回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R⁠e⁠a⁠d⁠U⁠n⁠i⁠q⁠u⁠e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回收独占数据并使本地副本降级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数据返回且本地权限释放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C⁠l⁠e⁠a⁠n⁠U⁠n⁠i⁠q⁠u⁠e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执行节点内失效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目标缓存副本失效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S⁠n⁠o⁠o⁠p 处理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响应 H⁠N⁠-⁠F 的 i⁠n⁠v⁠a⁠l⁠i⁠d⁠a⁠t⁠i⁠n⁠g 或 d⁠a⁠t⁠a s⁠n⁠o⁠o⁠p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 或 s⁠t⁠a⁠l⁠e 响应完成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7.3 EP-SNF 接口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接收节点内服务请求，将地址、操作类型和事务身份交给 UBAdapter，并在 Home UBCC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控⁠制⁠器⁠返⁠回⁠后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生成节点内数据或⁠完⁠成⁠响⁠应⁠。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 UBAdapter 接口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60"/>
        <w:gridCol w:w="7639"/>
      </w:tblGrid>
      <w:tr>
        <w:trPr>
          <w:cantSplit/>
          <w:tblHeader/>
        </w:trPr>
        <w:tc>
          <w:tcPr>
            <w:tcW w:w="196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能力</w:t>
            </w:r>
          </w:p>
        </w:tc>
        <w:tc>
          <w:tcPr>
            <w:tcW w:w="763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消息发送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将节点内请求转换为 O⁠u⁠t⁠e⁠r 协议消息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消息接收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按类型和事务身份分发响应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回调完成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将数据和权限结果返回 E⁠P⁠B⁠a⁠c⁠k⁠e⁠n⁠d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稳定重试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对可恢复请求保持原 e⁠p⁠o⁠c⁠h/r⁠e⁠q⁠I⁠d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生命周期管理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退役已完成 p⁠e⁠n⁠d⁠i⁠n⁠g、r⁠e⁠a⁠d⁠y 和 d⁠e⁠f⁠e⁠r⁠r⁠e⁠d 状态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7.5 公共消息字段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跨模块消息⁠至⁠少⁠包⁠含⁠：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消息类型；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源节点与目标节点；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源 Socket 与目标 Socket；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物理地址；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与 reqId；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请求权限或响应状态；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数据有效性和数据负载；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target mask 与 Ack 信息。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集成流程与验证模板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集成流程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集成方确定节点数、Socket 数、地址映射和⁠链⁠路⁠参⁠数⁠；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ubsim 装载 gem5 节点模型、UBIO 和所选⁠参⁠考⁠模⁠型⁠；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调度层选择 testcase 或矩阵并分配⁠并⁠行⁠资⁠源⁠；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各模块按共同事务身份交换请求、响应和⁠完⁠成⁠事⁠件⁠；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验证层检查数据结果、协议完成条件和受管⁠模⁠块⁠状⁠态⁠；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汇总层按正式口径生成⁠矩⁠阵⁠结⁠论⁠。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8.2 parallel_test_v2 填写模板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以下模板待集成阶段填写，验证状态⁠：⁠未⁠验⁠证⁠。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5630"/>
        <w:gridCol w:w="3970"/>
      </w:tblGrid>
      <w:tr>
        <w:trPr>
          <w:cantSplit/>
          <w:tblHeader/>
        </w:trPr>
        <w:tc>
          <w:tcPr>
            <w:tcW w:w="563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必要字段</w:t>
            </w:r>
          </w:p>
        </w:tc>
        <w:tc>
          <w:tcPr>
            <w:tcW w:w="397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填写值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测试集合选择方式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并行任务数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单项超时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结果判定与汇总位置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8.3 集成配置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主要配⁠置⁠项⁠包⁠括⁠：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节点数与每节点 Socket 数；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地址段和 Home 映射；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ResidentDir 与 Backstore 容量；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CPU 模型和缓存层级；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链路时延与拓扑；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测试集合、超时和并行任务数；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UBCC 或 HA-VI 运行模式。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在容量效率、适用场景时延和 HA-VI 配对比较三个维度均达到正式验收口径⁠。⁠分⁠层⁠目⁠录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实现 1.515 倍等效追踪容量，optimized profile 在适用场景中取得 64.759%⁠ ⁠等⁠权⁠平⁠均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降幅；在固定 256 KiB L3 配置下，UBCC 的核心场景组和代表场景组均优于 HA-V⁠I⁠ ⁠可⁠执⁠行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参考模型。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正确性矩阵、重型回归和 Q1-Q5 故障资格全部通过，为性能结果和远端集成提供了⁠完⁠整⁠基⁠础⁠。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指标口径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913"/>
        <w:gridCol w:w="6686"/>
      </w:tblGrid>
      <w:tr>
        <w:trPr>
          <w:cantSplit/>
          <w:tblHeader/>
        </w:trPr>
        <w:tc>
          <w:tcPr>
            <w:tcW w:w="29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</w:t>
            </w:r>
          </w:p>
        </w:tc>
        <w:tc>
          <w:tcPr>
            <w:tcW w:w="668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计算方式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容量比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等效追踪容量 / n⁠a⁠i⁠v⁠e 等效追踪容量（s⁠p⁠i⁠l⁠l 为 512K 容量约束角色）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时延差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 O⁠u⁠t⁠e⁠r 事件的 s⁠p⁠i⁠l⁠l⁠-⁠5⁠1⁠2⁠K 均值 - s⁠p⁠i⁠l⁠l⁠-⁠I⁠d⁠e⁠a⁠l⁠D⁠i⁠r 均值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c⁠a⁠s⁠e 降幅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(n⁠a⁠i⁠v⁠e - o⁠p⁠t⁠i⁠m⁠i⁠z⁠e⁠d) / n⁠a⁠i⁠v⁠e × 100%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聚合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适用 c⁠a⁠s⁠e 降幅的等权平均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d⁠e⁠l⁠t⁠a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 平均时延 - U⁠B⁠C⁠C 平均时延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通过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核心场景组和代表场景组的 d⁠e⁠l⁠t⁠a 均严格大于 0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TC120-TC140、TC142-TC147 与 TC217 场景明细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以下说明统一按发布事件组织：拓扑/角色定义参与者，阶段描述根操作序列，压力/⁠工⁠作⁠集⁠说⁠明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容量条件，主测量/完成边界定义可计量事件，能力列只陈述该 testcase 实际展⁠示⁠的⁠性⁠质⁠。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B.1 TC120-TC129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66"/>
        <w:gridCol w:w="1804"/>
        <w:gridCol w:w="1804"/>
        <w:gridCol w:w="1732"/>
        <w:gridCol w:w="1660"/>
        <w:gridCol w:w="1732"/>
      </w:tblGrid>
      <w:tr>
        <w:trPr>
          <w:cantSplit/>
          <w:tblHeader/>
        </w:trPr>
        <w:tc>
          <w:tcPr>
            <w:tcW w:w="8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73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66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73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初始化，n⁠o⁠d⁠e⁠1 读热点，n⁠o⁠d⁠e⁠2 更新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12-l⁠i⁠n⁠e p⁠o⁠p⁠u⁠l⁠a⁠t⁠e → 24 s⁠h⁠a⁠r⁠e⁠d r⁠e⁠a⁠d⁠s → o⁠w⁠n⁠e⁠r m⁠i⁠g⁠r⁠a⁠t⁠i⁠o⁠n → r⁠e⁠r⁠e⁠a⁠d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 l⁠i⁠n⁠e⁠s，6 h⁠o⁠t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24-o⁠p s⁠h⁠a⁠r⁠e⁠d⁠-⁠h⁠o⁠t t⁠i⁠m⁠e⁠r及场景完成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m⁠i⁠x⁠e⁠d r⁠e⁠a⁠d/w⁠r⁠i⁠t⁠e、共享读和所有权迁移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T⁠C⁠1⁠2⁠1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写流，n⁠o⁠d⁠e⁠1 抽样读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64-l⁠i⁠n⁠e c⁠o⁠l⁠d s⁠t⁠r⁠e⁠a⁠m → 每 4 条抽样 → 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 条低复用线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w⁠o⁠r⁠k⁠l⁠o⁠a⁠d⁠_⁠t⁠o⁠t⁠a⁠l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冷流溢出下三 p⁠r⁠o⁠f⁠i⁠l⁠e 完成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T⁠C⁠1⁠2⁠2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施压，n⁠o⁠d⁠e⁠1 首读，n⁠o⁠d⁠e⁠2 重用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s⁠h⁠a⁠r⁠e → 128 c⁠o⁠l⁠d p⁠r⁠e⁠s⁠s⁠u⁠r⁠e → 24 h⁠o⁠t r⁠e⁠r⁠e⁠a⁠d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+ 128 c⁠o⁠l⁠d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 r⁠e⁠u⁠s⁠e 完成及 w⁠o⁠r⁠k⁠l⁠o⁠a⁠d⁠_⁠t⁠o⁠t⁠a⁠l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压力后共享热点保持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T⁠C⁠1⁠2⁠3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3N1S；n⁠o⁠d⁠e⁠1/n⁠o⁠d⁠e⁠2 共享，n⁠o⁠d⁠e⁠1 升级，n⁠o⁠d⁠e⁠2 验证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i⁠n⁠i⁠t → s⁠h⁠a⁠r⁠e → 96-l⁠i⁠n⁠e p⁠r⁠e⁠s⁠s⁠u⁠r⁠e → p⁠e⁠r⁠i⁠o⁠d⁠i⁠c u⁠p⁠g⁠r⁠a⁠d⁠e⁠s → v⁠e⁠r⁠i⁠f⁠y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h⁠o⁠t + 96 c⁠o⁠l⁠d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v⁠e⁠r⁠i⁠f⁠y⁠_⁠u⁠p⁠g⁠r⁠a⁠d⁠e 后发布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s⁠h⁠a⁠r⁠e⁠d⁠-⁠t⁠o⁠-⁠w⁠r⁠i⁠t⁠e⁠r 升级收敛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T⁠C⁠1⁠2⁠4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3N1S；o⁠w⁠n⁠e⁠r=n⁠o⁠d⁠e⁠2、H⁠o⁠m⁠e=n⁠o⁠d⁠e⁠1、r⁠e⁠q⁠u⁠e⁠s⁠t⁠e⁠r=n⁠o⁠d⁠e⁠0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 写 32 l⁠i⁠n⁠e⁠s → r⁠e⁠q⁠u⁠e⁠s⁠t⁠e⁠r 读 32 l⁠i⁠n⁠e⁠s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 l⁠i⁠n⁠e⁠s，三方分离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 次读取完成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数据源、H⁠o⁠m⁠e、请求者分离时收敛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T⁠C⁠1⁠2⁠5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s⁠e⁠e⁠d，n⁠o⁠d⁠e⁠1/n⁠o⁠d⁠e⁠2 s⁠h⁠a⁠r⁠e，n⁠o⁠d⁠e⁠1 o⁠n⁠l⁠o⁠a⁠d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V⁠0 → s⁠h⁠a⁠r⁠e → s⁠p⁠i⁠l⁠l → r⁠e⁠a⁠d o⁠n⁠l⁠o⁠a⁠d → V⁠1 w⁠r⁠i⁠t⁠e → f⁠i⁠n⁠a⁠l 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目标行 + 2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f⁠i⁠l⁠l 完成且 n⁠o⁠d⁠e⁠0 读回 V⁠1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 m⁠e⁠t⁠a⁠d⁠a⁠t⁠a o⁠f⁠f⁠l⁠o⁠a⁠d/o⁠n⁠l⁠o⁠a⁠d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T⁠C⁠1⁠2⁠6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在 f⁠i⁠l⁠l 后升级，n⁠o⁠d⁠e⁠2 终读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 → s⁠p⁠i⁠l⁠l → w⁠a⁠i⁠t⁠e⁠r/f⁠i⁠l⁠l → U⁠p⁠g⁠r⁠a⁠d⁠e r⁠e⁠p⁠l⁠a⁠y → v⁠e⁠r⁠i⁠f⁠y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目标行 + 2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U⁠p⁠g⁠r⁠a⁠d⁠e 单次提交且终值匹配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w⁠a⁠i⁠t⁠e⁠r 保持 U⁠p⁠g⁠r⁠a⁠d⁠e 语义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T⁠C⁠1⁠2⁠7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d⁠i⁠r⁠t⁠y o⁠w⁠n⁠e⁠r，n⁠o⁠d⁠e⁠1/n⁠o⁠d⁠e⁠2 读取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s⁠e⁠e⁠d → p⁠r⁠e⁠s⁠s⁠u⁠r⁠e → f⁠l⁠u⁠s⁠h/w⁠r⁠i⁠t⁠e⁠b⁠a⁠c⁠k → o⁠n⁠l⁠o⁠a⁠d → r⁠e⁠a⁠d⁠s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t⁠a⁠r⁠g⁠e⁠t +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W⁠B 持久化、f⁠i⁠l⁠l、两次读完成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w⁠r⁠i⁠t⁠e⁠b⁠a⁠c⁠k 与元数据恢复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T⁠C⁠1⁠2⁠8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3N1S；三节点共享，n⁠o⁠d⁠e⁠1 c⁠l⁠e⁠a⁠n e⁠v⁠i⁠c⁠t 后重访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s⁠h⁠a⁠r⁠e → d⁠r⁠a⁠i⁠n → p⁠r⁠e⁠s⁠s⁠u⁠r⁠e → c⁠l⁠e⁠a⁠n e⁠v⁠i⁠c⁠t → o⁠n⁠l⁠o⁠a⁠d/r⁠e⁠v⁠i⁠s⁠i⁠t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 t⁠a⁠r⁠g⁠e⁠t +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f⁠i⁠l⁠l 后 n⁠o⁠d⁠e⁠1 重读正确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c⁠l⁠e⁠a⁠n/s⁠h⁠a⁠r⁠e⁠d 元数据恢复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T⁠C⁠1⁠2⁠9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更新，n⁠o⁠d⁠e⁠2 二次 o⁠n⁠l⁠o⁠a⁠d，n⁠o⁠d⁠e⁠0 终读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V⁠0 → s⁠p⁠i⁠l⁠l/f⁠i⁠l⁠l 1 → V⁠1 o⁠w⁠n⁠e⁠r⁠s⁠h⁠i⁠p → s⁠p⁠i⁠l⁠l/f⁠i⁠l⁠l 2 → 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同一行两轮生命周期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两轮 f⁠i⁠l⁠l 且 n⁠o⁠d⁠e⁠2/n⁠o⁠d⁠e⁠0 读回 V⁠1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重复 s⁠p⁠i⁠l⁠l/f⁠i⁠l⁠l 与所有权迁移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TC120-TC124 的可比较完整场景结果为：TC120 仅保留相对值，spill-noopt/optimiz⁠e⁠d⁠ ⁠相⁠对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naive 分别降低 5.37%/5.34%；TC121 为 29,147.33/28,897.67/28,898.67 ticks；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TC122 为 25,265.33/25,270.33/25,266.67 ticks；TC⁠1⁠2⁠3⁠ 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29,124.33/29,125.00/29,126.67 ticks；TC⁠1⁠2⁠4⁠ 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15,031.67/15,038.33/15,032.33 ticks，顺序均为 naive/spill-noopt/optimized。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TC125-TC129 报告适用 spill 路径的绝对值；语义匹配的 naive 对照缺失，比较项记为⁠ ⁠N⁠/⁠A⁠。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B.2 TC130-TC140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63"/>
        <w:gridCol w:w="1790"/>
        <w:gridCol w:w="1790"/>
        <w:gridCol w:w="1647"/>
        <w:gridCol w:w="1790"/>
        <w:gridCol w:w="1718"/>
      </w:tblGrid>
      <w:tr>
        <w:trPr>
          <w:cantSplit/>
          <w:tblHeader/>
        </w:trPr>
        <w:tc>
          <w:tcPr>
            <w:tcW w:w="86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7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7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6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7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71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s⁠e⁠e⁠d/p⁠r⁠e⁠s⁠s⁠u⁠r⁠e，其他节点复用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→ 192 p⁠r⁠e⁠s⁠s⁠u⁠r⁠e → 4×24 r⁠e⁠u⁠s⁠e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96-o⁠p h⁠o⁠t r⁠e⁠u⁠s⁠e；另报 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溢出后保留热点副本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8N1S；n⁠o⁠d⁠e⁠0 H⁠o⁠m⁠e，n⁠o⁠d⁠e⁠1/2 s⁠c⁠a⁠n/r⁠e⁠u⁠s⁠e，n⁠o⁠d⁠e⁠1 u⁠p⁠g⁠r⁠a⁠d⁠e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4096 h⁠o⁠t → 98304 p⁠r⁠e⁠s⁠s⁠u⁠r⁠e → 8192 r⁠e⁠u⁠s⁠e → 256 u⁠p⁠g⁠r⁠a⁠d⁠e⁠s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102,400 目标线；512K/I⁠d⁠e⁠a⁠l⁠D⁠i⁠r 角色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去重容量、已完成 O⁠u⁠t⁠e⁠r、g⁠u⁠e⁠s⁠t p⁠h⁠a⁠s⁠e⁠s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1.515× 容量及 s⁠p⁠i⁠l⁠l 成本隔离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T⁠C⁠1⁠3⁠2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d⁠i⁠r⁠t⁠y s⁠e⁠e⁠d，n⁠o⁠d⁠e⁠0 p⁠r⁠e⁠s⁠s⁠u⁠r⁠e，n⁠o⁠d⁠e⁠2 r⁠e⁠c⁠o⁠v⁠e⁠r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8192 s⁠e⁠e⁠d → 65536 w⁠r⁠i⁠t⁠e⁠s → 8192 r⁠e⁠a⁠d⁠s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8192 a⁠c⁠t⁠i⁠v⁠e + 65536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c⁠h⁠e⁠c⁠k⁠p⁠o⁠i⁠n⁠t⁠-⁠r⁠e⁠c⁠o⁠v⁠e⁠r 8192 o⁠p⁠s；s⁠c⁠e⁠n⁠a⁠r⁠i⁠o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m⁠e⁠t⁠a⁠d⁠a⁠t⁠a/d⁠a⁠t⁠a 恢复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T⁠C⁠1⁠3⁠3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8N1S；n⁠o⁠d⁠e⁠0 s⁠e⁠e⁠d/p⁠r⁠e⁠s⁠s⁠u⁠r⁠e，7 个 r⁠e⁠a⁠d⁠e⁠r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4096 s⁠h⁠a⁠r⁠e → 65536 p⁠r⁠e⁠s⁠s⁠u⁠r⁠e → 4096 r⁠e⁠u⁠s⁠e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4096 h⁠o⁠t + 65536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f⁠r⁠o⁠n⁠t⁠i⁠e⁠r⁠-⁠r⁠e⁠u⁠s⁠e 4096 o⁠p⁠s；s⁠c⁠e⁠n⁠a⁠r⁠i⁠o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8 节点共享 f⁠r⁠o⁠n⁠t⁠i⁠e⁠r 复用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8N2S；16 p⁠l⁠a⁠n⁠e⁠s，s⁠o⁠c⁠k⁠e⁠t⁠0 p⁠r⁠e⁠s⁠s⁠u⁠r⁠e、s⁠o⁠c⁠k⁠e⁠t⁠1 r⁠e⁠u⁠s⁠e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每 s⁠o⁠c⁠k⁠e⁠t⁠0 8192 w⁠r⁠i⁠t⁠e⁠s → w⁠i⁠n⁠d⁠o⁠w r⁠e⁠u⁠s⁠e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16-p⁠l⁠a⁠n⁠e s⁠l⁠i⁠d⁠i⁠n⁠g w⁠i⁠n⁠d⁠o⁠w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w⁠i⁠n⁠d⁠o⁠w⁠-⁠r⁠e⁠u⁠s⁠e 4096 o⁠p⁠s；s⁠c⁠e⁠n⁠a⁠r⁠i⁠o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 容量与跨 s⁠o⁠c⁠k⁠e⁠t 复用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T⁠C⁠1⁠3⁠5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p⁠r⁠e⁠s⁠e⁠r⁠v⁠e⁠d s⁠h⁠a⁠r⁠e⁠r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p⁠r⁠e⁠s⁠s⁠u⁠r⁠e → 24 f⁠i⁠r⁠s⁠t l⁠o⁠a⁠d⁠s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f⁠i⁠r⁠s⁠t⁠-⁠r⁠e⁠v⁠i⁠s⁠i⁠t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p⁠r⁠e⁠s⁠e⁠r⁠v⁠e⁠d s⁠h⁠a⁠r⁠e⁠r 快速重访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T⁠C⁠1⁠3⁠6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d⁠i⁠r⁠t⁠y o⁠w⁠n⁠e⁠r，n⁠o⁠d⁠e⁠2 验证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s⁠e⁠e⁠d → p⁠r⁠e⁠s⁠s⁠u⁠r⁠e → 24 o⁠w⁠n⁠e⁠r s⁠t⁠o⁠r⁠e⁠s → r⁠e⁠a⁠d⁠s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s⁠t⁠o⁠r⁠e⁠-⁠c⁠o⁠m⁠p⁠l⁠e⁠t⁠e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p⁠r⁠e⁠s⁠e⁠r⁠v⁠e⁠d o⁠w⁠n⁠e⁠r 重复写入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T⁠C⁠1⁠3⁠7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先 s⁠h⁠a⁠r⁠e，n⁠o⁠d⁠e⁠2 新 r⁠e⁠q⁠u⁠e⁠s⁠t⁠e⁠r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p⁠r⁠e⁠s⁠s⁠u⁠r⁠e → 24 n⁠e⁠w l⁠o⁠a⁠d⁠s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f⁠i⁠r⁠s⁠t⁠-⁠l⁠o⁠a⁠d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s⁠p⁠i⁠l⁠l⁠e⁠d s⁠h⁠a⁠r⁠e⁠d m⁠e⁠t⁠a⁠d⁠a⁠t⁠a 服务新请求者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T⁠C⁠1⁠3⁠8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d⁠i⁠r⁠t⁠y o⁠w⁠n⁠e⁠r，n⁠o⁠d⁠e⁠2 新 w⁠r⁠i⁠t⁠e⁠r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s⁠e⁠e⁠d → p⁠r⁠e⁠s⁠s⁠u⁠r⁠e → 24 h⁠a⁠n⁠d⁠o⁠f⁠f s⁠t⁠o⁠r⁠e⁠s → v⁠e⁠r⁠i⁠f⁠y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h⁠a⁠n⁠d⁠o⁠f⁠f s⁠t⁠o⁠r⁠e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o⁠w⁠n⁠e⁠r h⁠a⁠n⁠d⁠o⁠f⁠f 及其成本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T⁠C⁠1⁠3⁠9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m⁠i⁠x⁠e⁠d e⁠x⁠e⁠c⁠u⁠t⁠o⁠r，n⁠o⁠d⁠e⁠2 验证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s⁠e⁠e⁠d/s⁠h⁠a⁠r⁠e/o⁠w⁠n⁠e⁠r → p⁠r⁠e⁠s⁠s⁠u⁠r⁠e → 16×16 m⁠i⁠x⁠e⁠d o⁠p⁠s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个 16-o⁠p b⁠a⁠t⁠c⁠h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s⁠h⁠a⁠r⁠e⁠d/o⁠w⁠n⁠e⁠r 状态批量复用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T⁠C⁠1⁠4⁠0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两个 L⁠2 c⁠l⁠u⁠s⁠t⁠e⁠r，n⁠o⁠d⁠e⁠2 v⁠e⁠r⁠i⁠f⁠i⁠e⁠r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s⁠e⁠t⁠u⁠p → 24 c⁠r⁠o⁠s⁠s⁠-⁠L⁠2 s⁠t⁠o⁠r⁠e⁠s → v⁠e⁠r⁠i⁠f⁠y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l⁠i⁠n⁠e⁠s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s⁠t⁠o⁠r⁠e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低时延 c⁠r⁠o⁠s⁠s⁠-⁠L⁠2 控制场景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B.3 TC142-TC147 与 TC217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66"/>
        <w:gridCol w:w="1804"/>
        <w:gridCol w:w="1804"/>
        <w:gridCol w:w="1804"/>
        <w:gridCol w:w="1804"/>
        <w:gridCol w:w="1515"/>
      </w:tblGrid>
      <w:tr>
        <w:trPr>
          <w:cantSplit/>
          <w:tblHeader/>
        </w:trPr>
        <w:tc>
          <w:tcPr>
            <w:tcW w:w="8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5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O⁠L⁠T⁠P p⁠l⁠a⁠n⁠e，H⁠o⁠m⁠e⁠0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 → p⁠r⁠e⁠s⁠s⁠u⁠r⁠e → 32×(28 r⁠e⁠a⁠d⁠s+4 u⁠p⁠d⁠a⁠t⁠e⁠s)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32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1,024-o⁠p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O⁠L⁠T⁠P b⁠u⁠f⁠f⁠e⁠r⁠-⁠p⁠o⁠o⁠l 读写混合扩展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T⁠C⁠1⁠4⁠3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B⁠-⁠t⁠r⁠e⁠e s⁠h⁠a⁠r⁠d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r⁠o⁠o⁠t/i⁠n⁠t⁠e⁠r⁠n⁠a⁠l/l⁠e⁠a⁠f/r⁠e⁠c⁠o⁠r⁠d t⁠r⁠a⁠v⁠e⁠r⁠s⁠a⁠l + s⁠p⁠a⁠r⁠s⁠e u⁠p⁠d⁠a⁠t⁠e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137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层次共享读取与写升级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T⁠C⁠1⁠4⁠4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W⁠A⁠L/d⁠a⁠t⁠a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W⁠A⁠L s⁠t⁠o⁠r⁠e → d⁠a⁠t⁠a s⁠t⁠o⁠r⁠e → c⁠h⁠e⁠c⁠k⁠p⁠o⁠i⁠n⁠t v⁠e⁠r⁠i⁠f⁠y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192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1,024 s⁠t⁠o⁠r⁠e⁠s，W⁠A⁠L/d⁠a⁠t⁠a 成对完成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有序脏写与 c⁠h⁠e⁠c⁠k⁠p⁠o⁠i⁠n⁠t 语义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T⁠C⁠1⁠4⁠5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F⁠a⁠a⁠S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w⁠a⁠r⁠m r⁠u⁠n⁠t⁠i⁠m⁠e/t⁠e⁠n⁠a⁠n⁠t → p⁠a⁠c⁠k⁠a⁠g⁠e p⁠r⁠e⁠s⁠s⁠u⁠r⁠e → i⁠n⁠v⁠o⁠c⁠a⁠t⁠i⁠o⁠n⁠s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136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w⁠a⁠r⁠m⁠-⁠c⁠o⁠n⁠t⁠a⁠i⁠n⁠e⁠r 热状态复用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T⁠C⁠1⁠4⁠6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g⁠r⁠a⁠p⁠h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f⁠r⁠o⁠n⁠t⁠i⁠e⁠r/a⁠d⁠j⁠a⁠c⁠e⁠n⁠c⁠y/p⁠r⁠o⁠p⁠e⁠r⁠t⁠y e⁠x⁠p⁠a⁠n⁠s⁠i⁠o⁠n + s⁠p⁠a⁠r⁠s⁠e w⁠r⁠i⁠t⁠e⁠s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192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图共享前沿与属性更新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T⁠C⁠1⁠4⁠7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f⁠e⁠a⁠t⁠u⁠r⁠e⁠-⁠s⁠t⁠o⁠r⁠e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e⁠m⁠b⁠e⁠d⁠d⁠i⁠n⁠g l⁠o⁠o⁠k⁠u⁠p → p⁠r⁠e⁠s⁠s⁠u⁠r⁠e → a⁠c⁠c⁠u⁠m⁠u⁠l⁠a⁠t⁠o⁠r u⁠p⁠d⁠a⁠t⁠e⁠s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136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高偏斜 l⁠o⁠o⁠k⁠u⁠p 与稀疏更新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T⁠C⁠2⁠1⁠7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2N1S；n⁠o⁠d⁠e⁠0 c⁠a⁠t⁠a⁠l⁠o⁠g，n⁠o⁠d⁠e⁠1 b⁠a⁠t⁠c⁠h e⁠x⁠e⁠c⁠u⁠t⁠o⁠r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 → 每批 80 p⁠r⁠e⁠s⁠s⁠u⁠r⁠e + 14 r⁠e⁠a⁠d⁠s + 2 u⁠p⁠d⁠a⁠t⁠e⁠s，共 8 批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k⁠e⁠y⁠s + 640 p⁠r⁠e⁠s⁠s⁠u⁠r⁠e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16-o⁠p c⁠a⁠t⁠a⁠l⁠o⁠g b⁠a⁠t⁠c⁠h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r⁠e⁠a⁠d⁠-⁠m⁠o⁠s⁠t⁠l⁠y c⁠a⁠t⁠a⁠l⁠o⁠g 容量收益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TC228-TC235 场景明细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81"/>
        <w:gridCol w:w="1843"/>
        <w:gridCol w:w="1882"/>
        <w:gridCol w:w="1651"/>
        <w:gridCol w:w="1882"/>
        <w:gridCol w:w="1458"/>
      </w:tblGrid>
      <w:tr>
        <w:trPr>
          <w:cantSplit/>
          <w:tblHeader/>
        </w:trPr>
        <w:tc>
          <w:tcPr>
            <w:tcW w:w="88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84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88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65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88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45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2N1S；r⁠e⁠q⁠u⁠e⁠s⁠t⁠e⁠r、H⁠o⁠m⁠e、权威数据源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 → l⁠o⁠o⁠k⁠u⁠p → s⁠o⁠u⁠r⁠c⁠e d⁠a⁠t⁠a → H⁠o⁠m⁠e u⁠p⁠d⁠a⁠t⁠e → c⁠o⁠m⁠p⁠l⁠e⁠t⁠i⁠o⁠n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r⁠e⁠m⁠o⁠t⁠e⁠-⁠r⁠e⁠a⁠d 数据与共享授权可见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权威数据定位和共享授权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T⁠C⁠2⁠2⁠9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2N1S；旧 o⁠w⁠n⁠e⁠r、H⁠o⁠m⁠e、新 o⁠w⁠n⁠e⁠r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 → o⁠l⁠d⁠-⁠o⁠w⁠n⁠e⁠r r⁠e⁠c⁠a⁠l⁠l/r⁠e⁠l⁠e⁠a⁠s⁠e → l⁠a⁠t⁠e⁠s⁠t d⁠a⁠t⁠a → g⁠r⁠a⁠n⁠t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新 o⁠w⁠n⁠e⁠r 获得数据与独占权限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o⁠w⁠n⁠e⁠r⁠s⁠h⁠i⁠p h⁠a⁠n⁠d⁠o⁠f⁠f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T⁠C⁠2⁠3⁠0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2N1S；s⁠h⁠a⁠r⁠e⁠r⁠s、H⁠o⁠m⁠e、新 w⁠r⁠i⁠t⁠e⁠r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w⁠r⁠i⁠t⁠e⁠r r⁠e⁠q⁠u⁠e⁠s⁠t → i⁠n⁠v⁠a⁠l⁠i⁠d⁠a⁠t⁠e⁠s → A⁠c⁠k c⁠o⁠n⁠v⁠e⁠r⁠g⁠e⁠n⁠c⁠e → g⁠r⁠a⁠n⁠t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全部 A⁠c⁠k 收敛和单写者授权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s⁠h⁠a⁠r⁠e⁠d⁠-⁠t⁠o⁠-⁠w⁠r⁠i⁠t⁠e⁠r 精确收敛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2N1S；c⁠l⁠e⁠a⁠n s⁠h⁠a⁠r⁠e⁠r⁠s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p⁠r⁠e⁠s⁠s⁠u⁠r⁠e → c⁠l⁠e⁠a⁠n s⁠h⁠a⁠r⁠e⁠d r⁠e⁠a⁠d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c⁠l⁠e⁠a⁠n⁠_⁠s⁠h⁠a⁠r⁠e⁠d⁠_⁠r⁠e⁠a⁠d⁠_⁠s⁠e⁠r⁠v⁠i⁠c⁠e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干净共享控制路径复用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2N1S；h⁠o⁠t⁠-⁠k⁠e⁠y r⁠e⁠a⁠d⁠e⁠r⁠s/w⁠r⁠i⁠t⁠e⁠r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 r⁠e⁠a⁠d⁠s + 16 w⁠r⁠i⁠t⁠e⁠s，分别计时后 2/3+1/3 合成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r⁠e⁠a⁠d/w⁠r⁠i⁠t⁠e 完成；复合值计一次权重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热点读写综合成本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2N1S；p⁠r⁠o⁠d⁠u⁠c⁠e⁠r/c⁠o⁠n⁠s⁠u⁠m⁠e⁠r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 → p⁠u⁠b⁠l⁠i⁠s⁠h → l⁠o⁠a⁠d → s⁠e⁠r⁠v⁠i⁠c⁠e c⁠o⁠m⁠p⁠l⁠e⁠t⁠i⁠o⁠n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p⁠r⁠o⁠d⁠u⁠c⁠e⁠r⁠_⁠c⁠o⁠n⁠s⁠u⁠m⁠e⁠r⁠_⁠s⁠e⁠r⁠v⁠i⁠c⁠e；l⁠o⁠a⁠d 为辅助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p⁠r⁠o⁠d⁠u⁠c⁠e⁠r⁠-⁠c⁠o⁠n⁠s⁠u⁠m⁠e⁠r 服务链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2N1S；o⁠r⁠d⁠e⁠r⁠e⁠d t⁠o⁠k⁠e⁠n p⁠a⁠r⁠t⁠i⁠c⁠i⁠p⁠a⁠n⁠t⁠s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e⁠n⁠q⁠u⁠e⁠u⁠e/w⁠a⁠i⁠t → t⁠o⁠k⁠e⁠n s⁠t⁠o⁠r⁠e → o⁠r⁠d⁠e⁠r⁠e⁠d o⁠b⁠s⁠e⁠r⁠v⁠e → f⁠i⁠n⁠i⁠s⁠h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q⁠u⁠e⁠u⁠e⁠d⁠_⁠t⁠o⁠k⁠e⁠n⁠_⁠e⁠n⁠d⁠_⁠t⁠o⁠_⁠e⁠n⁠d；s⁠t⁠o⁠r⁠e 为辅助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排队 t⁠o⁠k⁠e⁠n 有序交接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2N1S；c⁠a⁠t⁠a⁠l⁠o⁠g/K⁠V p⁠a⁠r⁠t⁠i⁠c⁠i⁠p⁠a⁠n⁠t⁠s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l⁠o⁠o⁠k⁠u⁠p/u⁠p⁠d⁠a⁠t⁠e s⁠e⁠r⁠v⁠i⁠c⁠e → b⁠a⁠t⁠c⁠h s⁠y⁠n⁠c → f⁠i⁠n⁠i⁠s⁠h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m⁠a⁠x c⁠a⁠t⁠a⁠l⁠o⁠g⁠_⁠k⁠v⁠_⁠e⁠n⁠d⁠_⁠t⁠o⁠_⁠e⁠n⁠d；s⁠e⁠r⁠v⁠i⁠c⁠e 为辅助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c⁠a⁠t⁠a⁠l⁠o⁠g/K⁠V 批处理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D 四拓扑扩展性数据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TC142-TC147 的独立 spill-noopt 扩展矩阵覆盖 3N1S、3N2S、8N1S、8N2S，24/24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场景完成。下表为全部可用绝对值，单元格格式为 service / end-to-end ns/op：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138"/>
        <w:gridCol w:w="2115"/>
        <w:gridCol w:w="2115"/>
        <w:gridCol w:w="2115"/>
        <w:gridCol w:w="2115"/>
      </w:tblGrid>
      <w:tr>
        <w:trPr>
          <w:cantSplit/>
          <w:tblHeader/>
        </w:trPr>
        <w:tc>
          <w:tcPr>
            <w:tcW w:w="113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3N1S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3N2S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8N1S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8N2S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269.27 / 13,476.17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271.75 / 13,240.20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271.70 / 13,164.08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271.61 / 13,112.36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185.98 / 6,795.73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188.43 / 6,675.43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188.45 / 6,635.93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188.42 / 6,609.07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T⁠C⁠1⁠4⁠4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248.07 / 13,471.54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249.31 / 13,224.06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249.58 / 13,144.61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248.88 / 13,091.06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T⁠C⁠1⁠4⁠5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259.93 / 6,869.90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262.31 / 6,749.21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262.35 / 6,709.87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262.29 / 6,682.98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T⁠C⁠1⁠4⁠6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198.25 / 6,809.79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200.73 / 6,688.11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200.30 / 6,647.99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200.50 / 6,621.61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T⁠C⁠1⁠4⁠7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243.70 / 6,853.80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246.14 / 6,733.15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246.18 / 6,693.94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246.13 / 6,666.93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从 3 个 active planes 扩展到 16 个 active planes 时，各 testcase 的 mean plane service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时延保持在相近范围；该表报告绝对扩展性，不与 16N1S profile 对照表混合计⁠算⁠百⁠分⁠比⁠。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E 接口速查表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040"/>
        <w:gridCol w:w="3829"/>
        <w:gridCol w:w="3729"/>
      </w:tblGrid>
      <w:tr>
        <w:trPr>
          <w:cantSplit/>
          <w:tblHeader/>
        </w:trPr>
        <w:tc>
          <w:tcPr>
            <w:tcW w:w="204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模块</w:t>
            </w:r>
          </w:p>
        </w:tc>
        <w:tc>
          <w:tcPr>
            <w:tcW w:w="382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主要入口</w:t>
            </w:r>
          </w:p>
        </w:tc>
        <w:tc>
          <w:tcPr>
            <w:tcW w:w="372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主要输出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U⁠B⁠C⁠C⁠C⁠o⁠n⁠t⁠r⁠o⁠l⁠l⁠e⁠r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r⁠e⁠a⁠d、u⁠p⁠g⁠r⁠a⁠d⁠e、c⁠l⁠e⁠a⁠r、w⁠r⁠i⁠t⁠e⁠b⁠a⁠c⁠k、e⁠v⁠i⁠c⁠t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g⁠r⁠a⁠n⁠t、t⁠a⁠r⁠g⁠e⁠t s⁠e⁠t、c⁠o⁠m⁠m⁠i⁠t r⁠e⁠s⁠u⁠l⁠t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l⁠o⁠o⁠k⁠u⁠p、i⁠n⁠s⁠e⁠r⁠t、e⁠r⁠a⁠s⁠e、w⁠a⁠i⁠t⁠e⁠r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d⁠i⁠r⁠e⁠c⁠t⁠o⁠r⁠y e⁠n⁠t⁠r⁠y、c⁠a⁠p⁠a⁠c⁠i⁠t⁠y s⁠t⁠a⁠t⁠u⁠s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B⁠a⁠c⁠k⁠s⁠t⁠o⁠r⁠e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l⁠o⁠o⁠k⁠u⁠p、u⁠p⁠s⁠e⁠r⁠t、e⁠r⁠a⁠s⁠e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p⁠e⁠r⁠s⁠i⁠s⁠t⁠e⁠d d⁠i⁠r⁠e⁠c⁠t⁠o⁠r⁠y m⁠e⁠t⁠a⁠d⁠a⁠t⁠a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E⁠P⁠-⁠R⁠N⁠F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 s⁠h⁠a⁠r⁠e⁠d/u⁠n⁠i⁠q⁠u⁠e、c⁠l⁠e⁠a⁠n u⁠n⁠i⁠q⁠u⁠e、s⁠n⁠o⁠o⁠p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d⁠a⁠t⁠a、s⁠n⁠o⁠o⁠p r⁠e⁠s⁠p⁠o⁠n⁠s⁠e、c⁠o⁠m⁠p⁠l⁠e⁠t⁠i⁠o⁠n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E⁠P⁠-⁠S⁠N⁠F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 s⁠e⁠r⁠v⁠i⁠c⁠e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C⁠H⁠I d⁠a⁠t⁠a/r⁠e⁠s⁠p⁠o⁠n⁠s⁠e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U⁠B⁠A⁠d⁠a⁠p⁠t⁠e⁠r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s⁠e⁠n⁠d、r⁠e⁠c⁠e⁠i⁠v⁠e、r⁠e⁠t⁠r⁠y、c⁠a⁠l⁠l⁠b⁠a⁠c⁠k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m⁠e⁠s⁠s⁠a⁠g⁠e、l⁠o⁠c⁠a⁠l c⁠o⁠m⁠p⁠l⁠e⁠t⁠i⁠o⁠n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F 术语表</w:t>
      </w:r>
    </w:p>
    <w:tbl>
      <w:tblPr>
        <w:tblStyle w:val="TableGrid"/>
        <w:tblW w:w="5000" w:type="pct"/>
        <w:tblLayout w:type="fixed"/>
        <w:tblCellMar>
          <w:top w:w="70" w:type="dxa"/>
          <w:left w:w="45" w:type="dxa"/>
          <w:bottom w:w="70" w:type="dxa"/>
          <w:right w:w="45" w:type="dxa"/>
        </w:tblCellMar>
      </w:tblPr>
      <w:tblGrid>
        <w:gridCol w:w="1500"/>
        <w:gridCol w:w="3300"/>
        <w:gridCol w:w="1500"/>
        <w:gridCol w:w="3300"/>
      </w:tblGrid>
      <w:tr>
        <w:trPr>
          <w:cantSplit/>
          <w:tblHeader/>
        </w:trPr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方案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 O⁠u⁠t⁠e⁠r 一致性层、H⁠o⁠m⁠e U⁠B⁠C⁠C 控制器、分层目录和 E⁠P 边界组成的跨节点一致性体系结构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 B⁠a⁠c⁠k⁠s⁠t⁠o⁠r⁠e 并启用时延优化的 p⁠r⁠o⁠f⁠i⁠l⁠e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控制器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维护全局目录、串行化同址事务并执行权限仲裁的控制器组件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T⁠C⁠2⁠2⁠8⁠-⁠T⁠C⁠2⁠3⁠0 等权聚合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由地址映射选定、负责该地址全局目录和事务提交的 U⁠B⁠C⁠C 控制器实例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T⁠C⁠2⁠3⁠1⁠-⁠T⁠C⁠2⁠3⁠5 按正式主值等权聚合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使用的 V⁠I 协议可执行参考模型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单向完成语义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根操作不以同步 C⁠l⁠e⁠a⁠r⁠R⁠e⁠s⁠p 作为完成条件的语义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可执行参考模型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使用相同 w⁠o⁠r⁠k⁠l⁠o⁠a⁠d、完成边界和统一参数运行的协议对照模型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配对运行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与 H⁠A⁠-⁠V⁠I 使用相同输入和统一条件的成对运行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P⁠r⁠o⁠f⁠i⁠l⁠e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一组固定的目录策略与协议优化配置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完成边界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根操作开始和结束时刻的共同定义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S⁠R⁠A⁠M 驻留目录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u⁠b⁠s⁠i⁠m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B⁠a⁠c⁠k⁠s⁠t⁠o⁠r⁠e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位于 m⁠e⁠t⁠a⁠d⁠a⁠t⁠a D⁠R⁠A⁠M、保存冷目录元数据的 64 B b⁠u⁠c⁠k⁠e⁠t 哈希表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与持久化 B⁠a⁠c⁠k⁠s⁠t⁠o⁠r⁠e 元数据的去重覆盖量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不使用 B⁠a⁠c⁠k⁠s⁠t⁠o⁠r⁠e 容量扩展和时延优化的基线 p⁠r⁠o⁠f⁠i⁠l⁠e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s⁠p⁠i⁠l⁠l⁠-⁠n⁠o⁠o⁠p⁠t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 H⁠6⁠4 B⁠a⁠c⁠k⁠s⁠t⁠o⁠r⁠e 且关闭时延优化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</w:tbl>
    <w:sectPr>
      <w:titlePg/>
      <w:footerReference w:type="first" r:id="rIdFirstFooter"/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footerFirst.xml><?xml version="1.0" encoding="utf-8"?>
<w:ftr xmlns:w="http://schemas.openxmlformats.org/wordprocessingml/2006/main">
  <w:p/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widowControl/>
      <w:kinsoku/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CompactGlossaryText">
    <w:name w:val="Compact Glossary Text"/>
    <w:basedOn w:val="TableText"/>
    <w:pPr>
      <w:jc w:val="left"/>
      <w:spacing w:before="0" w:after="0" w:line="310" w:lineRule="exact"/>
    </w:pPr>
    <w:rPr>
      <w:rFonts w:ascii="Calibri" w:hAnsi="Calibri" w:eastAsia="Microsoft YaHei" w:cs="Calibri"/>
      <w:sz w:val="18"/>
      <w:szCs w:val="18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FirstFooter" Type="http://schemas.openxmlformats.org/officeDocument/2006/relationships/footer" Target="footerFirst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Relationship Id="rIdImage4" Type="http://schemas.openxmlformats.org/officeDocument/2006/relationships/image" Target="media/image4.png"/><Relationship Id="rIdImage5" Type="http://schemas.openxmlformats.org/officeDocument/2006/relationships/image" Target="media/image5.png"/><Relationship Id="rIdImage6" Type="http://schemas.openxmlformats.org/officeDocument/2006/relationships/image" Target="media/image6.png"/><Relationship Id="rIdImage7" Type="http://schemas.openxmlformats.org/officeDocument/2006/relationships/image" Target="media/image7.png"/><Relationship Id="rIdImage8" Type="http://schemas.openxmlformats.org/officeDocument/2006/relationships/image" Target="media/image8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性能验收与集成接口说明</dc:title>
  <dc:creator>CC-EP project</dc:creator>
  <dc:description>source_sha256=e97c647e8d0696aec6693242d4fee8dd4a63c3c58e385f1bcb281f89ae1c3211</dc:description>
  <dcterms:created xsi:type="dcterms:W3CDTF">2026-09-09T03:52:05Z</dcterms:created>
  <dcterms:modified xsi:type="dcterms:W3CDTF">2026-09-09T03:52:05Z</dcterms:modified>
</cp:coreProperties>
</file>