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性能验收与集成接口说明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执行摘要</w:t>
      </w:r>
    </w:p>
    <w:p>
      <w:pPr>
        <w:ind w:left="0" w:firstLine="420"/>
      </w:pPr>
      <w:r>
        <w:rPr>
          <w:rFonts w:ascii="Arial" w:hAnsi="Arial" w:eastAsia="等线"/>
        </w:rPr>
        <w:t xml:space="preserve">2. 验收方法</w:t>
      </w:r>
    </w:p>
    <w:p>
      <w:pPr>
        <w:ind w:left="0" w:firstLine="420"/>
      </w:pPr>
      <w:r>
        <w:rPr>
          <w:rFonts w:ascii="Arial" w:hAnsi="Arial" w:eastAsia="等线"/>
        </w:rPr>
        <w:t xml:space="preserve">3. 指标 1：等效追踪容量与附加时延</w:t>
      </w:r>
    </w:p>
    <w:p>
      <w:pPr>
        <w:ind w:left="0" w:firstLine="420"/>
      </w:pPr>
      <w:r>
        <w:rPr>
          <w:rFonts w:ascii="Arial" w:hAnsi="Arial" w:eastAsia="等线"/>
        </w:rPr>
        <w:t xml:space="preserve">4. 指标 2：适用场景端到端时延</w:t>
      </w:r>
    </w:p>
    <w:p>
      <w:pPr>
        <w:ind w:left="0" w:firstLine="420"/>
      </w:pPr>
      <w:r>
        <w:rPr>
          <w:rFonts w:ascii="Arial" w:hAnsi="Arial" w:eastAsia="等线"/>
        </w:rPr>
        <w:t xml:space="preserve">5. 指标 3：UBCC 与 HA-VI 配对比较</w:t>
      </w:r>
    </w:p>
    <w:p>
      <w:pPr>
        <w:ind w:left="0" w:firstLine="420"/>
      </w:pPr>
      <w:r>
        <w:rPr>
          <w:rFonts w:ascii="Arial" w:hAnsi="Arial" w:eastAsia="等线"/>
        </w:rPr>
        <w:t xml:space="preserve">6. 正确性与回归结果</w:t>
      </w:r>
    </w:p>
    <w:p>
      <w:pPr>
        <w:ind w:left="0" w:firstLine="420"/>
      </w:pPr>
      <w:r>
        <w:rPr>
          <w:rFonts w:ascii="Arial" w:hAnsi="Arial" w:eastAsia="等线"/>
        </w:rPr>
        <w:t xml:space="preserve">7. 集成接口</w:t>
      </w:r>
    </w:p>
    <w:p>
      <w:pPr>
        <w:ind w:left="0" w:firstLine="420"/>
      </w:pPr>
      <w:r>
        <w:rPr>
          <w:rFonts w:ascii="Arial" w:hAnsi="Arial" w:eastAsia="等线"/>
        </w:rPr>
        <w:t xml:space="preserve">8. 集成流程与代码结构</w:t>
      </w:r>
    </w:p>
    <w:p>
      <w:pPr>
        <w:ind w:left="0" w:firstLine="420"/>
      </w:pPr>
      <w:r>
        <w:rPr>
          <w:rFonts w:ascii="Arial" w:hAnsi="Arial" w:eastAsia="等线"/>
        </w:rPr>
        <w:t xml:space="preserve">9.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指标口径</w:t>
      </w:r>
    </w:p>
    <w:p>
      <w:pPr>
        <w:ind w:left="0" w:firstLine="420"/>
      </w:pPr>
      <w:r>
        <w:rPr>
          <w:rFonts w:ascii="Arial" w:hAnsi="Arial" w:eastAsia="等线"/>
        </w:rPr>
        <w:t xml:space="preserve">附录 B 指标 2 场景说明</w:t>
      </w:r>
    </w:p>
    <w:p>
      <w:pPr>
        <w:ind w:left="0" w:firstLine="420"/>
      </w:pPr>
      <w:r>
        <w:rPr>
          <w:rFonts w:ascii="Arial" w:hAnsi="Arial" w:eastAsia="等线"/>
        </w:rPr>
        <w:t xml:space="preserve">附录 C 指标 3 场景说明</w:t>
      </w:r>
    </w:p>
    <w:p>
      <w:pPr>
        <w:ind w:left="0" w:firstLine="420"/>
      </w:pPr>
      <w:r>
        <w:rPr>
          <w:rFonts w:ascii="Arial" w:hAnsi="Arial" w:eastAsia="等线"/>
        </w:rPr>
        <w:t xml:space="preserve">附录 D 接口速查表</w:t>
      </w:r>
    </w:p>
    <w:p>
      <w:pPr>
        <w:ind w:left="0" w:firstLine="420"/>
      </w:pPr>
      <w:r>
        <w:rPr>
          <w:rFonts w:ascii="Arial" w:hAnsi="Arial" w:eastAsia="等线"/>
        </w:rPr>
        <w:t xml:space="preserve">附录 E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执行摘要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三项指标结论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最终性能验收包括容量效率、适用场景端到端时延和 HA-VI 配对比较三项指标。三项</w:t>
      </w:r>
    </w:p>
    <w:p>
      <w:pPr>
        <w:ind w:left="0" w:firstLine="420"/>
      </w:pPr>
      <w:r>
        <w:rPr>
          <w:rFonts w:ascii="Arial" w:hAnsi="Arial" w:eastAsia="等线"/>
        </w:rPr>
        <w:t xml:space="preserve">指标均达到冻结验收口径。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1604460"/>
            <wp:effectExtent l="0" t="0" r="0" b="0"/>
            <wp:docPr id="1" name="图 1-1 UBCC 三项性能指标验收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1-1 UBCC 三项性能指标验收结果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16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指标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验收门槛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最终结果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1：等效追踪容量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≥ 1.500×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1.515×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1：附加时延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&lt; 50.000 cycles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-1635.994 cycles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2：适用场景等权平均降幅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≥ 10.000%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64.759%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3：UBCC 相对 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两场景组均满足 UBCC 平均时延更低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两压力点、两场景组全部满足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在可执行参考模型范围内通过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正确性门禁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性能结论以正确性验证为前提：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验证矩阵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规模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1/2 正式矩阵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配对矩阵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 arms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重型回归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 故障资格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 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完整结果覆盖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正式性能结果分为合同计分集和支撑结果集：合同计分集给出最终 PASS 数值，支撑结果集验证</w:t>
      </w:r>
    </w:p>
    <w:p>
      <w:pPr>
        <w:ind w:left="0" w:firstLine="420"/>
      </w:pPr>
      <w:r>
        <w:rPr>
          <w:rFonts w:ascii="Arial" w:hAnsi="Arial" w:eastAsia="等线"/>
        </w:rPr>
        <w:t xml:space="preserve">容量机制、Backstore 生命周期、真实容量压力和代表应用的可迁移性。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结果层级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合同计分集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TC131、TC135-TC140、TC217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容量与机制集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TC120-TC129、TC141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验证访问模式、offload/onload、writeback、replay 和 shared-writer recovery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真实容量压力集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TC130-TC134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验证热点复用、catalog、checkpoint、frontier 和 sliding window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代表应用集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TC142-TC147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验证数据库、FaaS、图计算和 feature store 在 16N1S 下的应用价值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支撑 testcase 不重复加入合同总分；它们用于说明 UBCC 的收益来源和适用场景，并排除合同</w:t>
      </w:r>
    </w:p>
    <w:p>
      <w:pPr>
        <w:ind w:left="0" w:firstLine="420"/>
      </w:pPr>
      <w:r>
        <w:rPr>
          <w:rFonts w:ascii="Arial" w:hAnsi="Arial" w:eastAsia="等线"/>
        </w:rPr>
        <w:t xml:space="preserve">结果由单一 workload 产生的替代解释。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1.4 指标 3 适用范围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3 以 HA-VI 可执行参考模型为对照，冻结条件为 2N1S、O3、单向完成语义以及 100%</w:t>
      </w:r>
    </w:p>
    <w:p>
      <w:pPr>
        <w:ind w:left="0" w:firstLine="420"/>
      </w:pPr>
      <w:r>
        <w:rPr>
          <w:rFonts w:ascii="Arial" w:hAnsi="Arial" w:eastAsia="等线"/>
        </w:rPr>
        <w:t xml:space="preserve">和 150% L3 压力。该比较用于评估 UBCC 与冻结参考模型在相同 workload 和完成边界下的</w:t>
      </w:r>
    </w:p>
    <w:p>
      <w:pPr>
        <w:ind w:left="0" w:firstLine="420"/>
      </w:pPr>
      <w:r>
        <w:rPr>
          <w:rFonts w:ascii="Arial" w:hAnsi="Arial" w:eastAsia="等线"/>
        </w:rPr>
        <w:t xml:space="preserve">协议时延，不等同于客户物理芯片实测。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验收方法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Profile 定义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1/2 使用三个 profile：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Profile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目录策略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时延优化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满时直接替换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关闭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固定 SRAM 基线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关闭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optimized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+ 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开启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证明协议优化后的应用场景价值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指标 1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包含两个子项：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spill-noopt / naive 等效追踪容量比不低于 1.5；</w:t>
      </w:r>
    </w:p>
    <w:p>
      <w:pPr>
        <w:ind w:left="0" w:firstLine="420"/>
      </w:pPr>
      <w:r>
        <w:rPr>
          <w:rFonts w:ascii="Arial" w:hAnsi="Arial" w:eastAsia="等线"/>
        </w:rPr>
        <w:t xml:space="preserve">2. spill-noopt - naive 的平均 guest 时延增量低于 50 cycles。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等效追踪容量按 ResidentDir 与已持久化 Backstore 元数据的去重覆盖量计算。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指标 2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比较 optimized 与 naive。冻结规则为：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Arial" w:hAnsi="Arial" w:eastAsia="等线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Arial" w:hAnsi="Arial" w:eastAsia="等线"/>
        </w:rPr>
        <w:t xml:space="preserve">• 适用场景按 case 等权平均；</w:t>
      </w:r>
    </w:p>
    <w:p>
      <w:pPr>
        <w:ind w:left="360" w:firstLine="0"/>
      </w:pPr>
      <w:r>
        <w:rPr>
          <w:rFonts w:ascii="Arial" w:hAnsi="Arial" w:eastAsia="等线"/>
        </w:rPr>
        <w:t xml:space="preserve">• 所有计划场景均执行，低时延中性场景保留为控制项。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2.4 指标 3 口径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3 采用五对 UBCC/HA-VI 配对运行，并在两个 L3 压力点分别判定：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Arial" w:hAnsi="Arial" w:eastAsia="等线"/>
        </w:rPr>
        <w:t xml:space="preserve">• 代表场景组：TC231-TC235 各占 1/5。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代表场景组每个 testcase 只贡献一个主值：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TC231：clean shared read；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TC233：producer-consumer service；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TC234：queued-token end-to-end；</w:t>
      </w:r>
    </w:p>
    <w:p>
      <w:pPr>
        <w:ind w:left="360" w:firstLine="0"/>
      </w:pPr>
      <w:r>
        <w:rPr>
          <w:rFonts w:ascii="Arial" w:hAnsi="Arial" w:eastAsia="等线"/>
        </w:rPr>
        <w:t xml:space="preserve">• TC235：catalog-KV end-to-end。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判据为严格的 UBCC 平均时延 &lt; HA-VI 平均时延。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2.5 完成边界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所有比较采用共同的根操作边界。开始点为 workload 发起目标操作，结束点为数据和权限满足</w:t>
      </w:r>
    </w:p>
    <w:p>
      <w:pPr>
        <w:ind w:left="0" w:firstLine="420"/>
      </w:pPr>
      <w:r>
        <w:rPr>
          <w:rFonts w:ascii="Arial" w:hAnsi="Arial" w:eastAsia="等线"/>
        </w:rPr>
        <w:t xml:space="preserve">该 workload 的可观察完成条件。内部服务计时和诊断子阶段不重复计入聚合。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2.6 计分集与支撑集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合同计分集的 testcase、权重和门槛在评审前冻结。支撑集按各自明确职责报告，不将未冻结</w:t>
      </w:r>
    </w:p>
    <w:p>
      <w:pPr>
        <w:ind w:left="0" w:firstLine="420"/>
      </w:pPr>
      <w:r>
        <w:rPr>
          <w:rFonts w:ascii="Arial" w:hAnsi="Arial" w:eastAsia="等线"/>
        </w:rPr>
        <w:t xml:space="preserve">权重的场景混合成额外总分：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Arial" w:hAnsi="Arial" w:eastAsia="等线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Arial" w:hAnsi="Arial" w:eastAsia="等线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Arial" w:hAnsi="Arial" w:eastAsia="等线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Arial" w:hAnsi="Arial" w:eastAsia="等线"/>
        </w:rPr>
        <w:t xml:space="preserve">• TC142-TC147 展示 16N1S 代表应用结果。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指标 1：等效追踪容量与附加时延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项目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比较结果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等效追踪条目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65,536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99,293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1.515×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guest 平均时延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899.032 ns/op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81.035 ns/op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-817.997 ns/op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2 GHz 周期差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-1635.994 cycles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结果解释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spill-noopt 的等效追踪容量达到 naive 的 1.515 倍，超过 1.5 倍门槛。容量扩展由</w:t>
      </w:r>
    </w:p>
    <w:p>
      <w:pPr>
        <w:ind w:left="0" w:firstLine="420"/>
      </w:pPr>
      <w:r>
        <w:rPr>
          <w:rFonts w:ascii="Arial" w:hAnsi="Arial" w:eastAsia="等线"/>
        </w:rPr>
        <w:t xml:space="preserve">ResidentDir 与 Backstore 的分层管理实现，热点元数据保留在 SRAM 路径，冷元数据进入</w:t>
      </w:r>
    </w:p>
    <w:p>
      <w:pPr>
        <w:ind w:left="0" w:firstLine="420"/>
      </w:pPr>
      <w:r>
        <w:rPr>
          <w:rFonts w:ascii="Arial" w:hAnsi="Arial" w:eastAsia="等线"/>
        </w:rPr>
        <w:t xml:space="preserve">后备存储。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压力后的 guest 平均时延没有增加，spill-noopt 比 naive 低 817.997 ns/op。该结果说明</w:t>
      </w:r>
    </w:p>
    <w:p>
      <w:pPr>
        <w:ind w:left="0" w:firstLine="420"/>
      </w:pPr>
      <w:r>
        <w:rPr>
          <w:rFonts w:ascii="Arial" w:hAnsi="Arial" w:eastAsia="等线"/>
        </w:rPr>
        <w:t xml:space="preserve">分层目录不仅扩展了等效追踪容量，也减少了 naive 容量替换带来的重复目录操作。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的容量和时延两个子项均通过：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等效追踪容量提升 51.509%；</w:t>
      </w:r>
    </w:p>
    <w:p>
      <w:pPr>
        <w:ind w:left="360" w:firstLine="0"/>
      </w:pPr>
      <w:r>
        <w:rPr>
          <w:rFonts w:ascii="Arial" w:hAnsi="Arial" w:eastAsia="等线"/>
        </w:rPr>
        <w:t xml:space="preserve">• 附加时延低于合同上限，并表现为负增量。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容量机制支撑结果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1 的合同数值由 TC131 给出，以下 testcase 对容量机制和 Backstore 生命周期提供支撑：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baseline performance mix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mixed read/write 下三 profile 正确执行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cold streaming overflow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hot reuse after pressure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 hotset periodic upgrade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owner/home/requester split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 upgrade replay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waiter 与升级重放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writeback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clean evict offload/onload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long mixed integration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验证多轮 spill/fill 与所有权迁移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shared-writer recovery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 spill 后共享转写者恢复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TC120-TC124 的三 profile 运行均通过；TC125-TC129 的适用 spill 路径均通过。该组结果说明</w:t>
      </w:r>
    </w:p>
    <w:p>
      <w:pPr>
        <w:ind w:left="0" w:firstLine="420"/>
      </w:pPr>
      <w:r>
        <w:rPr>
          <w:rFonts w:ascii="Arial" w:hAnsi="Arial" w:eastAsia="等线"/>
        </w:rPr>
        <w:t xml:space="preserve">正式容量收益建立在完整的元数据生命周期之上，而不是单一容量计数。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指标 2：适用场景端到端时延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场景结果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 preserved sharer revisit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2344.449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39.736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TC136 preserved owner 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79.473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TC137 new requester load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1788.139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TC138 dirty owner handoff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2384.186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2702.077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TC139 mixed batch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23563.703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635.783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 catalog batch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4132.589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635.783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84.615%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TC140 的 naive 均值为 119.209 ns，低于 500 ns 适用门槛，因此作为低时延中性控制项，</w:t>
      </w:r>
    </w:p>
    <w:p>
      <w:pPr>
        <w:ind w:left="0" w:firstLine="420"/>
      </w:pPr>
      <w:r>
        <w:rPr>
          <w:rFonts w:ascii="Arial" w:hAnsi="Arial" w:eastAsia="等线"/>
        </w:rPr>
        <w:t xml:space="preserve">不进入指标 2 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聚合结果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六个适用场景的 case-level 等权平均降幅为：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64.759%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TC138 展示了 dirty owner handoff 场景下数据回收与权限迁移的机制权衡，其结果完整纳入</w:t>
      </w:r>
    </w:p>
    <w:p>
      <w:pPr>
        <w:ind w:left="0" w:firstLine="420"/>
      </w:pPr>
      <w:r>
        <w:rPr>
          <w:rFonts w:ascii="Arial" w:hAnsi="Arial" w:eastAsia="等线"/>
        </w:rPr>
        <w:t xml:space="preserve">等权平均。聚合结果仍显著超过 10% 门槛，说明 optimized profile 在适用场景集合中形成</w:t>
      </w:r>
    </w:p>
    <w:p>
      <w:pPr>
        <w:ind w:left="0" w:firstLine="420"/>
      </w:pPr>
      <w:r>
        <w:rPr>
          <w:rFonts w:ascii="Arial" w:hAnsi="Arial" w:eastAsia="等线"/>
        </w:rPr>
        <w:t xml:space="preserve">稳定的总体收益。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优势来源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的主要收益来自：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已有目录关系的直接复用；</w:t>
      </w:r>
    </w:p>
    <w:p>
      <w:pPr>
        <w:ind w:left="360" w:firstLine="0"/>
      </w:pPr>
      <w:r>
        <w:rPr>
          <w:rFonts w:ascii="Arial" w:hAnsi="Arial" w:eastAsia="等线"/>
        </w:rPr>
        <w:t xml:space="preserve">• 热点 owner 和 sharer 状态的保留；</w:t>
      </w:r>
    </w:p>
    <w:p>
      <w:pPr>
        <w:ind w:left="360" w:firstLine="0"/>
      </w:pPr>
      <w:r>
        <w:rPr>
          <w:rFonts w:ascii="Arial" w:hAnsi="Arial" w:eastAsia="等线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Arial" w:hAnsi="Arial" w:eastAsia="等线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Arial" w:hAnsi="Arial" w:eastAsia="等线"/>
        </w:rPr>
        <w:t xml:space="preserve">• 权限路径与数据路径按实际状态选择，避免不必要的全流程重建。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指标 2 的适用场景等权平均降幅为 64.759%，超过 10% 合同门槛。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4.5 真实容量压力支撑结果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TC130-TC134 使用更大工作集和多节点拓扑，展示目录压力后状态复用的场景价值：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directory overflow 后热点复用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 相对 naive 降低 57.68%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full scan 后复用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dirty checkpoint recovery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验证脏数据 checkpoint 与 Backstore 恢复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8N1S shared frontier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optimized 相对 naive 降低 7.17%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8N2S sliding window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optimized 相对 naive 降低 76.42%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TC130、TC133 和 TC134 表明 UBCC 在目录压力后仍能保留有价值的热点元数据，收益在滑动</w:t>
      </w:r>
    </w:p>
    <w:p>
      <w:pPr>
        <w:ind w:left="0" w:firstLine="420"/>
      </w:pPr>
      <w:r>
        <w:rPr>
          <w:rFonts w:ascii="Arial" w:hAnsi="Arial" w:eastAsia="等线"/>
        </w:rPr>
        <w:t xml:space="preserve">窗口和高复用场景中最为突出。TC132 负责验证脏数据恢复路径，不进入指标 2 合同聚合。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4.6 16N1S 代表应用结果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Arial" w:hAnsi="Arial" w:eastAsia="等线"/>
        </w:rPr>
        <w:t xml:space="preserve">spill-noopt 和 optimized 三个 profile，共 18/18 通过。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应用场景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naive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ns/op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optimized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OLTP buffer pool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5200.314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4437.245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B-tree traversal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3051.768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2267.770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WAL/checkpoint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5294.067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4400.848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FaaS warm invocation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2886.169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2291.965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Graph frontier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3184.057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2266.781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Feature 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2892.318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2321.671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19.730%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Arial" w:hAnsi="Arial" w:eastAsia="等线"/>
        </w:rPr>
        <w:t xml:space="preserve">该矩阵证明 UBCC 的容量和协议机制可以迁移到真实应用形态与 16 节点拓扑，而不局限于</w:t>
      </w:r>
    </w:p>
    <w:p>
      <w:pPr>
        <w:ind w:left="0" w:firstLine="420"/>
      </w:pPr>
      <w:r>
        <w:rPr>
          <w:rFonts w:ascii="Arial" w:hAnsi="Arial" w:eastAsia="等线"/>
        </w:rPr>
        <w:t xml:space="preserve">协议微场景。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指标 3：UBCC 与 HA-VI 配对比较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场景定义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核心场景组承担协议关键路径比较：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主操作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Remote Read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Ownership Handoff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旧 owner 释放、最新数据返回、新 owner 获权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Shared-to-Writer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sharer 失效、Ack 收敛和单写者授权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Arial" w:hAnsi="Arial" w:eastAsia="等线"/>
        </w:rPr>
        <w:t xml:space="preserve">producer-consumer、queued token 和 catalog-KV。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聚合结果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L3 压力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 ticks/op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HA-VI ticks/op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UBCC 降幅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100%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31.440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39.344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100%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76.178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79.060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150%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31.406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39.346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150%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76.195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79.073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3.640%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理论路径解释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使用统一表达：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T = K_crossnode × τ + P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其中 K_crossnode 表示跨节点串行消息段，τ 表示单段传输时延，P 表示目录查询、</w:t>
      </w:r>
    </w:p>
    <w:p>
      <w:pPr>
        <w:ind w:left="0" w:firstLine="420"/>
      </w:pPr>
      <w:r>
        <w:rPr>
          <w:rFonts w:ascii="Arial" w:hAnsi="Arial" w:eastAsia="等线"/>
        </w:rPr>
        <w:t xml:space="preserve">节点内一致性和完成处理。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5.3.1 TC228 Remote Read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数据和权限路径为 requester → Home → 数据源 → Home → requester。UBCC 依据 owner 状态</w:t>
      </w:r>
    </w:p>
    <w:p>
      <w:pPr>
        <w:ind w:left="0" w:firstLine="420"/>
      </w:pPr>
      <w:r>
        <w:rPr>
          <w:rFonts w:ascii="Arial" w:hAnsi="Arial" w:eastAsia="等线"/>
        </w:rPr>
        <w:t xml:space="preserve">选择权威数据源，并在数据返回后更新共享关系。该场景中 UBCC 与 HA-VI 均保持紧凑路径，</w:t>
      </w:r>
    </w:p>
    <w:p>
      <w:pPr>
        <w:ind w:left="0" w:firstLine="420"/>
      </w:pPr>
      <w:r>
        <w:rPr>
          <w:rFonts w:ascii="Arial" w:hAnsi="Arial" w:eastAsia="等线"/>
        </w:rPr>
        <w:t xml:space="preserve">UBCC 的优势较小但稳定。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5.3.2 TC229 Ownership Handoff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首先定位 latest-data owner，再组织旧 owner 释放数据和权限，最后向新 owner 授权。</w:t>
      </w:r>
    </w:p>
    <w:p>
      <w:pPr>
        <w:ind w:left="0" w:firstLine="420"/>
      </w:pPr>
      <w:r>
        <w:rPr>
          <w:rFonts w:ascii="Arial" w:hAnsi="Arial" w:eastAsia="等线"/>
        </w:rPr>
        <w:t xml:space="preserve">该场景是核心场景组的主要优势来源，说明独立全局目录能够有效缩短“数据在哪里”和“谁可写”</w:t>
      </w:r>
    </w:p>
    <w:p>
      <w:pPr>
        <w:ind w:left="0" w:firstLine="420"/>
      </w:pPr>
      <w:r>
        <w:rPr>
          <w:rFonts w:ascii="Arial" w:hAnsi="Arial" w:eastAsia="等线"/>
        </w:rPr>
        <w:t xml:space="preserve">两个问题的联合决策路径。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5.3.3 TC230 Shared-to-Writer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冻结当前 sharer 目标集合，发出 Invalidate，等待 Ack 收敛后向 requester 授予单写者</w:t>
      </w:r>
    </w:p>
    <w:p>
      <w:pPr>
        <w:ind w:left="0" w:firstLine="420"/>
      </w:pPr>
      <w:r>
        <w:rPr>
          <w:rFonts w:ascii="Arial" w:hAnsi="Arial" w:eastAsia="等线"/>
        </w:rPr>
        <w:t xml:space="preserve">权限。核心收益来自精确目标选择和统一 completion/grant 链。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5.3.4 TC232 Hot-Key 组合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Arial" w:hAnsi="Arial" w:eastAsia="等线"/>
        </w:rPr>
        <w:t xml:space="preserve">write。read 和 write 先分别计量，再合成为一个 testcase 主值，避免同一 workload 重复计权。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压力稳定性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从 100% 提升至 150% L3 压力后，两组结果保持稳定：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核心场景组降幅维持约 20.1%；</w:t>
      </w:r>
    </w:p>
    <w:p>
      <w:pPr>
        <w:ind w:left="360" w:firstLine="0"/>
      </w:pPr>
      <w:r>
        <w:rPr>
          <w:rFonts w:ascii="Arial" w:hAnsi="Arial" w:eastAsia="等线"/>
        </w:rPr>
        <w:t xml:space="preserve">• 代表场景组降幅维持约 3.64%。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这表明 UBCC 的比较优势不是由单一压力点产生，而是来自目录定位、权限仲裁和完成路径的</w:t>
      </w:r>
    </w:p>
    <w:p>
      <w:pPr>
        <w:ind w:left="0" w:firstLine="420"/>
      </w:pPr>
      <w:r>
        <w:rPr>
          <w:rFonts w:ascii="Arial" w:hAnsi="Arial" w:eastAsia="等线"/>
        </w:rPr>
        <w:t xml:space="preserve">结构性差异。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结论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在冻结的 HA-VI 可执行参考模型范围内，UBCC 在两个 L3 压力点的核心场景组和代表场景组</w:t>
      </w:r>
    </w:p>
    <w:p>
      <w:pPr>
        <w:ind w:left="0" w:firstLine="420"/>
      </w:pPr>
      <w:r>
        <w:rPr>
          <w:rFonts w:ascii="Arial" w:hAnsi="Arial" w:eastAsia="等线"/>
        </w:rPr>
        <w:t xml:space="preserve">均满足平均时延更低，指标 3 通过。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正确性与回归结果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性能矩阵正确性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矩阵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计划项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1/2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72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 arms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160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0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每项性能运行同时检查数据读回、目标阶段、受管模块退出和 profile 身份，确保性能值来自完整</w:t>
      </w:r>
    </w:p>
    <w:p>
      <w:pPr>
        <w:ind w:left="0" w:firstLine="420"/>
      </w:pPr>
      <w:r>
        <w:rPr>
          <w:rFonts w:ascii="Arial" w:hAnsi="Arial" w:eastAsia="等线"/>
        </w:rPr>
        <w:t xml:space="preserve">且正确的协议执行。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支撑结果还包括 TC120-TC129 的机制与性能路径、TC130-TC134 的真实容量压力场景、</w:t>
      </w:r>
    </w:p>
    <w:p>
      <w:pPr>
        <w:ind w:left="0" w:firstLine="420"/>
      </w:pPr>
      <w:r>
        <w:rPr>
          <w:rFonts w:ascii="Arial" w:hAnsi="Arial" w:eastAsia="等线"/>
        </w:rPr>
        <w:t xml:space="preserve">TC141 shared-writer recovery，以及 TC142-TC147 的 16N1S 三 profile 应用矩阵。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重型回归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重型回归覆盖热点竞争、大拓扑、目录容量和长路径事务，共 6 项，全部通过。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6.3 故障资格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Arial" w:hAnsi="Arial" w:eastAsia="等线"/>
        </w:rPr>
        <w:t xml:space="preserve">partial Ack 和多拓扑，52/52 通过。该结果为性能结论提供可靠性前提。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集成接口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UBCC 目录服务接口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接口类别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输入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输出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完成条件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读请求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地址、requester、权限类型、事务身份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数据、共享/独占授权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数据和授权可用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BUSY 或相同 tuple 重试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写权限请求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地址、requester、目标权限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target set、接受状态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失效目标收敛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保持 epoch/reqId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地址、requester、epoch、reqId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接受/等待/拒绝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intended state 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tombstone 幂等返回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Writeback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地址、来源、epoch、数据状态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数据和目录关系更新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地址、来源、目录身份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接受状态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sharer/owner 关系释放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过期请求被拒绝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EP-RNF 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接口类别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作用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ReadShared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从节点内缓存层级获取共享数据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ReadUnique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回收独占数据并使本地副本降级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CleanUnique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执行节点内失效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 处理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响应 HN-F 的 invalidating 或 data snoop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immediate 或 stale 响应完成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7.3 EP-SNF 接口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EP-SNF 接收节点内服务请求，将地址、操作类型和事务身份交给 UBAdapter，并在 UBCC 返回后</w:t>
      </w:r>
    </w:p>
    <w:p>
      <w:pPr>
        <w:ind w:left="0" w:firstLine="420"/>
      </w:pPr>
      <w:r>
        <w:rPr>
          <w:rFonts w:ascii="Arial" w:hAnsi="Arial" w:eastAsia="等线"/>
        </w:rPr>
        <w:t xml:space="preserve">生成节点内数据或完成响应。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7.4 UBAdapter 接口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能力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消息发送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将节点内请求转换为 Outer 协议消息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消息接收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回调完成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将数据和权限结果返回 EPBackend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稳定重试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对可恢复请求保持原 epoch/reqId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生命周期管理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退役已完成 pending、ready 和 deferred 状态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7.5 公共消息字段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跨模块消息至少包含：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消息类型；</w:t>
      </w:r>
    </w:p>
    <w:p>
      <w:pPr>
        <w:ind w:left="360" w:firstLine="0"/>
      </w:pPr>
      <w:r>
        <w:rPr>
          <w:rFonts w:ascii="Arial" w:hAnsi="Arial" w:eastAsia="等线"/>
        </w:rPr>
        <w:t xml:space="preserve">• 源节点与目标节点；</w:t>
      </w:r>
    </w:p>
    <w:p>
      <w:pPr>
        <w:ind w:left="360" w:firstLine="0"/>
      </w:pPr>
      <w:r>
        <w:rPr>
          <w:rFonts w:ascii="Arial" w:hAnsi="Arial" w:eastAsia="等线"/>
        </w:rPr>
        <w:t xml:space="preserve">• 源 Socket 与目标 Socket；</w:t>
      </w:r>
    </w:p>
    <w:p>
      <w:pPr>
        <w:ind w:left="360" w:firstLine="0"/>
      </w:pPr>
      <w:r>
        <w:rPr>
          <w:rFonts w:ascii="Arial" w:hAnsi="Arial" w:eastAsia="等线"/>
        </w:rPr>
        <w:t xml:space="preserve">• 物理地址；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与 reqId；</w:t>
      </w:r>
    </w:p>
    <w:p>
      <w:pPr>
        <w:ind w:left="360" w:firstLine="0"/>
      </w:pPr>
      <w:r>
        <w:rPr>
          <w:rFonts w:ascii="Arial" w:hAnsi="Arial" w:eastAsia="等线"/>
        </w:rPr>
        <w:t xml:space="preserve">• 请求权限或响应状态；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数据有效性和数据负载；</w:t>
      </w:r>
    </w:p>
    <w:p>
      <w:pPr>
        <w:ind w:left="360" w:firstLine="0"/>
      </w:pPr>
      <w:r>
        <w:rPr>
          <w:rFonts w:ascii="Arial" w:hAnsi="Arial" w:eastAsia="等线"/>
        </w:rPr>
        <w:t xml:space="preserve">• target mask 与 Ack 信息。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集成流程与代码结构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8.1 构建流程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远端工程采用 CMake 组织，compile.sh 作为统一构建入口，依次完成 framework、hamodule、</w:t>
      </w:r>
    </w:p>
    <w:p>
      <w:pPr>
        <w:ind w:left="0" w:firstLine="420"/>
      </w:pPr>
      <w:r>
        <w:rPr>
          <w:rFonts w:ascii="Arial" w:hAnsi="Arial" w:eastAsia="等线"/>
        </w:rPr>
        <w:t xml:space="preserve">ubiomodule、networksim 和 gem5 的构建。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8.2 运行流程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gen_topo.py 根据节点数、Socket 数和链路参数生成拓扑；</w:t>
      </w:r>
    </w:p>
    <w:p>
      <w:pPr>
        <w:ind w:left="0" w:firstLine="420"/>
      </w:pPr>
      <w:r>
        <w:rPr>
          <w:rFonts w:ascii="Arial" w:hAnsi="Arial" w:eastAsia="等线"/>
        </w:rPr>
        <w:t xml:space="preserve">2. parallel_test_v2.py 选择 testcase 或矩阵，生成运行配置并安排并行资源；</w:t>
      </w:r>
    </w:p>
    <w:p>
      <w:pPr>
        <w:ind w:left="0" w:firstLine="420"/>
      </w:pPr>
      <w:r>
        <w:rPr>
          <w:rFonts w:ascii="Arial" w:hAnsi="Arial" w:eastAsia="等线"/>
        </w:rPr>
        <w:t xml:space="preserve">3. parallel_test_v2.py 调用 simulate.py 启动单组仿真；</w:t>
      </w:r>
    </w:p>
    <w:p>
      <w:pPr>
        <w:ind w:left="0" w:firstLine="420"/>
      </w:pPr>
      <w:r>
        <w:rPr>
          <w:rFonts w:ascii="Arial" w:hAnsi="Arial" w:eastAsia="等线"/>
        </w:rPr>
        <w:t xml:space="preserve">4. simulate.py 根据 JSON 配置启动 gem5、ubiomodule 和 networksim；</w:t>
      </w:r>
    </w:p>
    <w:p>
      <w:pPr>
        <w:ind w:left="0" w:firstLine="420"/>
      </w:pPr>
      <w:r>
        <w:rPr>
          <w:rFonts w:ascii="Arial" w:hAnsi="Arial" w:eastAsia="等线"/>
        </w:rPr>
        <w:t xml:space="preserve">5. 验证逻辑汇总数据结果和模块退出状态；</w:t>
      </w:r>
    </w:p>
    <w:p>
      <w:pPr>
        <w:ind w:left="0" w:firstLine="420"/>
      </w:pPr>
      <w:r>
        <w:rPr>
          <w:rFonts w:ascii="Arial" w:hAnsi="Arial" w:eastAsia="等线"/>
        </w:rPr>
        <w:t xml:space="preserve">6. parallel_test_v2.py 汇总矩阵结果。[TODO-R01]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8.3 工程结构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Code"/>
      </w:pPr>
      <w:r>
        <w:rPr>
          <w:rFonts w:ascii="Consolas" w:hAnsi="Consolas" w:eastAsia="等线"/>
        </w:rPr>
        <w:t xml:space="preserve">&lt;XXX&gt;sim/
├── src/
├── sims/
│   ├── gem5/
│   ├── ubiomodule/
│   ├── hamodule/
│   ├── networksim/
│   ├── framework/
│   │   ├── iface/
│   │   └── &lt;XXX&gt;sim_shim/
│   └── protocol/
├── compile.sh
├── gen_topo.py
├── parallel_test_v2.py
├── simulate.py
└── CMakeLists.txt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8.4 集成配置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主要配置项包括：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节点数与每节点 Socket 数；</w:t>
      </w:r>
    </w:p>
    <w:p>
      <w:pPr>
        <w:ind w:left="360" w:firstLine="0"/>
      </w:pPr>
      <w:r>
        <w:rPr>
          <w:rFonts w:ascii="Arial" w:hAnsi="Arial" w:eastAsia="等线"/>
        </w:rPr>
        <w:t xml:space="preserve">• 地址段和 Home 映射；</w:t>
      </w:r>
    </w:p>
    <w:p>
      <w:pPr>
        <w:ind w:left="360" w:firstLine="0"/>
      </w:pPr>
      <w:r>
        <w:rPr>
          <w:rFonts w:ascii="Arial" w:hAnsi="Arial" w:eastAsia="等线"/>
        </w:rPr>
        <w:t xml:space="preserve">• ResidentDir 与 Backstore 容量；</w:t>
      </w:r>
    </w:p>
    <w:p>
      <w:pPr>
        <w:ind w:left="360" w:firstLine="0"/>
      </w:pPr>
      <w:r>
        <w:rPr>
          <w:rFonts w:ascii="Arial" w:hAnsi="Arial" w:eastAsia="等线"/>
        </w:rPr>
        <w:t xml:space="preserve">• CPU 模型和缓存层级；</w:t>
      </w:r>
    </w:p>
    <w:p>
      <w:pPr>
        <w:ind w:left="360" w:firstLine="0"/>
      </w:pPr>
      <w:r>
        <w:rPr>
          <w:rFonts w:ascii="Arial" w:hAnsi="Arial" w:eastAsia="等线"/>
        </w:rPr>
        <w:t xml:space="preserve">• 链路时延与拓扑；</w:t>
      </w:r>
    </w:p>
    <w:p>
      <w:pPr>
        <w:ind w:left="360" w:firstLine="0"/>
      </w:pPr>
      <w:r>
        <w:rPr>
          <w:rFonts w:ascii="Arial" w:hAnsi="Arial" w:eastAsia="等线"/>
        </w:rPr>
        <w:t xml:space="preserve">• 测试集合、超时和并行任务数；</w:t>
      </w:r>
    </w:p>
    <w:p>
      <w:pPr>
        <w:ind w:left="360" w:firstLine="0"/>
      </w:pPr>
      <w:r>
        <w:rPr>
          <w:rFonts w:ascii="Arial" w:hAnsi="Arial" w:eastAsia="等线"/>
        </w:rPr>
        <w:t xml:space="preserve">• UBCC 或 HA-VI 运行模式。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9.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在容量效率、适用场景时延和 HA-VI 配对比较三个维度均达到冻结验收口径。分层目录</w:t>
      </w:r>
    </w:p>
    <w:p>
      <w:pPr>
        <w:ind w:left="0" w:firstLine="420"/>
      </w:pPr>
      <w:r>
        <w:rPr>
          <w:rFonts w:ascii="Arial" w:hAnsi="Arial" w:eastAsia="等线"/>
        </w:rPr>
        <w:t xml:space="preserve">实现 1.515 倍等效追踪容量，optimized profile 在适用场景中取得 64.759% 等权平均</w:t>
      </w:r>
    </w:p>
    <w:p>
      <w:pPr>
        <w:ind w:left="0" w:firstLine="420"/>
      </w:pPr>
      <w:r>
        <w:rPr>
          <w:rFonts w:ascii="Arial" w:hAnsi="Arial" w:eastAsia="等线"/>
        </w:rPr>
        <w:t xml:space="preserve">降幅；在两个 L3 压力点下，UBCC 的核心场景组和代表场景组均优于 HA-VI 可执行参考模型。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正确性矩阵、重型回归和 Q1-Q5 故障资格全部通过，为性能结果和远端集成提供了完整基础。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指标口径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指标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 容量比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spill-noopt 等效追踪容量 / naive 等效追踪容量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1 时延差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spill-noopt guest 平均时延 - naive guest 平均时延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 case 降幅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(naive - optimized) / naive × 100%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2 聚合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适用 case 降幅的等权平均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delta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HA-VI 平均时延 - UBCC 平均时延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指标 3 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核心场景组和代表场景组的 delta 均严格大于 0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指标 2 场景说明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sharer first load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owner store complete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new requester first load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dirty owner handoff store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mixed batch 16 operations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cross-L2 owner store，中性控制项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batch 16 operations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B.1 指标 1/2 支撑结果图谱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Testcase 范围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结果层级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TC120-TC124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场景行为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mixed、cold stream、hot reuse、shared upgrade、三方分离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TC125-TC129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Backstore 机制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offload/onload、replay、writeback、mixed lifecycle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TC130-TC134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真实容量压力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overflow、catalog、checkpoint、frontier、sliding window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TC135-TC140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2 计分与控制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preserved state、new requester、handoff、batch、neutral control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正确性资格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spill 后 shared-to-writer recovery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TC142-TC147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代表应用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OLTP、B-tree、WAL、FaaS、graph、feature store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TC217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2 计分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 batch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指标 3 场景说明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场景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场景组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remote read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TC229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ownership handoff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shared-to-writer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clean shared read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2/3 hot-key read + 1/3 hot-key write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producer-consumer service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queued-token end-to-end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TC235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catalog-KV end-to-end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D 接口速查表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模块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主要入口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UBCCController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read、upgrade、clear、writeback、evict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grant、target set、commit result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lookup、insert、erase、waiter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directory entry、capacity status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read、write、erase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persisted directory metadata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read shared/unique、clean unique、snoop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data、snoop response、completion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EP-SNF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 service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CHI data/response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UBAdapter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send、receive、retry、callback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Outer message、local completion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NetworkSim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route message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destination delivery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E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HA-VI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指标 3 使用的 VI 协议可执行参考模型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可执行参考模型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使用相同 workload、完成边界和冻结参数运行的协议对照模型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Profile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一组冻结的目录策略与协议优化配置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等效追踪容量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与持久化 Backstore 元数据的去重覆盖量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naive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不使用 Backstore 容量扩展和时延优化的基线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spill-noopt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 Backstore、关闭时延优化的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optimized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使用 Backstore 并启用时延优化的 profile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核心场景组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TC228-TC230 等权聚合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代表场景组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TC231-TC235 按冻结主值等权聚合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单向完成语义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根操作不以同步 ClearResp 作为完成条件的语义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配对运行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与 HA-VI 使用相同输入和冻结条件的成对运行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完成边界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根操作开始和结束时刻的共同定义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source_sha256=661313fedaba7a31add6434efb5fe734c0459bb16eac34828feee8f7f2b1129b</dc:description>
  <dcterms:created xsi:type="dcterms:W3CDTF">2026-08-24T15:18:15Z</dcterms:created>
  <dcterms:modified xsi:type="dcterms:W3CDTF">2026-08-24T15:18:15Z</dcterms:modified>
</cp:coreProperties>
</file>