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性能验收与集成接口说明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文档版本：V1.0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交付阶段：正式文档第一版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项目名称：&lt;XXX&gt;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甲方单位：&lt;XXX&gt;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执行摘要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验收方法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指标 1：等效追踪容量与附加时延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指标 2：适用场景端到端时延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指标 3：UBCC 与 HA-VI 配对比较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正确性与回归结果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集成接口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 集成流程与验证模板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 指标口径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指标 2 场景说明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C 指标 3 场景说明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D 接口速查表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E 术语表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执行摘要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三项指标结论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最终性能验收包括容量效率、适用场景端到端时延和 HA-VI 配对比较三项指标。三项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指标均达到冻结验收口径。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1：等效追踪容量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1：附加时延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cycles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21.069156 cycles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2：适用场景等权平均降幅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10.000%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64.759%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3：UBCC 相对 HA-VI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两场景组均满足 UBCC 平均时延更低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两压力点、两场景组全部满足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在可执行参考模型范围内通过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1.2 正确性门禁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性能结论以正确性验证为前提：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验证矩阵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规模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独立矩阵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 项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9/9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正式矩阵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 项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63/63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配对矩阵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 arms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160/160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重型回归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项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Q1-Q5 故障资格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 项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52/52 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1.3 完整结果覆盖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正式性能结果分为合同计分集和支撑结果集：合同计分集给出最终 PASS 数值，支撑结果集验证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容量机制、Backstore 生命周期、真实容量压力和代表应用的可迁移性。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Testcase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合同计分集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TC131、TC135-TC140、TC217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计算指标 1/2 最终合同数值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容量与机制集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TC120-TC129、TC141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验证访问模式、offload/onload、writeback、replay 和 shared-writer recovery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TC130-TC134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验证热点复用、catalog、checkpoint、frontier 和 sliding window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TC142-TC147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验证数据库、FaaS、图计算和 feature store 在 16N1S 下的应用价值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支撑 testcase 不重复加入合同总分；它们用于说明 UBCC 的收益来源和适用场景，并排除合同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结果由单一 workload 产生的替代解释。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1.4 指标 3 适用范围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以 HA-VI 可执行参考模型为对照，冻结条件为 2N1S、O3、单向完成语义以及 100%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 150% L3 压力。该比较用于评估 UBCC 与冻结参考模型在相同 workload 和完成边界下的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协议时延，不等同于客户物理芯片实测。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2. 验收方法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Profile 定义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的基础配置使用三个 profile：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Profile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目录策略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时延优化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naive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满时直接替换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SRAM 基线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spill-noopt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+ 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证明容量扩展本身的收益与成本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optimized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+ 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证明协议优化后的应用场景价值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Metric1 在此基础上把 spill-noopt 分成两个显式实验角色：spill-512K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spill-IdealDir；naive 仅用于容量分母。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指标 1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包含两个子项：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spill / naive 等效追踪容量比不低于 1.5，其中 spill 为 512K 容量约束角色；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spill-512K - spill-IdealDir 的已完成 Outer 事件平均时延增量低于 50 cycles。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等效追踪容量按 ResidentDir 与已持久化 Backstore 元数据的去重覆盖量计算。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指标 2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比较 optimized 与 naive。冻结规则为：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naive 平均时延不低于 500 ns 的场景进入聚合；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每个适用场景贡献一个百分比降幅；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适用场景按 case 等权平均；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所有计划场景均执行，低时延中性场景保留为控制项。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2.4 指标 3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采用五对 UBCC/HA-VI 配对运行，并在两个 L3 压力点分别判定：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核心场景组：TC228、TC229、TC230 各占 1/3；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代表场景组：TC231-TC235 各占 1/5。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代表场景组每个 testcase 只贡献一个主值：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TC231：clean shared read；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TC232：2/3 × hot-key read + 1/3 × hot-key write；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TC233：producer-consumer service；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TC234：queued-token end-to-end；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TC235：catalog-KV end-to-end。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判据为严格的 UBCC 平均时延 &lt; HA-VI 平均时延。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2.5 完成边界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所有比较遵循发布事件原则：只统计满足冻结完成条件并已经发布完成事件的根操作。开始点为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workload 发起目标操作，结束点为数据和权限满足该 workload 的可观察完成条件。未完成事件、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内部服务计时和诊断子阶段不进入聚合。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2.6 计分集与支撑集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合同计分集的 testcase、权重和门槛在评审前冻结。支撑集按各自明确职责报告，不将未冻结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权重的场景混合成额外总分：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TC120-TC124 比较多类访问模式下的完整场景行为；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TC125-TC129 验证 Backstore 机制路径的完成性；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TC130-TC134 展示固定容量压力下的真实数据复用场景；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TC141 验证 spill 后 shared-to-writer 恢复；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TC142-TC147 展示 16N1S 代表应用结果。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3. 指标 1：等效追踪容量与附加时延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比较角色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门槛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 / naive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99,293 / 65,536 = 1.515×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附加时延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spill-512K mean - spill-IdealDir mean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10.534578 ns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GHz 周期换算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10.534578 ns × 2 cycles/ns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21.069156 cycles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cycles</w:t>
            </w:r>
          </w:p>
        </w:tc>
      </w:tr>
    </w:tbl>
    <w:p>
      <w:pPr>
        <w:jc w:val="center"/>
        <w:keepNext/>
        <w:spacing w:before="100" w:after="40"/>
      </w:pPr>
      <w:r>
        <w:drawing>
          <wp:inline distT="0" distB="0" distL="0" distR="0">
            <wp:extent cx="5580000" cy="2456343"/>
            <wp:effectExtent l="0" t="0" r="0" b="0"/>
            <wp:docPr id="1" name="图 3-1 Metric1 容量与 Outer 附加时延" descr="图 3-1 Metric1 容量与 Outer 附加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3-1 Metric1 容量与 Outer 附加时延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5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Metric1 结果图。容量按 spill/naive 计算，其中 spill 为 512K 容量约束角色；时延按已完成 Outer 事件的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均值减去 spill-IdealDir 均值计算。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结果解释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 的等效追踪容量达到 naive 的 1.515 倍，超过 1.5 倍门槛；该角色采用 512K 容量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约束。容量扩展由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Backstore 的分层管理实现，热点元数据保留在 SRAM 路径，冷元数据进入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后备存储。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附加时延采用同为 spill-noopt 策略的两个角色隔离容量溢出成本：spill-512K 使用 512K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容量约束，spill-IdealDir 使用实验性超大 ResidentDir 作为无溢出的反事实基线。三次重复中，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每次均对全部已完成 Outer 事件求均值后作差；跨轮等权均值为 10.534578 ns，即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21.069156 cycles。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的容量和时延两个子项均通过：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等效追踪容量提升 51.509%；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附加时延为 21.069156 cycles，低于 50 cycles 合同上限。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运行核算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Metric1 固定为 3 次重复，每次包含 naive、spill-512K、spill-IdealDir 三个角色，共 9 个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物理运行。naive 只提供容量分母；spill-512K 同时提供容量分子和实际 Outer 时延；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 只提供无溢出 Outer 时延基线。同一物理运行不重复占用同轮角色槽。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容量机制支撑结果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的合同数值由 TC131 给出，以下 testcase 对容量机制和 Backstore 生命周期提供支撑：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Testcase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baseline performance mix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mixed read/write 下三 profile 正确执行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cold streaming overflow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验证低复用连续压力下的目录行为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hot reuse after pressure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验证目录压力后热点共享信息保持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shared hotset periodic upgrade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验证共享热点与周期性写升级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owner/home/requester split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验证三方分离的数据与权限收敛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 offload/onload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验证冷元数据换出和读换入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 upgrade replay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waiter 与升级重放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writeback offload/onload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验证脏写回持久化和重新装入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clean evict offload/onload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验证干净逐出和元数据恢复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long mixed integration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验证多轮 spill/fill 与所有权迁移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shared-writer recovery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spill 后共享转写者恢复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的三 profile 运行均通过；TC125-TC129 的适用 spill 路径均通过。该组结果说明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正式容量收益建立在完整的元数据生命周期之上，而不是单一容量计数。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指标 2：适用场景端到端时延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场景结果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naive ns/op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optimized ns/op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optimized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TC135 preserved sharer revisit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2344.449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98.305%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TC136 preserved owner 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96.667%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TC137 new requester load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1788.139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25.000%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TC138 dirty owner handoff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-13.333%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TC139 mixed batch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23563.703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97.302%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TC217 catalog batch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4132.589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84.615%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TC140 的 naive 均值为 119.209 ns，低于 500 ns 适用门槛，因此作为低时延中性控制项，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不进入指标 2 聚合。</w:t>
      </w:r>
    </w:p>
    <w:p>
      <w:pPr>
        <w:jc w:val="center"/>
        <w:keepNext/>
        <w:spacing w:before="100" w:after="40"/>
      </w:pPr>
      <w:r>
        <w:drawing>
          <wp:inline distT="0" distB="0" distL="0" distR="0">
            <wp:extent cx="5580000" cy="2690054"/>
            <wp:effectExtent l="0" t="0" r="0" b="0"/>
            <wp:docPr id="2" name="图 4-1 Metric2 适用场景端到端时延" descr="图 4-1 Metric2 适用场景端到端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4-1 Metric2 适用场景端到端时延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0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4-1　Metric2 结果图。六个适用场景按 case 等权聚合，TC140 保留为中性控制项。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聚合结果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六个适用场景的 case-level 等权平均降幅为：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64.759%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TC138 展示了 dirty owner handoff 场景下数据回收与权限迁移的机制权衡，其结果完整纳入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等权平均。聚合结果仍显著超过 10% 门槛，说明 optimized profile 在适用场景集合中形成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稳定的总体收益。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优势来源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的主要收益来自：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已有目录关系的直接复用；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热点 owner 和 sharer 状态的保留；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批量场景下跨节点控制消息的摊薄；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分层目录减少容量替换与后续重建；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权限路径与数据路径按实际状态选择，避免不必要的全流程重建。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的适用场景等权平均降幅为 64.759%，超过 10% 合同门槛。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4.5 真实容量压力支撑结果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TC130-TC134 使用更大工作集和多节点拓扑，展示目录压力后状态复用的场景价值：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Testcase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主要结果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directory overflow 后热点复用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 相对 naive 降低 57.68%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catalog full scan 后复用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正式指标 1 容量与时延计分场景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dirty checkpoint recovery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验证脏数据 checkpoint 与 Backstore 恢复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 shared frontier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optimized 相对 naive 降低 7.17%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 sliding window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optimized 相对 naive 降低 76.42%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TC130、TC133 和 TC134 表明 UBCC 在目录压力后仍能保留有价值的热点元数据，收益在滑动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窗口和高复用场景中最为突出。TC132 负责验证脏数据恢复路径，不进入指标 2 合同聚合。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4.6 16N1S 代表应用结果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覆盖数据库、FaaS、图计算和 feature store。每个 testcase 均运行 naive、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spill-noopt 和 optimized 三个 profile，共 18/18 通过。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Testcase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应用场景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naive ns/op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optimized ns/op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optimized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OLTP buffer pool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5200.314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4437.245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14.674%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B-tree traversal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3051.768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2267.770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25.690%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WAL/checkpoint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5294.067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4400.848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16.872%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FaaS warm invocation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2886.169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2291.965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20.588%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Graph frontier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3184.057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2266.781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28.808%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Feature 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2892.318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2321.671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19.730%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六个代表应用均显示 optimized 相对 naive 的端到端收益，降幅范围为 14.67%–28.81%。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该矩阵证明 UBCC 的容量和协议机制可以迁移到真实应用形态与 16 节点拓扑，而不局限于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协议微场景。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指标 3：UBCC 与 HA-VI 配对比较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场景定义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核心场景组承担协议关键路径比较：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主操作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主要协议责任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TC228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Remote Read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权威数据定位与共享授权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TC229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Ownership Handoff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旧 owner 释放、最新数据返回、新 owner 获权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Shared-to-Writer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sharer 失效、Ack 收敛和单写者授权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代表场景组承担应用组合价值比较，包括 clean shared read、hot-key read/write、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producer-consumer、queued token 和 catalog-KV。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聚合结果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L3 压力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UBCC ticks/op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HA-VI ticks/op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UBCC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31.440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20.090%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76.178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79.060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3.645%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31.406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20.179%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76.195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79.073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3.640%</w:t>
            </w:r>
          </w:p>
        </w:tc>
      </w:tr>
    </w:tbl>
    <w:p>
      <w:pPr>
        <w:jc w:val="center"/>
        <w:keepNext/>
        <w:spacing w:before="100" w:after="40"/>
      </w:pPr>
      <w:r>
        <w:drawing>
          <wp:inline distT="0" distB="0" distL="0" distR="0">
            <wp:extent cx="5580000" cy="2832765"/>
            <wp:effectExtent l="0" t="0" r="0" b="0"/>
            <wp:docPr id="3" name="图 5-1 Metric3 UBCC 与 HA-VI 配对比较" descr="图 5-1 Metric3 UBCC 与 HA-VI 配对比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Metric3 UBCC 与 HA-VI 配对比较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Metric3 配对结果。图中比较冻结的 2N1S、O3、单向完成语义和两个 L3 压力点。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理论路径解释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使用统一表达：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T = K_crossnode × τ + 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其中 K_crossnode 表示跨节点串行消息段，τ 表示单段传输时延，P 表示目录查询、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节点内一致性和完成处理。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5.3.1 TC228 Remote Read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数据和权限路径为 requester → Home → 数据源 → Home → requester。UBCC 依据 owner 状态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选择权威数据源，并在数据返回后更新共享关系。该场景中 UBCC 与 HA-VI 均保持紧凑路径，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的优势较小但稳定。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5.3.2 TC229 Ownership Handoff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首先定位 latest-data owner，再组织旧 owner 释放数据和权限，最后向新 owner 授权。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该场景是核心场景组的主要优势来源，说明独立全局目录能够有效缩短“数据在哪里”和“谁可写”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两个问题的联合决策路径。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5.3.3 TC230 Shared-to-Writer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冻结当前 sharer 目标集合，发出 Invalidate，等待 Ack 收敛后向 requester 授予单写者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权限。核心收益来自精确目标选择和统一 completion/grant 链。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5.3.4 TC232 Hot-Key 组合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TC232 workload 每轮包含 32 次 read 和 16 次 write，因此冻结主值采用 2/3 read + 1/3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write。read 和 write 先分别计量，再合成为一个 testcase 主值，避免同一 workload 重复计权。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压力稳定性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从 100% 提升至 150% L3 压力后，两组结果保持稳定：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核心场景组降幅维持约 20.1%；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代表场景组降幅维持约 3.64%。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这表明 UBCC 的比较优势不是由单一压力点产生，而是来自目录定位、权限仲裁和完成路径的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结构性差异。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在冻结的 HA-VI 可执行参考模型范围内，UBCC 在两个 L3 压力点的核心场景组和代表场景组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均满足平均时延更低，指标 3 通过。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正确性与回归结果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性能矩阵正确性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矩阵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计划项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通过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失败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 arms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每项性能运行同时检查数据读回、目标阶段、受管模块退出和 profile 身份，确保性能值来自完整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且正确的协议执行。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支撑结果还包括 TC120-TC129 的机制与性能路径、TC130-TC134 的真实容量压力场景、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TC141 shared-writer recovery，以及 TC142-TC147 的 16N1S 三 profile 应用矩阵。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重型回归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重型回归覆盖热点竞争、大拓扑、目录容量和长路径事务，共 6 项，全部通过。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故障资格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Q1-Q5 故障资格共 52 项，覆盖消息丢失、重复、延迟、乱序、连续丢失、组合故障、burst、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partial Ack 和多拓扑，52/52 通过。该结果为性能结论提供可靠性前提。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集成接口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UBCC 目录服务接口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输入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输出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重试语义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读请求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地址、requester、权限类型、事务身份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数据、共享/独占授权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数据和授权可用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BUSY 或相同 tuple 重试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写权限请求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地址、requester、目标权限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target set、接受状态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失效目标收敛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 epoch/reqId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地址、requester、epoch、reqId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接受/等待/拒绝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intended state 提交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tombstone 幂等返回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Writeback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地址、来源、epoch、数据状态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数据和目录关系更新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重复写回不重复提交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Evict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地址、来源、目录身份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sharer/owner 关系释放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过期请求被拒绝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7.2 EP-RNF 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ReadShared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从节点内缓存层级获取共享数据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数据和共享状态返回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ReadUnique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回收独占数据并使本地副本降级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数据返回且本地权限释放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CleanUnique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执行节点内失效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目标缓存副本失效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Snoop 处理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 HN-F 的 invalidating 或 data snoop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immediate 或 stale 响应完成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7.3 EP-SNF 接口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接收节点内服务请求，将地址、操作类型和事务身份交给 UBAdapter，并在 UBCC 返回后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生成节点内数据或完成响应。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UBAdapter 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能力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消息发送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将节点内请求转换为 Outer 协议消息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消息接收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按类型和事务身份分发响应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回调完成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将数据和权限结果返回 EPBackend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稳定重试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对可恢复请求保持原 epoch/reqId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生命周期管理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退役已完成 pending、ready 和 deferred 状态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7.5 公共消息字段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跨模块消息至少包含：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消息类型；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源节点与目标节点；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 Socket 与目标 Socket；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物理地址；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与 reqId；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请求权限或响应状态；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数据有效性和数据负载；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target mask 与 Ack 信息。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集成流程与验证模板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集成流程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集成方确定节点数、Socket 数、地址映射和链路参数；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ubsim 装载 gem5 节点模型、UBIO 和所选参考模型；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调度层选择 testcase 或矩阵并分配并行资源；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各模块按共同事务身份交换请求、响应和完成事件；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验证层检查数据结果、协议完成条件和受管模块状态；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汇总层按冻结口径生成矩阵结论。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验证环境曾使用临时模拟传输承载跨进程消息；该设施不属于项目架构、交付组件或公开接口。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以下模板尚未验证，仅用于等待集成方补齐必要信息，不构成功能承诺。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8.3 集成配置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主要配置项包括：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节点数与每节点 Socket 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地址段和 Home 映射；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ResidentDir 与 Backstore 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CPU 模型和缓存层级；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链路时延与拓扑；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测试集合、超时和并行任务数；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UBCC 或 HA-VI 运行模式。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在容量效率、适用场景时延和 HA-VI 配对比较三个维度均达到冻结验收口径。分层目录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实现 1.515 倍等效追踪容量，optimized profile 在适用场景中取得 64.759% 等权平均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降幅；在两个 L3 压力点下，UBCC 的核心场景组和代表场景组均优于 HA-VI 可执行参考模型。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正确性矩阵、重型回归和 Q1-Q5 故障资格全部通过，为性能结果和远端集成提供了完整基础。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指标口径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计算方式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容量比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 等效追踪容量 / naive 等效追踪容量（spill 为 512K 容量约束角色）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时延差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 Outer 事件的 spill-512K 均值 - spill-IdealDir 均值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case 降幅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(naive - optimized) / naive × 100%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聚合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 case 降幅的等权平均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delta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HA-VI 平均时延 - UBCC 平均时延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通过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核心场景组和代表场景组的 delta 均严格大于 0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指标 2 场景说明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preserved sharer first load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preserved owner store complete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new requester first load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dirty owner handoff store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mixed batch 16 operations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cross-L2 owner store，中性控制项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TC217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catalog batch 16 operations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B.1 指标 1/2 支撑结果图谱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Testcase 范围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TC120-TC124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场景行为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mixed、cold stream、hot reuse、shared upgrade、三方分离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TC125-TC129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 机制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offload/onload、replay、writeback、mixed lifecycle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TC130-TC134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overflow、catalog、checkpoint、frontier、sliding window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TC135-TC140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计分与控制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preserved state、new requester、handoff、batch、neutral control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正确性资格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 后 shared-to-writer recovery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TC142-TC147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OLTP、B-tree、WAL、FaaS、graph、feature store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TC217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计分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catalog batch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指标 3 场景说明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聚合主值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TC228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remote read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TC229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ownership handoff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shared-to-writer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clean shared read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2/3 hot-key read + 1/3 hot-key write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producer-consumer service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queued-token end-to-end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catalog-KV end-to-end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D 接口速查表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主要入口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主要输出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UBCCController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read、upgrade、clear、writeback、evict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grant、target set、commit result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lookup、insert、erase、waiter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directory entry、capacity status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read、write、erase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persisted directory metadata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EP-RNF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 shared/unique、clean unique、snoop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data、snoop response、completion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EP-SNF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request service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CHI data/response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UBAdapter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send、receive、retry、callback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message、local completion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E 术语表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跨节点缓存一致性方案及全局目录控制器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HA-VI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使用的 VI 协议可执行参考模型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可执行参考模型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使用相同 workload、完成边界和冻结参数运行的协议对照模型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Profile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一组冻结的目录策略与协议优化配置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SRAM 驻留目录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冷目录元数据的后备存储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与持久化 Backstore 元数据的去重覆盖量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naive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不使用 Backstore 容量扩展和时延优化的基线 profile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spill-noopt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Backstore、关闭时延优化的 profile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optimized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Backstore 并启用时延优化的 profile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TC228-TC230 等权聚合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TC231-TC235 按冻结主值等权聚合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单向完成语义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根操作不以同步 ClearResp 作为完成条件的语义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配对运行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 与 HA-VI 使用相同输入和冻结条件的成对运行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完成边界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根操作开始和结束时刻的共同定义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ubsim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性能验收与集成接口说明</dc:title>
  <dc:creator>CC-EP project</dc:creator>
  <dc:description>source_sha256=44212b65d5a463c2a6e188488380050d206a42a050c4f96c9ed61e39fc19e4c3</dc:description>
  <dcterms:created xsi:type="dcterms:W3CDTF">2026-08-25T17:56:54Z</dcterms:created>
  <dcterms:modified xsi:type="dcterms:W3CDTF">2026-08-25T17:56:54Z</dcterms:modified>
</cp:coreProperties>
</file>