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TC120-TC147 与 TC217⁠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TC228-TC235⁠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四拓扑⁠扩⁠展⁠性⁠数⁠据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⁠F⁠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指标均达到正式⁠验⁠收⁠口⁠径⁠。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30"/>
        <w:gridCol w:w="2635"/>
        <w:gridCol w:w="2426"/>
        <w:gridCol w:w="2008"/>
      </w:tblGrid>
      <w:tr>
        <w:trPr>
          <w:cantSplit/>
          <w:tblHeader/>
        </w:trPr>
        <w:tc>
          <w:tcPr>
            <w:tcW w:w="25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26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tcW w:w="24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0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配置下两场景组全部满足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90"/>
        <w:gridCol w:w="4598"/>
        <w:gridCol w:w="3611"/>
      </w:tblGrid>
      <w:tr>
        <w:trPr>
          <w:cantSplit/>
          <w:tblHeader/>
        </w:trPr>
        <w:tc>
          <w:tcPr>
            <w:tcW w:w="13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10.535 n⁠s / 21.069 c⁠y⁠c⁠l⁠e⁠s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当前两个合格证据集按各自既定职责组合计分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64.759%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既定计分 t⁠e⁠s⁠t⁠c⁠a⁠s⁠e 与适用门槛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配置下两个场景组均满足 U⁠B⁠C⁠C 聚合均值更低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 H⁠A⁠-⁠V⁠I 可执行参考模型，不代表物理芯片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未建模目标硬件和端口级 S⁠w⁠i⁠t⁠c⁠h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90"/>
        <w:gridCol w:w="2504"/>
        <w:gridCol w:w="2504"/>
      </w:tblGrid>
      <w:tr>
        <w:trPr>
          <w:cantSplit/>
          <w:tblHeader/>
        </w:trPr>
        <w:tc>
          <w:tcPr>
            <w:tcW w:w="45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80/80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3"/>
        <w:gridCol w:w="3487"/>
        <w:gridCol w:w="4598"/>
      </w:tblGrid>
      <w:tr>
        <w:trPr>
          <w:cantSplit/>
          <w:tblHeader/>
        </w:trPr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T⁠C⁠1⁠2⁠0⁠-⁠T⁠C⁠1⁠2⁠9、T⁠C⁠1⁠4⁠1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验证访问模式、o⁠f⁠f⁠l⁠o⁠a⁠d/o⁠n⁠l⁠o⁠a⁠d、w⁠r⁠i⁠t⁠e⁠b⁠a⁠c⁠k、r⁠e⁠p⁠l⁠a⁠y 和 s⁠h⁠a⁠r⁠e⁠d⁠-⁠w⁠r⁠i⁠t⁠e⁠r r⁠e⁠c⁠o⁠v⁠e⁠r⁠y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的收益来源和适用场景，⁠并⁠排⁠除⁠合⁠同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产生的⁠替⁠代⁠解⁠释⁠。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可执行参考模型为对照，统一条件为 2N1S、O3、单向完成语义、256 KiB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L3 和 100% L3 压力。该比较用于评估 UBCC 与既定参考模型在相同 workload 和完⁠成⁠边⁠界⁠下⁠的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协议时延，不等同于目标物理芯片实测；其他 L3 配置不进入⁠正⁠式⁠结⁠果⁠。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定义与差异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使用以下三个基础 profile。三者采用相同处理器、缓存层级、工作负载和⁠完⁠成⁠边⁠界⁠，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差异集中在目录容量组织和协议⁠时⁠延⁠优⁠化⁠。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19"/>
        <w:gridCol w:w="2628"/>
        <w:gridCol w:w="3084"/>
        <w:gridCol w:w="1867"/>
      </w:tblGrid>
      <w:tr>
        <w:trPr>
          <w:cantSplit/>
          <w:tblHeader/>
        </w:trPr>
        <w:tc>
          <w:tcPr>
            <w:tcW w:w="201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配置维度</w:t>
            </w:r>
          </w:p>
        </w:tc>
        <w:tc>
          <w:tcPr>
            <w:tcW w:w="26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</w:t>
            </w:r>
          </w:p>
        </w:tc>
        <w:tc>
          <w:tcPr>
            <w:tcW w:w="30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s⁠p⁠i⁠l⁠l⁠-⁠n⁠o⁠o⁠p⁠t（n⁠o⁠o⁠p⁠t）</w:t>
            </w:r>
          </w:p>
        </w:tc>
        <w:tc>
          <w:tcPr>
            <w:tcW w:w="1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o⁠p⁠t⁠i⁠m⁠i⁠z⁠e⁠d（o⁠p⁠t）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片上目录预算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B⁠l⁠o⁠o⁠m 与 G⁠r⁠o⁠u⁠p⁠I⁠n⁠d⁠e⁠x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不启用 B⁠l⁠o⁠o⁠m；4 K⁠i⁠B G⁠r⁠o⁠u⁠p⁠I⁠n⁠d⁠e⁠x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 分组 B⁠l⁠o⁠o⁠m；4 K⁠i⁠B G⁠r⁠o⁠u⁠p⁠I⁠n⁠d⁠e⁠x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容量溢出策略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 R⁠e⁠s⁠i⁠d⁠e⁠n⁠t⁠D⁠i⁠r 内选择替换条目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冷目录元数据迁移至 H⁠6⁠4 B⁠a⁠c⁠k⁠s⁠t⁠o⁠r⁠e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不用于容量扩展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启用 l⁠o⁠o⁠k⁠u⁠p、u⁠p⁠s⁠e⁠r⁠t、e⁠r⁠a⁠s⁠e 和按需换入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本地 s⁠i⁠l⁠e⁠n⁠t u⁠p⁠g⁠r⁠a⁠d⁠e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b⁠a⁠t⁠c⁠h r⁠e⁠a⁠d⁠-⁠s⁠h⁠a⁠r⁠e⁠d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 f⁠o⁠r⁠w⁠a⁠r⁠d⁠i⁠n⁠g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 s⁠p⁠i⁠l⁠l⁠-⁠5⁠1⁠2⁠K 时延角色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支撑结果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时延基线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容量机制观察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n⁠a⁠i⁠v⁠e 形成应用时延比较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是指标 1 附加时延使用的实验角色。它保持 spill-noopt 的协议优化⁠设⁠置⁠，⁠采⁠用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MiB 实验性片上目录预算和 131,072 条 ResidentDir 容量，为 TC131 提供无目录溢出的⁠参⁠考⁠路⁠径⁠。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仿真拓扑与共同配置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 NnSs 描述逻辑仿真拓扑，其中 N 表示参与跨节点一致性的协议节点数⁠，⁠S⁠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每个节点包含的 Socket 数。例如，8N1S 表示 8 个协议节点、每节点 1 个 Socket；8N2S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表示 8 个协议节点、每节点 2 个 Socket。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每个协议节点包含处理器与缓存层级、节点内 HN-F，以及连接 Inner CHI 域和 Outer⁠ ⁠一⁠致⁠性⁠层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 EP。地址映射为每条缓存行选择 Home 节点和 Home Socket；Home UBCC 控制器负⁠责⁠全⁠局⁠目⁠录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查询、owner/sharer 仲裁和目录提交。requester、Home 与数据 owner 可以位于不同节⁠点⁠，⁠跨⁠节⁠点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请求、数据、失效和确认均按 node/socket ⁠身⁠份⁠路⁠由⁠。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各对照实验使用相同的处理器模型、缓存配置、workload 输入、逻辑拓扑和根操作⁠完⁠成⁠边⁠界⁠。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拓扑规模变化时，各 testcase 保持其参与者角色、地址映射和发布⁠事⁠件⁠定⁠义⁠。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13"/>
        <w:gridCol w:w="2687"/>
        <w:gridCol w:w="1801"/>
        <w:gridCol w:w="3396"/>
      </w:tblGrid>
      <w:tr>
        <w:trPr>
          <w:cantSplit/>
          <w:tblHeader/>
        </w:trPr>
        <w:tc>
          <w:tcPr>
            <w:tcW w:w="17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结果范围</w:t>
            </w:r>
          </w:p>
        </w:tc>
        <w:tc>
          <w:tcPr>
            <w:tcW w:w="2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180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tcW w:w="339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目录服务、c⁠a⁠t⁠a⁠l⁠o⁠g 扫描与写权限升级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核心计分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T⁠C⁠1⁠3⁠5⁠-⁠T⁠C⁠1⁠4⁠0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o⁠w⁠n⁠e⁠r、s⁠h⁠a⁠r⁠e⁠r、新 r⁠e⁠q⁠u⁠e⁠s⁠t⁠e⁠r 与验证者分工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c⁠a⁠t⁠a⁠l⁠o⁠g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提供者与 r⁠e⁠a⁠d⁠-⁠m⁠o⁠s⁠t⁠l⁠y 执行者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机制与容量支撑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T⁠C⁠1⁠2⁠0⁠-⁠T⁠C⁠1⁠3⁠2、T⁠C⁠1⁠3⁠5⁠-⁠T⁠C⁠1⁠4⁠1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主要为 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共享、所有权迁移、换入换出与恢复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多节点支撑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r⁠e⁠a⁠d⁠e⁠r 共享与压力后复用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S⁠o⁠c⁠k⁠e⁠t 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个执行 p⁠l⁠a⁠n⁠e 和跨 S⁠o⁠c⁠k⁠e⁠t 窗口复用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 L⁠e⁠v⁠e⁠l⁠-⁠A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数据库、F⁠a⁠a⁠S、图计算和 f⁠e⁠a⁠t⁠u⁠r⁠e s⁠t⁠o⁠r⁠e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T⁠C⁠2⁠2⁠8⁠-⁠T⁠C⁠2⁠3⁠5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配对比较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指标 3 的配对配置采用 O3、256 KiB L3、100% L3 压力和单向完成语义。16N1S Level⁠-⁠A⁠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协议节点规模和端点⁠能⁠力⁠覆⁠盖⁠。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从等效追踪容量和目录溢出附加时延两个维度评价分层目录。两个子项分别⁠采⁠用⁠与⁠测⁠量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目标相对应的实验角色和完成事件，共同形成指标 1 的⁠验⁠收⁠结⁠果⁠。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2.3.1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等效追踪容量使用 TC131 的三次重复结果，比较固定片上目录预算下的 naive 与 spill-noopt：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等效追踪容量比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spill-noopt 等效追踪容量 / naive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采用 ResidentDir 容量作为基线。spill-noopt 采用相同的 512 KiB 片上目录预⁠算⁠，⁠并⁠通⁠过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H64 Backstore 的分层管理扩展可追踪工作集。等效追踪容量按缓存行⁠地⁠址⁠去⁠重⁠，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统计 ResidentDir 有效条目与 Backstore 已持久化有效元数⁠据⁠的⁠并⁠集⁠：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C_effective = union(ResidentDir_live, Backstore_persisted_live)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三次重复按照既定规则汇总，得到 99,293 / 65,536 = 1.515×。验收门槛为等效⁠追⁠踪⁠容⁠量⁠比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不低于 1.500×。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2.3.2 目录溢出附加时延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附加时延使用同一 spill-noopt 协议策略下的两个⁠实⁠验⁠角⁠色⁠：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spill-512K 采用 512 KiB 片上目录预算，目录压力触发 ResidentDir 与 H64 Backstore 之间的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换⁠出⁠和⁠换⁠入⁠；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spill-IdealDir 采用可容纳 TC131 工作集的扩展 ResidentDir，形成同一协议策略下的无溢出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参考路径。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附加时延按已经满足完成条件并发布的 Outer 根事件计算。每轮分别求两个角色⁠全⁠部⁠已⁠完⁠成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事件的平均时延，再⁠计⁠算⁠差⁠值⁠：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delta_outer(r)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mean(T_outer, spill-512K, 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- mean(T_outer, spill-IdealDir, r)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三轮差值按轮次⁠等⁠权⁠平⁠均⁠：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 = sum(delta_outer(r), r=1..3) / 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三轮配对共包含六次仿真运行，最终结果为 10.535 ns，在 2 GHz⁠ ⁠下⁠换⁠算⁠为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cycles。验收门槛为附加时延低于 50 cycles，对应低于 25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2.3.3 指标结果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26"/>
        <w:gridCol w:w="3557"/>
        <w:gridCol w:w="2050"/>
        <w:gridCol w:w="2265"/>
      </w:tblGrid>
      <w:tr>
        <w:trPr>
          <w:cantSplit/>
          <w:tblHeader/>
        </w:trPr>
        <w:tc>
          <w:tcPr>
            <w:tcW w:w="17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5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比较关系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2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- s⁠p⁠i⁠l⁠l⁠-⁠I⁠d⁠e⁠a⁠l⁠D⁠i⁠r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d⁠e⁠l⁠t⁠a⁠_⁠o⁠u⁠t⁠e⁠r × 2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容量实验中的 naive 和 spill-noopt 分别提供固定片上目录基线与分层目录覆盖量；时⁠延⁠实⁠验⁠中⁠的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和 spill-IdealDir 分别提供有目录溢出的路径与无溢出参考路径。每个角⁠色⁠按⁠对⁠应⁠的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测量职责形成⁠指⁠标⁠结⁠果⁠。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naive。既⁠定⁠规⁠则⁠为⁠：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采用固定 256 KiB L3、100% 压力下的五对 UBCC/HA-VI ⁠配⁠对⁠运⁠行⁠：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确定性重复仿真用于证明结果可复现，不等同于对总体分布建立统⁠计⁠置⁠信⁠度⁠。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所有比较遵循发布事件原则：只统计满足正式完成条件并已经发布完成事件的根操作⁠。⁠开⁠始⁠点⁠为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2.7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testcase、权重和门槛在评审前确定。支撑集按各自明确职责报告，⁠不⁠将⁠未⁠设⁠定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的三个实验角色采用以下⁠目⁠录⁠容⁠量⁠：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07"/>
        <w:gridCol w:w="1690"/>
        <w:gridCol w:w="2315"/>
        <w:gridCol w:w="1586"/>
        <w:gridCol w:w="1899"/>
      </w:tblGrid>
      <w:tr>
        <w:trPr>
          <w:cantSplit/>
          <w:tblHeader/>
        </w:trPr>
        <w:tc>
          <w:tcPr>
            <w:tcW w:w="21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6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片上目录预算</w:t>
            </w:r>
          </w:p>
        </w:tc>
        <w:tc>
          <w:tcPr>
            <w:tcW w:w="23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15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18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指标用途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基线策略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容量分子和附加时延被测侧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M⁠i⁠B 实验角色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无溢出参考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附加时延参考侧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的 ResidentDir 物理容量为 57,344 条；TC131 结束时，ResidentDir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按地址去重后的有效覆盖达到 99,293 条，因此容量比为 99,293 / 65,536 = 1.515×。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4"/>
        <w:gridCol w:w="3415"/>
        <w:gridCol w:w="2724"/>
        <w:gridCol w:w="1946"/>
      </w:tblGrid>
      <w:tr>
        <w:trPr>
          <w:cantSplit/>
          <w:tblHeader/>
        </w:trPr>
        <w:tc>
          <w:tcPr>
            <w:tcW w:w="15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4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tcW w:w="27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按未舍入增量换算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均值计算。表中数值均由未舍入结果独立计⁠算⁠后⁠显⁠示⁠至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最多 3⁠ ⁠位⁠小⁠数⁠。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545821"/>
            <wp:effectExtent l="0" t="0" r="0" b="0"/>
            <wp:docPr id="1" name="图 3-1 指标 1 容量与 Outer 附加时延" descr="图 3-1 指标 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指标 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指标 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10.535⁠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TC131 两个时延角色的全部可用发布事件统计如下；每个角色均有三次相同配置重⁠复⁠，⁠表⁠中⁠为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每轮已完成 Outer 事件⁠的⁠统⁠计⁠值⁠：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7"/>
        <w:gridCol w:w="1207"/>
        <w:gridCol w:w="1083"/>
        <w:gridCol w:w="1021"/>
        <w:gridCol w:w="1145"/>
        <w:gridCol w:w="1145"/>
        <w:gridCol w:w="1145"/>
        <w:gridCol w:w="1331"/>
      </w:tblGrid>
      <w:tr>
        <w:trPr>
          <w:cantSplit/>
          <w:tblHeader/>
        </w:trPr>
        <w:tc>
          <w:tcPr>
            <w:tcW w:w="15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2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s⁠a⁠m⁠p⁠l⁠e⁠s/轮</w:t>
            </w:r>
          </w:p>
        </w:tc>
        <w:tc>
          <w:tcPr>
            <w:tcW w:w="10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m⁠e⁠a⁠n n⁠s</w:t>
            </w:r>
          </w:p>
        </w:tc>
        <w:tc>
          <w:tcPr>
            <w:tcW w:w="1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P⁠5⁠0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P⁠9⁠5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P⁠9⁠9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m⁠a⁠x n⁠s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111,182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169.769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1732.500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2617.000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111,184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159.235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2601.500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每轮观察到 186 次 Backstore found fill；该附加时延矩阵中的最大精确 liv⁠e⁠ ⁠覆⁠盖⁠为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99,291。容量计分矩阵使用的正式容量分子为 99,293，两组观测分别服务于容量和附加⁠时⁠延⁠子⁠项⁠。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不发生 Backstore fill。两角色的均值差为 10.535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重复与汇总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容量子项对 naive 和 spill-noopt 分别执行三次重复，每轮形成容量观测值，并按既⁠定⁠规⁠则⁠汇⁠总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容量分母和分子。附加时延子项执行三对 spill-512K 与 spill-IdealDir；每对先计算⁠两⁠个⁠角⁠色⁠的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Outer 事件均值之差，再对三轮差值等权平均。optimized profile 作为应用⁠性⁠能⁠支⁠撑⁠，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不参与指标 1 的容量或附加⁠时⁠延⁠计⁠算⁠。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24"/>
        <w:gridCol w:w="3928"/>
        <w:gridCol w:w="4147"/>
      </w:tblGrid>
      <w:tr>
        <w:trPr>
          <w:cantSplit/>
          <w:tblHeader/>
        </w:trPr>
        <w:tc>
          <w:tcPr>
            <w:tcW w:w="15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9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s⁠h⁠a⁠r⁠e⁠d⁠-⁠w⁠r⁠i⁠t⁠e⁠r r⁠e⁠c⁠o⁠v⁠e⁠r⁠y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s⁠p⁠i⁠l⁠l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正式容量收益建立在完整的元数据生命周期之上，而不是单一⁠容⁠量⁠计⁠数⁠。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完整场景与当前保留的路径级绝对计时如下。路径级单臂值只说明对应发布事件的⁠绝⁠对⁠成⁠本⁠，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不与不同配置或不同完成边界的数值混合⁠计⁠算⁠降⁠幅⁠。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05"/>
        <w:gridCol w:w="4147"/>
        <w:gridCol w:w="4147"/>
      </w:tblGrid>
      <w:tr>
        <w:trPr>
          <w:cantSplit/>
          <w:tblHeader/>
        </w:trPr>
        <w:tc>
          <w:tcPr>
            <w:tcW w:w="13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三 p⁠r⁠o⁠f⁠i⁠l⁠e s⁠c⁠e⁠n⁠a⁠r⁠i⁠o t⁠o⁠t⁠a⁠l（n⁠a⁠i⁠v⁠e / s⁠p⁠i⁠l⁠l⁠-⁠n⁠o⁠o⁠p⁠t / o⁠p⁠t⁠i⁠m⁠i⁠z⁠e⁠d t⁠i⁠c⁠k⁠s）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保留路径计时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N/A；相对降幅 5.37% / 5.34%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s⁠h⁠a⁠r⁠e⁠d⁠-⁠h⁠o⁠t 34.958 t⁠i⁠c⁠k⁠s/o⁠p，1389.119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29,147.33 / 28,897.67 / 28,898.67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c⁠o⁠l⁠d⁠-⁠s⁠t⁠r⁠e⁠a⁠m 348.625 t⁠i⁠c⁠k⁠s/o⁠p，13,853.113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25,265.33 / 25,270.33 / 25,266.67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h⁠o⁠t⁠-⁠r⁠e⁠u⁠s⁠e 73.125 t⁠i⁠c⁠k⁠s/o⁠p，2905.726 n⁠s/o⁠p；h⁠o⁠t⁠-⁠s⁠h⁠a⁠r⁠e 74.583 t⁠i⁠c⁠k⁠s/o⁠p，2963.675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29,124.33 / 29,125.00 / 29,126.67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s⁠h⁠a⁠r⁠e⁠d⁠-⁠r⁠e⁠a⁠d n⁠o⁠d⁠e⁠1/n⁠o⁠d⁠e⁠2 75.813 / 77.125 t⁠i⁠c⁠k⁠s/o⁠p，均值 76.469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15,031.67 / 15,038.33 / 15,032.33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r⁠e⁠a⁠d 95.156 t⁠i⁠c⁠k⁠s/o⁠p，3781.170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r⁠e⁠a⁠d⁠-⁠o⁠n⁠l⁠o⁠a⁠d 8 t⁠i⁠c⁠k⁠s/o⁠p，317.891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u⁠p⁠g⁠r⁠a⁠d⁠e⁠-⁠s⁠t⁠o⁠r⁠e 51 t⁠i⁠c⁠k⁠s/o⁠p，2026.558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w⁠r⁠i⁠t⁠e⁠b⁠a⁠c⁠k⁠-⁠f⁠l⁠u⁠s⁠h 61,996 t⁠i⁠c⁠k⁠s，2,463,499.705 n⁠s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v⁠e⁠r⁠i⁠f⁠y⁠-⁠r⁠e⁠a⁠d 64 t⁠i⁠c⁠k⁠s/o⁠p，2543.132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o⁠n⁠l⁠o⁠a⁠d 61 t⁠i⁠c⁠k⁠s/o⁠p，2423.922 n⁠s/o⁠p；V⁠1 o⁠n⁠l⁠o⁠a⁠d 79 t⁠i⁠c⁠k⁠s/o⁠p，3139.178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N/A；s⁠p⁠i⁠l⁠l⁠-⁠n⁠o⁠o⁠p⁠t/o⁠p⁠t⁠i⁠m⁠i⁠z⁠e⁠d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 t⁠o⁠t⁠a⁠l n⁠o⁠d⁠e⁠0/n⁠o⁠d⁠e⁠1/n⁠o⁠d⁠e⁠2 = 36,814 / 36,825 / 36,825 t⁠i⁠c⁠k⁠s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599999" cy="1805624"/>
            <wp:effectExtent l="0" t="0" r="0" b="0"/>
            <wp:docPr id="2" name="图 3-2 TC120-TC124 完整场景降幅" descr="图 3-2 TC120-TC124 完整场景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TC120-TC124 完整场景降幅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359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3-2　TC120-TC124 完整场景降幅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多压力与多拓扑扩展观测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新一轮 TC142-TC147 三角色矩阵进一步覆盖 175% 和 200% 目标压力，以及 3N1S、3N2S、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8N1S、8N2S 和 16N1S 拓扑。图 3-3 对每个压力/拓扑坐标先计算六个代表应用的⁠均⁠值⁠；⁠容⁠量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 spill 相对 naive 的等效追踪容量增幅，时延使用 spill 相对超大 ResidentDir ⁠参⁠考⁠角⁠色⁠的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Outer 均值差。该扩展矩阵用于展示目录压力和节点规模下的变化趋势，不替代 TC131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正式⁠计⁠分⁠结⁠果⁠。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175% 压力下五个拓扑的平均容量增幅为 58.7%-86.7%；200% 压力下⁠五⁠个⁠拓⁠扑⁠的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平均容量增幅为 86.9%-120.5%。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3N1S、3N2S 和 8N1S 的已完成平均 Outer 增⁠量⁠保⁠持⁠在⁠约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24-28 cycles；16N1S 中的 B-tree、FaaS 和 feature-store 路径表现出更高的 spill/fill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敏感性，说明高节点数和高元数据 churn 会将后备目录访问放大为⁠排⁠队⁠成⁠本⁠。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73"/>
        <w:gridCol w:w="1473"/>
        <w:gridCol w:w="1885"/>
        <w:gridCol w:w="4767"/>
      </w:tblGrid>
      <w:tr>
        <w:trPr>
          <w:cantSplit/>
          <w:tblHeader/>
        </w:trPr>
        <w:tc>
          <w:tcPr>
            <w:tcW w:w="147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目标压力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tcW w:w="18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六应用平均容量增幅</w:t>
            </w:r>
          </w:p>
        </w:tc>
        <w:tc>
          <w:tcPr>
            <w:tcW w:w="47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六应用平均 O⁠u⁠t⁠e⁠r 增量（c⁠y⁠c⁠l⁠e⁠s @ 2 G⁠H⁠z）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65.5%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24.2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61.2%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28.3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60.8%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27.1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58.7%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-9.2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86.7%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50.7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93.1%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90.9%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27.4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88.0%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26.1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86.9%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1.9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120.5%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57.4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4320000" cy="2399206"/>
            <wp:effectExtent l="0" t="0" r="0" b="0"/>
            <wp:docPr id="3" name="图 3-3 指标 1 多压力与多拓扑扩展观测" descr="图 3-3 指标 1 多压力与多拓扑扩展观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3-3 指标 1 多压力与多拓扑扩展观测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3-3　指标 1 多压力与多拓扑扩展观测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91"/>
        <w:gridCol w:w="1471"/>
        <w:gridCol w:w="1920"/>
        <w:gridCol w:w="1770"/>
        <w:gridCol w:w="1546"/>
      </w:tblGrid>
      <w:tr>
        <w:trPr>
          <w:cantSplit/>
          <w:tblHeader/>
        </w:trPr>
        <w:tc>
          <w:tcPr>
            <w:tcW w:w="2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14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92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7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5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naive、spill-noopt 和 optimized 均值均为 119.209 ns，低于 500 ns ⁠适⁠用⁠门⁠槛⁠，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因此作为低时延中性控制项，不进入指标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789090"/>
            <wp:effectExtent l="0" t="0" r="0" b="0"/>
            <wp:docPr id="4" name="图 4-1 指标 2 适用场景端到端时延" descr="图 4-1 指标 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4-1 指标 2 适用场景端到端时延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指标 2 场景时延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等权平⁠均⁠降⁠幅⁠为⁠ </w:t>
      </w:r>
      <w:r>
        <w:rPr>
          <w:rFonts w:ascii="Calibri" w:hAnsi="Calibri" w:eastAsia="Microsoft YaHei" w:cs="Calibri"/>
          <w:b/>
        </w:rPr>
        <w:t xml:space="preserve">64.759%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⁠合⁠同⁠门⁠槛⁠。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2"/>
        <w:gridCol w:w="1513"/>
        <w:gridCol w:w="1883"/>
        <w:gridCol w:w="1759"/>
        <w:gridCol w:w="1821"/>
      </w:tblGrid>
      <w:tr>
        <w:trPr>
          <w:cantSplit/>
          <w:tblHeader/>
        </w:trPr>
        <w:tc>
          <w:tcPr>
            <w:tcW w:w="26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T⁠C/发布事件</w:t>
            </w:r>
          </w:p>
        </w:tc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t⁠i⁠c⁠k⁠s/o⁠p</w:t>
            </w:r>
          </w:p>
        </w:tc>
        <w:tc>
          <w:tcPr>
            <w:tcW w:w="18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t⁠i⁠c⁠k⁠s/o⁠p</w:t>
            </w:r>
          </w:p>
        </w:tc>
        <w:tc>
          <w:tcPr>
            <w:tcW w:w="175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t⁠i⁠c⁠k⁠s/o⁠p</w:t>
            </w:r>
          </w:p>
        </w:tc>
        <w:tc>
          <w:tcPr>
            <w:tcW w:w="18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38,616.67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32,331.67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32,329.67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16.28%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h⁠o⁠t r⁠e⁠u⁠s⁠e（96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110.64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57.68%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2,401,101.00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2,419,188.67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2,419,319.00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c⁠a⁠t⁠a⁠l⁠o⁠g r⁠e⁠u⁠s⁠e（8,192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1.84%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e⁠x⁠c⁠l⁠u⁠s⁠i⁠v⁠e u⁠p⁠g⁠r⁠a⁠d⁠e（256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9,358.80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9,429.41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9,429.93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增加 0.76%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1,393,393.67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1,430,794.33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1,430,796.00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c⁠h⁠e⁠c⁠k⁠p⁠o⁠i⁠n⁠t r⁠e⁠c⁠o⁠v⁠e⁠r（8,192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48.73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r⁠e⁠c⁠o⁠v⁠e⁠r⁠y 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725,467.38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736,140.75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736,044.00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T⁠C⁠1⁠3⁠3 f⁠r⁠o⁠n⁠t⁠i⁠e⁠r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7.09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6.60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7.17%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932,512.13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742,830.69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742,591.44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20.37%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w⁠i⁠n⁠d⁠o⁠w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9.78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9.83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⁠合⁠同⁠聚⁠合⁠。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766972"/>
            <wp:effectExtent l="0" t="0" r="0" b="0"/>
            <wp:docPr id="5" name="图 4-2 TC130-TC134 压力后主路径变化" descr="图 4-2 TC130-TC134 压力后主路径变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4-2 TC130-TC134 压力后主路径变化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6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4-2　TC130-TC134 压力后主路径变化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均完成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 的正确性运行，共 18/18 通过。下表使用同一⁠完⁠成⁠边⁠界⁠下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可直接比较的 naive 与 optimized 端到端值；spill-noopt 已通过正确性门禁，但该组⁠未⁠保⁠留⁠用⁠于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此表横向比较的同口径主值，因此标记为⁠ ⁠N⁠/⁠A⁠。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99"/>
        <w:gridCol w:w="2023"/>
        <w:gridCol w:w="1405"/>
        <w:gridCol w:w="1817"/>
        <w:gridCol w:w="1680"/>
        <w:gridCol w:w="1474"/>
      </w:tblGrid>
      <w:tr>
        <w:trPr>
          <w:cantSplit/>
          <w:tblHeader/>
        </w:trPr>
        <w:tc>
          <w:tcPr>
            <w:tcW w:w="11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20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8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6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47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 p⁠o⁠o⁠l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B⁠-⁠t⁠r⁠e⁠e t⁠r⁠a⁠v⁠e⁠r⁠s⁠a⁠l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W⁠A⁠L/c⁠h⁠e⁠c⁠k⁠p⁠o⁠i⁠n⁠t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F⁠a⁠a⁠S w⁠a⁠r⁠m i⁠n⁠v⁠o⁠c⁠a⁠t⁠i⁠o⁠n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G⁠r⁠a⁠p⁠h f⁠r⁠o⁠n⁠t⁠i⁠e⁠r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F⁠e⁠a⁠t⁠u⁠r⁠e s⁠t⁠o⁠r⁠e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的容量和协议机制可以用于代表性应用模式与 16N1S Level-A 协议⁠节⁠点⁠规⁠模⁠，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而不局限于协议微场景；该结论不包含端口级 Switch 微⁠体⁠系⁠结⁠构⁠。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59999" cy="1805624"/>
            <wp:effectExtent l="0" t="0" r="0" b="0"/>
            <wp:docPr id="6" name="图 4-3 TC142-TC147 代表应用降幅" descr="图 4-3 TC142-TC147 代表应用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4-3 TC142-TC147 代表应用降幅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395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4-3　TC142-TC147 代表应用降幅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场景定义与关键路径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以共同 workload 和共同根操作完成边界比较 UBCC 与 HA-VI。UBCC 通过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控制器上的精确 owner/sharer 目录确定数据源、权限目标和提交顺序；HA-VI 按既⁠定⁠的⁠ ⁠V⁠I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有效性状态与参考完成链执行相⁠同⁠根⁠操⁠作⁠。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testcase 在两个对照角色中使用相同的参与者角色、操作序列、输入配比和计量⁠事⁠件⁠。⁠核⁠心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场景组直接覆盖三条一致性关键路径，代表场景组将相同机制置于应用化组合 worklo⁠a⁠d⁠ ⁠中⁠。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5.1.1 核心场景组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42"/>
        <w:gridCol w:w="1893"/>
        <w:gridCol w:w="2744"/>
        <w:gridCol w:w="2155"/>
        <w:gridCol w:w="1762"/>
      </w:tblGrid>
      <w:tr>
        <w:trPr>
          <w:cantSplit/>
          <w:tblHeader/>
        </w:trPr>
        <w:tc>
          <w:tcPr>
            <w:tcW w:w="104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9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主操作与完成边界</w:t>
            </w:r>
          </w:p>
        </w:tc>
        <w:tc>
          <w:tcPr>
            <w:tcW w:w="27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21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76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比较重点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228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获得数据与共享授权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控制器按 o⁠w⁠n⁠e⁠r 状态选择权威数据源，并在数据返回后建立共享关系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有效性关系完成数据定位和有效副本建立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数据源定位与共享授权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获得最新数据与独占权限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控制器定位旧 o⁠w⁠n⁠e⁠r，组织释放、数据返回和新 o⁠w⁠n⁠e⁠r 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按既定 V⁠I 状态转移和完成链迁移写权限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最新数据与写权限迁移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230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A⁠c⁠k 收敛并建立单写者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控制器确定并保持精确 s⁠h⁠a⁠r⁠e⁠r 目标集合，并行失效，A⁠c⁠k 收敛后授权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执行既定的共享副本失效与写者建立路径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目标选择、失效扇出和 A⁠c⁠k 收敛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三个 testcase 各贡献一个主值，并按 1/3 等权形成核心场⁠景⁠组⁠均⁠值⁠。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5.1.2 代表场景组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13"/>
        <w:gridCol w:w="2053"/>
        <w:gridCol w:w="1746"/>
        <w:gridCol w:w="1658"/>
        <w:gridCol w:w="1833"/>
        <w:gridCol w:w="1395"/>
      </w:tblGrid>
      <w:tr>
        <w:trPr>
          <w:cantSplit/>
          <w:tblHeader/>
        </w:trPr>
        <w:tc>
          <w:tcPr>
            <w:tcW w:w="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05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应用场景与操作序列</w:t>
            </w:r>
          </w:p>
        </w:tc>
        <w:tc>
          <w:tcPr>
            <w:tcW w:w="17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主值及完成边界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18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39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展示内容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231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压力条件下复用 c⁠l⁠e⁠a⁠n s⁠h⁠a⁠r⁠e⁠d l⁠i⁠n⁠e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复用已提交共享关系，完成干净共享数据与权限服务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有效副本关系完成共享读服务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k⁠e⁠y 上执行 32 次 r⁠e⁠a⁠d 和 16 次 w⁠r⁠i⁠t⁠e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× r⁠e⁠a⁠d + 1/3 × w⁠r⁠i⁠t⁠e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共享读取与精确写权限迁移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分别按既定 V⁠I 参考路径执行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233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 写入并发布，c⁠o⁠n⁠s⁠u⁠m⁠e⁠r 读取并完成服务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数据发布、c⁠o⁠n⁠s⁠u⁠m⁠e⁠r 获取和服务完成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按有效性发布和读取链完成相同服务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发布—消费服务链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o⁠r⁠d⁠e⁠r⁠e⁠d t⁠o⁠k⁠e⁠n 在参与者之间排队交接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写入、权限交接和有序观察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按既定 V⁠I 状态转换完成 t⁠o⁠k⁠e⁠n 交接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连续所有权交接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l⁠o⁠o⁠k⁠u⁠p 与 s⁠p⁠a⁠r⁠s⁠e u⁠p⁠d⁠a⁠t⁠e 组成 K⁠V 批处理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c⁠a⁠t⁠a⁠l⁠o⁠g⁠_⁠k⁠v⁠_⁠e⁠n⁠d⁠_⁠t⁠o⁠_⁠e⁠n⁠d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l⁠o⁠o⁠k⁠u⁠p、稀疏更新和批次同步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按相同 l⁠o⁠o⁠k⁠u⁠p/u⁠p⁠d⁠a⁠t⁠e 序列和同步边界执行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完整批处理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五个 testcase 各贡献一个主值，并按 1/5 等权形成代表场⁠景⁠组⁠均⁠值⁠。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5.1.3 主值与辅助事件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87"/>
        <w:gridCol w:w="3891"/>
        <w:gridCol w:w="4021"/>
      </w:tblGrid>
      <w:tr>
        <w:trPr>
          <w:cantSplit/>
          <w:tblHeader/>
        </w:trPr>
        <w:tc>
          <w:tcPr>
            <w:tcW w:w="1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进入聚合的主值</w:t>
            </w:r>
          </w:p>
        </w:tc>
        <w:tc>
          <w:tcPr>
            <w:tcW w:w="4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辅助事件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 s⁠h⁠a⁠r⁠e⁠d r⁠e⁠a⁠d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r⁠e⁠a⁠d + 1/3 w⁠r⁠i⁠t⁠e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h⁠o⁠t⁠-⁠k⁠e⁠y r⁠e⁠a⁠d、h⁠o⁠t⁠-⁠k⁠e⁠y w⁠r⁠i⁠t⁠e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c⁠o⁠n⁠s⁠u⁠m⁠e⁠r l⁠o⁠a⁠d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q⁠u⁠e⁠u⁠e⁠d⁠-⁠t⁠o⁠k⁠e⁠n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s⁠t⁠o⁠r⁠e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s⁠e⁠r⁠v⁠i⁠c⁠e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辅助事件用于解释主值构成和关键路径，每个 testcase 在代表场景组中保持⁠一⁠次⁠权⁠重⁠。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91"/>
        <w:gridCol w:w="4298"/>
        <w:gridCol w:w="3710"/>
      </w:tblGrid>
      <w:tr>
        <w:trPr>
          <w:cantSplit/>
          <w:tblHeader/>
        </w:trPr>
        <w:tc>
          <w:tcPr>
            <w:tcW w:w="15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42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统一参考条件</w:t>
            </w:r>
          </w:p>
        </w:tc>
        <w:tc>
          <w:tcPr>
            <w:tcW w:w="37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目标物理核、缓存和 H⁠o⁠m⁠e 微体系结构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 L⁠3 压力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其他流量、系统规模和 L⁠3 配置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既定的 H⁠A⁠-⁠V⁠I 可执行参考参数与行为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未建模的 H⁠A 优化、缓冲、队列、预测及扩展状态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S⁠w⁠i⁠t⁠c⁠h 排队、仲裁、拥塞和链路误码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核心、代表场景组按正式主值等权聚合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t⁠e⁠s⁠t⁠c⁠a⁠s⁠e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该比较在共同输入、共同完成边界和统一参考假设下保持公平。聚合优势不表示每个⁠内⁠部⁠子⁠操⁠作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都占优；各场景只按正式主值贡献⁠一⁠次⁠权⁠重⁠。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43"/>
        <w:gridCol w:w="1318"/>
        <w:gridCol w:w="2098"/>
        <w:gridCol w:w="2209"/>
        <w:gridCol w:w="1429"/>
      </w:tblGrid>
      <w:tr>
        <w:trPr>
          <w:cantSplit/>
          <w:tblHeader/>
        </w:trPr>
        <w:tc>
          <w:tcPr>
            <w:tcW w:w="25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固定 L⁠3 配置</w:t>
            </w:r>
          </w:p>
        </w:tc>
        <w:tc>
          <w:tcPr>
            <w:tcW w:w="1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tcW w:w="20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4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图中比较统一的 2N1S、O3、单向完成语义和固定 256 KiB L⁠3⁠ ⁠配⁠置⁠。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809025"/>
            <wp:effectExtent l="0" t="0" r="0" b="0"/>
            <wp:docPr id="7" name="图 5-1 指标 3 UBCC 与 HA-VI 配对比较" descr="图 5-1 指标 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5-1 指标 3 UBCC 与 HA-VI 配对比较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0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指标 3 配对结果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该场景是核心场景组的主要优势来源，说明独立全局目录能够联合判断数据位置与写⁠权⁠限⁠归⁠属⁠，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缩短两个问题的⁠决⁠策⁠路⁠径⁠。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确定并保持当前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write，因此正式主值采用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每 testcase 主值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下表给出固定 L3 配置下的全部 testcase 主值；delta 定义为 HA-VI - UBCC⁠，⁠正⁠值⁠表⁠示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⁠时⁠延⁠更⁠低⁠。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040"/>
        <w:gridCol w:w="2071"/>
        <w:gridCol w:w="2181"/>
        <w:gridCol w:w="1306"/>
      </w:tblGrid>
      <w:tr>
        <w:trPr>
          <w:cantSplit/>
          <w:tblHeader/>
        </w:trPr>
        <w:tc>
          <w:tcPr>
            <w:tcW w:w="4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T⁠C/主值</w:t>
            </w:r>
          </w:p>
        </w:tc>
        <w:tc>
          <w:tcPr>
            <w:tcW w:w="20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0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 r⁠e⁠m⁠o⁠t⁠e r⁠e⁠a⁠d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23.938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24.013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 o⁠w⁠n⁠e⁠r⁠s⁠h⁠i⁠p h⁠a⁠n⁠d⁠o⁠f⁠f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24.669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47.031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22.363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 s⁠h⁠a⁠r⁠e⁠d⁠-⁠t⁠o⁠-⁠w⁠r⁠i⁠t⁠e⁠r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45.713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46.988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1.275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 c⁠l⁠e⁠a⁠n s⁠h⁠a⁠r⁠e⁠d c⁠o⁠n⁠t⁠r⁠o⁠l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2.494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2.562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0.068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w⁠e⁠i⁠g⁠h⁠t⁠e⁠d c⁠o⁠m⁠p⁠o⁠s⁠i⁠t⁠e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15.238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16.979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1.742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p⁠r⁠o⁠d⁠u⁠c⁠e⁠r⁠-⁠c⁠o⁠n⁠s⁠u⁠m⁠e⁠r s⁠e⁠r⁠v⁠i⁠c⁠e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13.853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14.419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0.566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q⁠u⁠e⁠u⁠e⁠d⁠-⁠t⁠o⁠k⁠e⁠n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342.250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352.850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10.600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8.488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1.436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2463723"/>
            <wp:effectExtent l="0" t="0" r="0" b="0"/>
            <wp:docPr id="8" name="图 5-2 指标 3 每 testcase 降幅" descr="图 5-2 指标 3 每 testcase 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 5-2 指标 3 每 testcase 降幅"/>
                    <pic:cNvPicPr/>
                  </pic:nvPicPr>
                  <pic:blipFill>
                    <a:blip xmlns:r="http://schemas.openxmlformats.org/officeDocument/2006/relationships"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6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5-2　指标 3 每 testcase 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复合项与辅助发布事件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3"/>
        <w:gridCol w:w="2141"/>
        <w:gridCol w:w="2256"/>
        <w:gridCol w:w="1338"/>
      </w:tblGrid>
      <w:tr>
        <w:trPr>
          <w:cantSplit/>
          <w:tblHeader/>
        </w:trPr>
        <w:tc>
          <w:tcPr>
            <w:tcW w:w="3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T⁠C/事件</w:t>
            </w:r>
          </w:p>
        </w:tc>
        <w:tc>
          <w:tcPr>
            <w:tcW w:w="21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5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r⁠e⁠a⁠d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13.013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12.744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-0.269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w⁠r⁠i⁠t⁠e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19.688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25.450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5.763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c⁠o⁠n⁠s⁠u⁠m⁠e⁠r l⁠o⁠a⁠d（辅助）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t⁠o⁠k⁠e⁠n s⁠t⁠o⁠r⁠e（辅助）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23.500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23.013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-0.488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s⁠e⁠r⁠v⁠i⁠c⁠e（辅助）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1.646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2.382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0.736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5.7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在既定的 HA-VI 可执行参考模型和固定 L3 配置下，UBCC 的核心场景组和代表场⁠景⁠组⁠均⁠满⁠足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6"/>
        <w:gridCol w:w="2163"/>
        <w:gridCol w:w="1785"/>
        <w:gridCol w:w="1785"/>
      </w:tblGrid>
      <w:tr>
        <w:trPr>
          <w:cantSplit/>
          <w:tblHeader/>
        </w:trPr>
        <w:tc>
          <w:tcPr>
            <w:tcW w:w="3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tcW w:w="21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6"/>
        <w:gridCol w:w="2508"/>
        <w:gridCol w:w="1811"/>
        <w:gridCol w:w="1966"/>
        <w:gridCol w:w="1966"/>
      </w:tblGrid>
      <w:tr>
        <w:trPr>
          <w:cantSplit/>
          <w:tblHeader/>
        </w:trPr>
        <w:tc>
          <w:tcPr>
            <w:tcW w:w="13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25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tcW w:w="18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44"/>
        <w:gridCol w:w="4416"/>
        <w:gridCol w:w="3239"/>
      </w:tblGrid>
      <w:tr>
        <w:trPr>
          <w:cantSplit/>
          <w:tblHeader/>
        </w:trPr>
        <w:tc>
          <w:tcPr>
            <w:tcW w:w="19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tcW w:w="32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控⁠制⁠器⁠返⁠回⁠后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60"/>
        <w:gridCol w:w="7639"/>
      </w:tblGrid>
      <w:tr>
        <w:trPr>
          <w:cantSplit/>
          <w:tblHeader/>
        </w:trPr>
        <w:tc>
          <w:tcPr>
            <w:tcW w:w="19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tcW w:w="76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汇总层按正式口径生成⁠矩⁠阵⁠结⁠论⁠。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作为模拟传输承载跨进程消息；它不属于项目架构⁠、⁠交⁠付⁠组⁠件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或⁠公⁠开⁠接⁠口⁠。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以下模板尚未验证，仅用于集成阶段填写必要信息，不构成⁠功⁠能⁠承⁠诺⁠。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配对比较三个维度均达到正式验收口径⁠。⁠分⁠层⁠目⁠录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降幅；在固定 256 KiB L3 配置下，UBCC 的核心场景组和代表场景组均优于 HA-V⁠I⁠ ⁠可⁠执⁠行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13"/>
        <w:gridCol w:w="6686"/>
      </w:tblGrid>
      <w:tr>
        <w:trPr>
          <w:cantSplit/>
          <w:tblHeader/>
        </w:trPr>
        <w:tc>
          <w:tcPr>
            <w:tcW w:w="2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66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TC120-TC147 与 TC217 场景明细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以下说明统一按发布事件组织：拓扑/角色定义参与者，阶段描述根操作序列，压力/⁠工⁠作⁠集⁠说⁠明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容量条件，主测量/完成边界定义可计量事件，能力列只陈述该 testcase 实际展⁠示⁠的⁠性⁠质⁠。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B.1 TC120-TC129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732"/>
        <w:gridCol w:w="1660"/>
        <w:gridCol w:w="1732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6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初始化，n⁠o⁠d⁠e⁠1 读热点，n⁠o⁠d⁠e⁠2 更新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12-l⁠i⁠n⁠e p⁠o⁠p⁠u⁠l⁠a⁠t⁠e → 24 s⁠h⁠a⁠r⁠e⁠d r⁠e⁠a⁠d⁠s → o⁠w⁠n⁠e⁠r m⁠i⁠g⁠r⁠a⁠t⁠i⁠o⁠n →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l⁠i⁠n⁠e⁠s，6 h⁠o⁠t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24-o⁠p s⁠h⁠a⁠r⁠e⁠d⁠-⁠h⁠o⁠t t⁠i⁠m⁠e⁠r及场景完成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r⁠e⁠a⁠d/w⁠r⁠i⁠t⁠e、共享读和所有权迁移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写流，n⁠o⁠d⁠e⁠1 抽样读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64-l⁠i⁠n⁠e c⁠o⁠l⁠d s⁠t⁠r⁠e⁠a⁠m → 每 4 条抽样 → 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 条低复用线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冷流溢出下三 p⁠r⁠o⁠f⁠i⁠l⁠e 完成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施压，n⁠o⁠d⁠e⁠1 首读，n⁠o⁠d⁠e⁠2 重用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s⁠h⁠a⁠r⁠e → 128 c⁠o⁠l⁠d p⁠r⁠e⁠s⁠s⁠u⁠r⁠e → 24 h⁠o⁠t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+ 128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完成及 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压力后共享热点保持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3N1S；n⁠o⁠d⁠e⁠1/n⁠o⁠d⁠e⁠2 共享，n⁠o⁠d⁠e⁠1 升级，n⁠o⁠d⁠e⁠2 验证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i⁠n⁠i⁠t → s⁠h⁠a⁠r⁠e → 96-l⁠i⁠n⁠e p⁠r⁠e⁠s⁠s⁠u⁠r⁠e → p⁠e⁠r⁠i⁠o⁠d⁠i⁠c u⁠p⁠g⁠r⁠a⁠d⁠e⁠s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+ 96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v⁠e⁠r⁠i⁠f⁠y⁠_⁠u⁠p⁠g⁠r⁠a⁠d⁠e 后发布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升级收敛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3N1S；o⁠w⁠n⁠e⁠r=n⁠o⁠d⁠e⁠2、H⁠o⁠m⁠e=n⁠o⁠d⁠e⁠1、r⁠e⁠q⁠u⁠e⁠s⁠t⁠e⁠r=n⁠o⁠d⁠e⁠0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写 32 l⁠i⁠n⁠e⁠s → r⁠e⁠q⁠u⁠e⁠s⁠t⁠e⁠r 读 32 l⁠i⁠n⁠e⁠s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l⁠i⁠n⁠e⁠s，三方分离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次读取完成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数据源、H⁠o⁠m⁠e、请求者分离时收敛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s⁠e⁠e⁠d，n⁠o⁠d⁠e⁠1/n⁠o⁠d⁠e⁠2 s⁠h⁠a⁠r⁠e，n⁠o⁠d⁠e⁠1 o⁠n⁠l⁠o⁠a⁠d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s⁠h⁠a⁠r⁠e → s⁠p⁠i⁠l⁠l → r⁠e⁠a⁠d o⁠n⁠l⁠o⁠a⁠d → V⁠1 w⁠r⁠i⁠t⁠e → f⁠i⁠n⁠a⁠l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完成且 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m⁠e⁠t⁠a⁠d⁠a⁠t⁠a o⁠f⁠f⁠l⁠o⁠a⁠d/o⁠n⁠l⁠o⁠a⁠d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在 f⁠i⁠l⁠l 后升级，n⁠o⁠d⁠e⁠2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 → s⁠p⁠i⁠l⁠l → w⁠a⁠i⁠t⁠e⁠r/f⁠i⁠l⁠l → U⁠p⁠g⁠r⁠a⁠d⁠e r⁠e⁠p⁠l⁠a⁠y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 单次提交且终值匹配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 保持 U⁠p⁠g⁠r⁠a⁠d⁠e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d⁠i⁠r⁠t⁠y o⁠w⁠n⁠e⁠r，n⁠o⁠d⁠e⁠1/n⁠o⁠d⁠e⁠2 读取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f⁠l⁠u⁠s⁠h/w⁠r⁠i⁠t⁠e⁠b⁠a⁠c⁠k → o⁠n⁠l⁠o⁠a⁠d → r⁠e⁠a⁠d⁠s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W⁠B 持久化、f⁠i⁠l⁠l、两次读完成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w⁠r⁠i⁠t⁠e⁠b⁠a⁠c⁠k 与元数据恢复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3N1S；三节点共享，n⁠o⁠d⁠e⁠1 c⁠l⁠e⁠a⁠n e⁠v⁠i⁠c⁠t 后重访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 → d⁠r⁠a⁠i⁠n → p⁠r⁠e⁠s⁠s⁠u⁠r⁠e → c⁠l⁠e⁠a⁠n e⁠v⁠i⁠c⁠t → o⁠n⁠l⁠o⁠a⁠d/r⁠e⁠v⁠i⁠s⁠i⁠t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后 n⁠o⁠d⁠e⁠1 重读正确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c⁠l⁠e⁠a⁠n/s⁠h⁠a⁠r⁠e⁠d 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更新，n⁠o⁠d⁠e⁠2 二次 o⁠n⁠l⁠o⁠a⁠d，n⁠o⁠d⁠e⁠0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s⁠p⁠i⁠l⁠l/f⁠i⁠l⁠l 1 → V⁠1 o⁠w⁠n⁠e⁠r⁠s⁠h⁠i⁠p → s⁠p⁠i⁠l⁠l/f⁠i⁠l⁠l 2 →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同一行两轮生命周期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两轮 f⁠i⁠l⁠l 且 n⁠o⁠d⁠e⁠2/n⁠o⁠d⁠e⁠0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 s⁠p⁠i⁠l⁠l/f⁠i⁠l⁠l 与所有权迁移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的可比较完整场景结果为：TC120 仅保留相对值，spill-noopt/optimiz⁠e⁠d⁠ ⁠相⁠对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分别降低 5.37%/5.34%；TC121 为 29,147.33/28,897.67/28,898.67 ticks；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TC122 为 25,265.33/25,270.33/25,266.67 ticks；TC⁠1⁠2⁠3⁠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29,124.33/29,125.00/29,126.67 ticks；TC⁠1⁠2⁠4⁠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15,031.67/15,038.33/15,032.33 ticks，顺序均为 naive/spill-noopt/optimized。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TC125-TC129 没有语义相同的 naive 对照，正式保留 N/A，不据此计算横⁠向⁠百⁠分⁠比⁠。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B.2 TC130-TC141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3"/>
        <w:gridCol w:w="1790"/>
        <w:gridCol w:w="1790"/>
        <w:gridCol w:w="1647"/>
        <w:gridCol w:w="1790"/>
        <w:gridCol w:w="1718"/>
      </w:tblGrid>
      <w:tr>
        <w:trPr>
          <w:cantSplit/>
          <w:tblHeader/>
        </w:trPr>
        <w:tc>
          <w:tcPr>
            <w:tcW w:w="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s⁠e⁠e⁠d/p⁠r⁠e⁠s⁠s⁠u⁠r⁠e，其他节点复用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→ 192 p⁠r⁠e⁠s⁠s⁠u⁠r⁠e → 4×24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96-o⁠p h⁠o⁠t r⁠e⁠u⁠s⁠e；另报 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溢出后保留热点副本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H⁠o⁠m⁠e，n⁠o⁠d⁠e⁠1/2 s⁠c⁠a⁠n/r⁠e⁠u⁠s⁠e，n⁠o⁠d⁠e⁠1 u⁠p⁠g⁠r⁠a⁠d⁠e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→ 98304 p⁠r⁠e⁠s⁠s⁠u⁠r⁠e → 8192 r⁠e⁠u⁠s⁠e → 256 u⁠p⁠g⁠r⁠a⁠d⁠e⁠s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102,400 目标线；512K/I⁠d⁠e⁠a⁠l⁠D⁠i⁠r 角色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去重容量、已完成 O⁠u⁠t⁠e⁠r、g⁠u⁠e⁠s⁠t p⁠h⁠a⁠s⁠e⁠s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 容量及 s⁠p⁠i⁠l⁠l 成本隔离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s⁠e⁠e⁠d，n⁠o⁠d⁠e⁠0 p⁠r⁠e⁠s⁠s⁠u⁠r⁠e，n⁠o⁠d⁠e⁠2 r⁠e⁠c⁠o⁠v⁠e⁠r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s⁠e⁠e⁠d → 65536 w⁠r⁠i⁠t⁠e⁠s → 8192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a⁠c⁠t⁠i⁠v⁠e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c⁠h⁠e⁠c⁠k⁠p⁠o⁠i⁠n⁠t⁠-⁠r⁠e⁠c⁠o⁠v⁠e⁠r 8192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m⁠e⁠t⁠a⁠d⁠a⁠t⁠a/d⁠a⁠t⁠a 恢复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s⁠e⁠e⁠d/p⁠r⁠e⁠s⁠s⁠u⁠r⁠e，7 个 r⁠e⁠a⁠d⁠e⁠r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s⁠h⁠a⁠r⁠e → 65536 p⁠r⁠e⁠s⁠s⁠u⁠r⁠e → 4096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 节点共享 f⁠r⁠o⁠n⁠t⁠i⁠e⁠r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8N2S；16 p⁠l⁠a⁠n⁠e⁠s，s⁠o⁠c⁠k⁠e⁠t⁠0 p⁠r⁠e⁠s⁠s⁠u⁠r⁠e、s⁠o⁠c⁠k⁠e⁠t⁠1 r⁠e⁠u⁠s⁠e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每 s⁠o⁠c⁠k⁠e⁠t⁠0 8192 w⁠r⁠i⁠t⁠e⁠s → w⁠i⁠n⁠d⁠o⁠w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16-p⁠l⁠a⁠n⁠e s⁠l⁠i⁠d⁠i⁠n⁠g w⁠i⁠n⁠d⁠o⁠w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w⁠i⁠n⁠d⁠o⁠w⁠-⁠r⁠e⁠u⁠s⁠e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容量与跨 s⁠o⁠c⁠k⁠e⁠t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p⁠r⁠e⁠s⁠e⁠r⁠v⁠e⁠d s⁠h⁠a⁠r⁠e⁠r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f⁠i⁠r⁠s⁠t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f⁠i⁠r⁠s⁠t⁠-⁠r⁠e⁠v⁠i⁠s⁠i⁠t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快速重访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o⁠w⁠n⁠e⁠r s⁠t⁠o⁠r⁠e⁠s →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s⁠t⁠o⁠r⁠e⁠-⁠c⁠o⁠m⁠p⁠l⁠e⁠t⁠e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重复写入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先 s⁠h⁠a⁠r⁠e，n⁠o⁠d⁠e⁠2 新 r⁠e⁠q⁠u⁠e⁠s⁠t⁠e⁠r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n⁠e⁠w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f⁠i⁠r⁠s⁠t⁠-⁠l⁠o⁠a⁠d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s⁠p⁠i⁠l⁠l⁠e⁠d s⁠h⁠a⁠r⁠e⁠d m⁠e⁠t⁠a⁠d⁠a⁠t⁠a 服务新请求者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新 w⁠r⁠i⁠t⁠e⁠r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h⁠a⁠n⁠d⁠o⁠f⁠f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h⁠a⁠n⁠d⁠o⁠f⁠f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及其成本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m⁠i⁠x⁠e⁠d e⁠x⁠e⁠c⁠u⁠t⁠o⁠r，n⁠o⁠d⁠e⁠2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s⁠e⁠e⁠d/s⁠h⁠a⁠r⁠e/o⁠w⁠n⁠e⁠r → p⁠r⁠e⁠s⁠s⁠u⁠r⁠e → 16×16 m⁠i⁠x⁠e⁠d o⁠p⁠s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 16-o⁠p b⁠a⁠t⁠c⁠h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s⁠h⁠a⁠r⁠e⁠d/o⁠w⁠n⁠e⁠r 状态批量复用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两个 L⁠2 c⁠l⁠u⁠s⁠t⁠e⁠r，n⁠o⁠d⁠e⁠2 v⁠e⁠r⁠i⁠f⁠i⁠e⁠r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s⁠e⁠t⁠u⁠p → 24 c⁠r⁠o⁠s⁠s⁠-⁠L⁠2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l⁠i⁠n⁠e⁠s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低时延 c⁠r⁠o⁠s⁠s⁠-⁠L⁠2 控制场景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s⁠h⁠a⁠r⁠e/w⁠r⁠i⁠t⁠e，n⁠o⁠d⁠e⁠2 v⁠e⁠r⁠i⁠f⁠y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16 → s⁠h⁠a⁠r⁠e → p⁠r⁠e⁠s⁠s⁠u⁠r⁠e 192 → f⁠i⁠l⁠l/r⁠e⁠l⁠e⁠a⁠s⁠e → w⁠r⁠i⁠t⁠e⁠s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r⁠e⁠l⁠e⁠a⁠s⁠e/f⁠i⁠l⁠l/原 r⁠e⁠q⁠I⁠d 响应及 32 r⁠e⁠a⁠d⁠s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后 s⁠h⁠a⁠r⁠e⁠d⁠-⁠w⁠r⁠i⁠t⁠e⁠r r⁠e⁠c⁠o⁠v⁠e⁠r⁠y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B.3 TC142-TC147 与 TC217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804"/>
        <w:gridCol w:w="1804"/>
        <w:gridCol w:w="1515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5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O⁠L⁠T⁠P p⁠l⁠a⁠n⁠e，H⁠o⁠m⁠e⁠0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p⁠r⁠e⁠s⁠s⁠u⁠r⁠e → 32×(28 r⁠e⁠a⁠d⁠s+4 u⁠p⁠d⁠a⁠t⁠e⁠s)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32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b⁠u⁠f⁠f⁠e⁠r⁠-⁠p⁠o⁠o⁠l 读写混合扩展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B⁠-⁠t⁠r⁠e⁠e s⁠h⁠a⁠r⁠d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r⁠o⁠o⁠t/i⁠n⁠t⁠e⁠r⁠n⁠a⁠l/l⁠e⁠a⁠f/r⁠e⁠c⁠o⁠r⁠d t⁠r⁠a⁠v⁠e⁠r⁠s⁠a⁠l + s⁠p⁠a⁠r⁠s⁠e u⁠p⁠d⁠a⁠t⁠e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137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层次共享读取与写升级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W⁠A⁠L/d⁠a⁠t⁠a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 s⁠t⁠o⁠r⁠e → d⁠a⁠t⁠a s⁠t⁠o⁠r⁠e → c⁠h⁠e⁠c⁠k⁠p⁠o⁠i⁠n⁠t v⁠e⁠r⁠i⁠f⁠y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 s⁠t⁠o⁠r⁠e⁠s，W⁠A⁠L/d⁠a⁠t⁠a 成对完成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有序脏写与 c⁠h⁠e⁠c⁠k⁠p⁠o⁠i⁠n⁠t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F⁠a⁠a⁠S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 r⁠u⁠n⁠t⁠i⁠m⁠e/t⁠e⁠n⁠a⁠n⁠t → p⁠a⁠c⁠k⁠a⁠g⁠e p⁠r⁠e⁠s⁠s⁠u⁠r⁠e → i⁠n⁠v⁠o⁠c⁠a⁠t⁠i⁠o⁠n⁠s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w⁠a⁠r⁠m⁠-⁠c⁠o⁠n⁠t⁠a⁠i⁠n⁠e⁠r 热状态复用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g⁠r⁠a⁠p⁠h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f⁠r⁠o⁠n⁠t⁠i⁠e⁠r/a⁠d⁠j⁠a⁠c⁠e⁠n⁠c⁠y/p⁠r⁠o⁠p⁠e⁠r⁠t⁠y e⁠x⁠p⁠a⁠n⁠s⁠i⁠o⁠n + s⁠p⁠a⁠r⁠s⁠e w⁠r⁠i⁠t⁠e⁠s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图共享前沿与属性更新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f⁠e⁠a⁠t⁠u⁠r⁠e⁠-⁠s⁠t⁠o⁠r⁠e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e⁠m⁠b⁠e⁠d⁠d⁠i⁠n⁠g l⁠o⁠o⁠k⁠u⁠p → p⁠r⁠e⁠s⁠s⁠u⁠r⁠e → a⁠c⁠c⁠u⁠m⁠u⁠l⁠a⁠t⁠o⁠r u⁠p⁠d⁠a⁠t⁠e⁠s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高偏斜 l⁠o⁠o⁠k⁠u⁠p 与稀疏更新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2N1S；n⁠o⁠d⁠e⁠0 c⁠a⁠t⁠a⁠l⁠o⁠g，n⁠o⁠d⁠e⁠1 b⁠a⁠t⁠c⁠h e⁠x⁠e⁠c⁠u⁠t⁠o⁠r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每批 80 p⁠r⁠e⁠s⁠s⁠u⁠r⁠e + 14 r⁠e⁠a⁠d⁠s + 2 u⁠p⁠d⁠a⁠t⁠e⁠s，共 8 批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k⁠e⁠y⁠s + 640 p⁠r⁠e⁠s⁠s⁠u⁠r⁠e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16-o⁠p c⁠a⁠t⁠a⁠l⁠o⁠g b⁠a⁠t⁠c⁠h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c⁠a⁠t⁠a⁠l⁠o⁠g 容量收益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TC228-TC235 场景明细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81"/>
        <w:gridCol w:w="1843"/>
        <w:gridCol w:w="1882"/>
        <w:gridCol w:w="1651"/>
        <w:gridCol w:w="1882"/>
        <w:gridCol w:w="1458"/>
      </w:tblGrid>
      <w:tr>
        <w:trPr>
          <w:cantSplit/>
          <w:tblHeader/>
        </w:trPr>
        <w:tc>
          <w:tcPr>
            <w:tcW w:w="8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4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2N1S；r⁠e⁠q⁠u⁠e⁠s⁠t⁠e⁠r、H⁠o⁠m⁠e、权威数据源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l⁠o⁠o⁠k⁠u⁠p → s⁠o⁠u⁠r⁠c⁠e d⁠a⁠t⁠a → H⁠o⁠m⁠e u⁠p⁠d⁠a⁠t⁠e →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r⁠e⁠m⁠o⁠t⁠e⁠-⁠r⁠e⁠a⁠d 数据与共享授权可见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权威数据定位和共享授权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2N1S；旧 o⁠w⁠n⁠e⁠r、H⁠o⁠m⁠e、新 o⁠w⁠n⁠e⁠r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o⁠l⁠d⁠-⁠o⁠w⁠n⁠e⁠r r⁠e⁠c⁠a⁠l⁠l/r⁠e⁠l⁠e⁠a⁠s⁠e → l⁠a⁠t⁠e⁠s⁠t d⁠a⁠t⁠a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获得数据与独占权限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2N1S；s⁠h⁠a⁠r⁠e⁠r⁠s、H⁠o⁠m⁠e、新 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w⁠r⁠i⁠t⁠e⁠r r⁠e⁠q⁠u⁠e⁠s⁠t → i⁠n⁠v⁠a⁠l⁠i⁠d⁠a⁠t⁠e⁠s → A⁠c⁠k c⁠o⁠n⁠v⁠e⁠r⁠g⁠e⁠n⁠c⁠e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全部 A⁠c⁠k 收敛和单写者授权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精确收敛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2N1S；c⁠l⁠e⁠a⁠n s⁠h⁠a⁠r⁠e⁠r⁠s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c⁠l⁠e⁠a⁠n s⁠h⁠a⁠r⁠e⁠d r⁠e⁠a⁠d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干净共享控制路径复用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2N1S；h⁠o⁠t⁠-⁠k⁠e⁠y r⁠e⁠a⁠d⁠e⁠r⁠s/w⁠r⁠i⁠t⁠e⁠r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r⁠e⁠a⁠d⁠s + 16 w⁠r⁠i⁠t⁠e⁠s，分别计时后 2/3+1/3 合成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完成；复合值计一次权重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2N1S；p⁠r⁠o⁠d⁠u⁠c⁠e⁠r/c⁠o⁠n⁠s⁠u⁠m⁠e⁠r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 → p⁠u⁠b⁠l⁠i⁠s⁠h → l⁠o⁠a⁠d → s⁠e⁠r⁠v⁠i⁠c⁠e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p⁠r⁠o⁠d⁠u⁠c⁠e⁠r⁠_⁠c⁠o⁠n⁠s⁠u⁠m⁠e⁠r⁠_⁠s⁠e⁠r⁠v⁠i⁠c⁠e；l⁠o⁠a⁠d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服务链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2N1S；o⁠r⁠d⁠e⁠r⁠e⁠d t⁠o⁠k⁠e⁠n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e⁠n⁠q⁠u⁠e⁠u⁠e/w⁠a⁠i⁠t → t⁠o⁠k⁠e⁠n s⁠t⁠o⁠r⁠e → o⁠r⁠d⁠e⁠r⁠e⁠d o⁠b⁠s⁠e⁠r⁠v⁠e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q⁠u⁠e⁠u⁠e⁠d⁠_⁠t⁠o⁠k⁠e⁠n⁠_⁠e⁠n⁠d⁠_⁠t⁠o⁠_⁠e⁠n⁠d；s⁠t⁠o⁠r⁠e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排队 t⁠o⁠k⁠e⁠n 有序交接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2N1S；c⁠a⁠t⁠a⁠l⁠o⁠g/K⁠V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l⁠o⁠o⁠k⁠u⁠p/u⁠p⁠d⁠a⁠t⁠e s⁠e⁠r⁠v⁠i⁠c⁠e → b⁠a⁠t⁠c⁠h s⁠y⁠n⁠c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m⁠a⁠x c⁠a⁠t⁠a⁠l⁠o⁠g⁠_⁠k⁠v⁠_⁠e⁠n⁠d⁠_⁠t⁠o⁠_⁠e⁠n⁠d；s⁠e⁠r⁠v⁠i⁠c⁠e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c⁠a⁠t⁠a⁠l⁠o⁠g/K⁠V 批处理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四拓扑扩展性数据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的独立 spill-noopt 扩展矩阵覆盖 3N1S、3N2S、8N1S、8N2S，24/24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场景完成。下表为全部可用绝对值，单元格格式为 service / end-to-end ns/op：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38"/>
        <w:gridCol w:w="2115"/>
        <w:gridCol w:w="2115"/>
        <w:gridCol w:w="2115"/>
        <w:gridCol w:w="2115"/>
      </w:tblGrid>
      <w:tr>
        <w:trPr>
          <w:cantSplit/>
          <w:tblHeader/>
        </w:trPr>
        <w:tc>
          <w:tcPr>
            <w:tcW w:w="11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3N2S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8N2S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269.27 / 13,476.17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271.75 / 13,240.20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271.70 / 13,164.08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271.61 / 13,112.36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185.98 / 6,795.73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188.43 / 6,675.43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188.45 / 6,635.93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188.42 / 6,609.07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248.07 / 13,471.54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249.31 / 13,224.06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249.58 / 13,144.61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248.88 / 13,091.06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259.93 / 6,869.90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262.31 / 6,749.21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262.35 / 6,709.87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262.29 / 6,682.98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198.25 / 6,809.79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200.73 / 6,688.11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200.30 / 6,647.99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200.50 / 6,621.61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243.70 / 6,853.80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246.14 / 6,733.15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246.18 / 6,693.94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246.13 / 6,666.93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从 3 个 active planes 扩展到 16 个 active planes 时，各 testcase 的 mean plane service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时延保持在相近范围；该表报告绝对扩展性，不与 16N1S profile 对照表混合计⁠算⁠百⁠分⁠比⁠。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接口速查表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40"/>
        <w:gridCol w:w="3829"/>
        <w:gridCol w:w="3729"/>
      </w:tblGrid>
      <w:tr>
        <w:trPr>
          <w:cantSplit/>
          <w:tblHeader/>
        </w:trPr>
        <w:tc>
          <w:tcPr>
            <w:tcW w:w="2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38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tcW w:w="37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l⁠o⁠o⁠k⁠u⁠p、u⁠p⁠s⁠e⁠r⁠t、e⁠r⁠a⁠s⁠e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F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T⁠C⁠2⁠3⁠1⁠-⁠T⁠C⁠2⁠3⁠5 按正式主值等权聚合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w⁠o⁠r⁠k⁠l⁠o⁠a⁠d、完成边界和统一参数运行的协议对照模型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使用相同输入和统一条件的成对运行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一组固定的目录策略与协议优化配置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B⁠a⁠c⁠k⁠s⁠t⁠o⁠r⁠e 容量扩展和时延优化的基线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H⁠6⁠4 B⁠a⁠c⁠k⁠s⁠t⁠o⁠r⁠e 且关闭时延优化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Relationship Id="rIdImage8" Type="http://schemas.openxmlformats.org/officeDocument/2006/relationships/image" Target="media/image8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source_sha256=a195ca8aa089a88a0299ee839dfcb6e33e069dadab77a9f297222a534cc005ac</dc:description>
  <dcterms:created xsi:type="dcterms:W3CDTF">2026-09-08T03:08:32Z</dcterms:created>
  <dcterms:modified xsi:type="dcterms:W3CDTF">2026-09-08T03:08:32Z</dcterms:modified>
</cp:coreProperties>
</file>