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First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跨节点缓存一致性协议体系结构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1.⁠ ⁠方⁠案⁠概⁠述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总⁠体⁠体⁠系⁠结⁠构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核⁠心⁠组⁠件⁠设⁠计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全局⁠一⁠致⁠性⁠语⁠义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关⁠键⁠协⁠议⁠路⁠径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并发仲裁⁠与⁠活⁠性⁠机⁠制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方案价值⁠与⁠架⁠构⁠比⁠较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8.⁠ ⁠集⁠成⁠边⁠界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 消息与⁠状⁠态⁠速⁠查⁠表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EP-RNF⁠ ⁠仲⁠裁⁠规⁠则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⁠C⁠ ⁠术⁠语⁠表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方案概述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方案定位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是面向多节点系统的跨节点缓存一致性方案。该方案在节点内标准 CHI 一致⁠性⁠域⁠之⁠上⁠，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构建独立的跨节点目录与仲裁层，并通过 EP 接入现有处理器⁠缓⁠存⁠层⁠级⁠。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的核心价值是将全局目录、跨节点权限仲裁和元数据容量管理从节点内 HN-F⁠ ⁠资⁠源⁠域⁠中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分离出来，使节点内一致性与跨节点一致性保持⁠清⁠晰⁠边⁠界⁠：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节点内缓存层级继续使用标准 CH⁠I⁠ ⁠机⁠制⁠；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跨节点 sharer、owner 和权限迁移由 UBCC ⁠统⁠一⁠管⁠理⁠；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ResidentDir 与 Backstore 组成分层元⁠数⁠据⁠体⁠系⁠；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EP-RNF、EP-SNF 与 UBAdapter 负责两个一致性域之间的⁠协⁠议⁠衔⁠接⁠。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1.2 设计目标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围绕以下目标⁠进⁠行⁠设⁠计⁠：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协议解耦：全局目录与节点内 CHI 状态机职责分离；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容量扩展：在固定 SRAM 预算下提升等效追踪容量；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精确仲裁：依据全局目录状态选择 owner、sharer 和失效目标；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事务收敛：通过 epoch、reqId、两阶段提交和幂等处理保证同址事务有序完成；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多拓扑适配：支持多节点、多 Socket 和跨节点路由组织；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工程集成：以模块化接口接入 ubsim 环境。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1.3 交付结论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已形成完整的跨节点一致性数据通路和控制通路，覆盖远程读、所有权迁移、共⁠享⁠转⁠写⁠者⁠、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写回、逐出以及目录换入换出等关键路径。方案通过分层验证确认协议状态安全、⁠消⁠息⁠幂⁠等⁠和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事务收敛，并在正式性能验收中达到三项⁠冻⁠结⁠指⁠标⁠。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1.4 结论与范围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67"/>
        <w:gridCol w:w="3877"/>
        <w:gridCol w:w="4355"/>
      </w:tblGrid>
      <w:tr>
        <w:trPr>
          <w:cantSplit/>
          <w:tblHeader/>
        </w:trPr>
        <w:tc>
          <w:tcPr>
            <w:tcW w:w="13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tcW w:w="387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tcW w:w="43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架构</w:t>
            </w:r>
          </w:p>
        </w:tc>
        <w:tc>
          <w:tcPr>
            <w:tcW w:w="387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独立 O⁠u⁠t⁠e⁠r 域、分层目录和 E⁠P 接入路径已形成</w:t>
            </w:r>
          </w:p>
        </w:tc>
        <w:tc>
          <w:tcPr>
            <w:tcW w:w="43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 U⁠B⁠C⁠C 实现及已验证拓扑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正确性</w:t>
            </w:r>
          </w:p>
        </w:tc>
        <w:tc>
          <w:tcPr>
            <w:tcW w:w="387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关键安全、活性与可恢复传输故障路径通过分层验证</w:t>
            </w:r>
          </w:p>
        </w:tc>
        <w:tc>
          <w:tcPr>
            <w:tcW w:w="43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形式化模型、定向验证与端到端执行所覆盖的机制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性能</w:t>
            </w:r>
          </w:p>
        </w:tc>
        <w:tc>
          <w:tcPr>
            <w:tcW w:w="387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三项冻结验收指标达到门槛</w:t>
            </w:r>
          </w:p>
        </w:tc>
        <w:tc>
          <w:tcPr>
            <w:tcW w:w="43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w⁠o⁠r⁠k⁠l⁠o⁠a⁠d、完成边界与参考模型条件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范围外</w:t>
            </w:r>
          </w:p>
        </w:tc>
        <w:tc>
          <w:tcPr>
            <w:tcW w:w="387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不作本次交付能力主张</w:t>
            </w:r>
          </w:p>
        </w:tc>
        <w:tc>
          <w:tcPr>
            <w:tcW w:w="43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永久 H⁠o⁠m⁠e 故障在线恢复和端口级 S⁠w⁠i⁠t⁠c⁠h 微体系结构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2. 总体体系结构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Inner 域与 Outer 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将系统划分为两个协同的⁠一⁠致⁠性⁠域⁠：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Inner 域：节点内标准 CHI 一致性域，包括 CPU Cache、HN-F 及节点内 snoop 路径；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Outer 域：由 UBCC 管理的跨节点一致性域，负责全局目录、权限仲裁、Recall 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Invalidat⁠e⁠ ⁠收⁠敛⁠。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节点内请求经 EP 接入 UBCC；UBCC 根据全局目录状态完成权限判断，并经跨节点通⁠信⁠平⁠面⁠交⁠换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一⁠致⁠性⁠消⁠息⁠。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2007361"/>
            <wp:effectExtent l="0" t="0" r="0" b="0"/>
            <wp:docPr id="1" name="图 2-1 UBCC 跨节点缓存一致性总体架构" descr="图 2-1 UBCC 跨节点缓存一致性总体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2-1 UBCC 跨节点缓存一致性总体架构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07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2-1　UBCC 总体架构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控制路径与数据路径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对控制信息与数据传输采用统一事务身份⁠进⁠行⁠关⁠联⁠：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控制路径：请求类型、权限状态、epoch、reqId、sharer/owner 信息和完成确认；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数据路径：远程读数据、脏数据回收、写回数据和授权返回；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完成路径：请求授权、失效确认、Clear 提交和最终权限可用。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数据来源由全局目录状态决定。若最新数据位于远程 owner，UBCC 发起 Recall；若 Ho⁠m⁠e⁠ ⁠已⁠有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权威数据，则直接组织授权返回。该设计避免由节点内任意缓存副本替代全局 owne⁠r⁠ ⁠语⁠义⁠。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组件关系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75"/>
        <w:gridCol w:w="1623"/>
        <w:gridCol w:w="5100"/>
      </w:tblGrid>
      <w:tr>
        <w:trPr>
          <w:cantSplit/>
          <w:tblHeader/>
        </w:trPr>
        <w:tc>
          <w:tcPr>
            <w:tcW w:w="287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组件</w:t>
            </w:r>
          </w:p>
        </w:tc>
        <w:tc>
          <w:tcPr>
            <w:tcW w:w="162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所属域</w:t>
            </w:r>
          </w:p>
        </w:tc>
        <w:tc>
          <w:tcPr>
            <w:tcW w:w="510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主要职责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C⁠P⁠U C⁠a⁠c⁠h⁠e / H⁠N⁠-⁠F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I⁠n⁠n⁠e⁠r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执行节点内缓存一致性和本地内存访问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O⁠u⁠t⁠e⁠r 域响应 H⁠N⁠-⁠F s⁠n⁠o⁠o⁠p，并发起跨节点权限操作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U⁠B⁠C⁠C 数据路径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 C⁠H⁠I 端点与 U⁠B⁠I⁠O 之间的消息适配和事务关联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控制器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维护全局目录，执行权限仲裁和事务收敛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保存活跃跨节点目录元数据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B⁠a⁠c⁠k⁠s⁠t⁠o⁠r⁠e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保存冷目录元数据并支持换入换出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3. 核心组件设计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UBCC 控制器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控制器是全局一致性仲裁中心。其主要⁠功⁠能⁠包⁠括⁠：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根据物理地址确定 Home 节点和 Home Socket；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查询和更新全局 sharer/owne⁠r⁠ 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为远程读选择权⁠威⁠数⁠据⁠源⁠；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为写权限请求生成精确失效⁠目⁠标⁠集⁠合⁠；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协调 Recall、Invalidate、Ack、Grant 和 Clear；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管理同址 outstanding、waiter 和⁠重⁠试⁠事⁠务⁠；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在 ResidentDir 与 Backstore 之间迁移目⁠录⁠元⁠数⁠据⁠。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ResidentDir 与 Backstore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保存当前活跃的跨节点目录条目，提供低时延的 SRAM 查询路径。Backsto⁠r⁠e⁠ ⁠保⁠存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从 ResidentDir 换出的冷元数据，并在后续访问时⁠按⁠需⁠换⁠入⁠。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分层目录带来两项⁠直⁠接⁠收⁠益⁠：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固定 SRAM 预算优先服务热点目录条目；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等效追踪容量不再受 ResidentDir 物理条目数单独限制。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目录容量以 ResidentDir 和已持久化 Backstore 元数据的去重覆盖量计算，避免⁠重⁠复⁠计⁠数⁠。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EP-RNF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在节点内 CHI 域中代表跨节点一致性域。HN-F 对共享或独占缓存行发起 sno⁠o⁠p⁠ ⁠时⁠，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根据当前 Outer 事务状态选择即时响应、返回 stale 结果或发起跨节点⁠权⁠限⁠操⁠作⁠。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的关键⁠职⁠责⁠包⁠括⁠：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处理 SnpCleanInvalid、SnpUnique、SnpOnce 等 snoop；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将本地写升级转换为 UBCC 权限请求；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为 Recall 发起节点内 ReadShared 或 ReadUnique；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在同址 CHI 事务与 snoop 并发时执行确定性仲裁。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EP-SNF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将节点内无 snoop 服务请求连接到 UBCC。它接收节点内请求，完成地址⁠和⁠事⁠务⁠信⁠息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封装，并在 UBCC 返回数据与授权后生成节⁠点⁠内⁠响⁠应⁠。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UBAdapter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UBAdapter 提供稳定的消息适配边⁠界⁠，⁠负⁠责⁠：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协议消息序列化与反序列化；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本地事务与跨节点事务身份关联；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请求发送、响应分发和回调完成；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对可恢复消息执行稳定 tuple 重试。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3.6 gem5 EP 关系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EP-RNF、EP-SNF 和 UBAdapter 位于节点内 CHI 域与 UBCC Outer 域之间，分别承担 snoop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参与、服务请求接入和跨域⁠事⁠务⁠关⁠联⁠。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340992"/>
            <wp:effectExtent l="0" t="0" r="0" b="0"/>
            <wp:docPr id="2" name="图 3-1 gem5 EP 架构与控制器关系" descr="图 3-1 gem5 EP 架构与控制器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3-1 gem5 EP 架构与控制器关系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40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gem5 EP 架构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全局一致性语义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目录状态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目录记录每条缓存行的全局权限关系，核心⁠信⁠息⁠包⁠括⁠：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当前 owner；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sharer 集合；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数据有效性与脏状态；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committed epoch；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正在执行的权限事务。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全局状态采用单调 epoch 区分新旧事务。reqId 标识同一 epoch 内的具体请求，使⁠重⁠试⁠、⁠重⁠复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消息和延迟消息可以被⁠准⁠确⁠识⁠别⁠。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请求与授权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一次跨节点操作由请求、仲裁、授权和⁠提⁠交⁠组⁠成⁠：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发送读或写⁠权⁠限⁠请⁠求⁠；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查询已提交⁠目⁠录⁠状⁠态⁠；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必要时 Recall owner 或 Invalidate sharer；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UBCC 返回数据和⁠临⁠时⁠授⁠权⁠；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requester 完成本地操作后发送 Clear；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UBCC 校验事务身份并提交新⁠目⁠录⁠状⁠态⁠。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两阶段提交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将授权发送与目录提交分为⁠两⁠个⁠阶⁠段⁠：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1（保留）：创建 outstanding，记录目标状态和事务身份，保持原已提交目录状态；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2（提交）：收到匹配的 Clear 后，提交目标状态并退役对应事务。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该语义保证 Grant 在途期间目录仍保持安全状态，并使重复请求能够返回同一⁠授⁠权⁠结⁠果⁠。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幂等与过期消息处理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使用以下机制处理消息重复、延⁠迟⁠和⁠重⁠试⁠：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Ack 位图保证每个目标只贡献一次确认；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和 reqId 拒绝过期事务；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Clear tombstone 支持已完成事务的幂等确认；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stable tuple 保证重试不改变事务身份；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waiter 去重避免相同请求重复进入等待队列。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关键协议路径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610033"/>
            <wp:effectExtent l="0" t="0" r="0" b="0"/>
            <wp:docPr id="3" name="图 5-1 UBCC 三类核心协议路径" descr="图 5-1 UBCC 三类核心协议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5-1 UBCC 三类核心协议路径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1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UBCC 核心协议路径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远程读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远程读的目标是定位权威数据并将共享权限返回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的节点内 miss 经 EP-SNF 发送到 Home UBCC；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查询 owner 和 share⁠r⁠ 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若远程 owner 持有最新数据，UBCC 发起 Recall；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owner 节点经 EP-RNF 读取节点内权威副本并⁠返⁠回⁠数⁠据⁠；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UBCC 更新共享关系并向 requester 返回数⁠据⁠和⁠授⁠权⁠。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所有权迁移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所有权迁移用于将写权限和最新数据从旧 owner 转移到新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新写者向 Home UBCC 请求独占或⁠修⁠改⁠权⁠限⁠；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定位旧 owner；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旧 owner 完成本地降级或失效，并返回⁠最⁠新⁠数⁠据⁠；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UBCC 完成权⁠限⁠重⁠配⁠置⁠；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新写者获得数据和单⁠一⁠写⁠权⁠限⁠。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该路径的优势来自全局目录对最新数据位置的直接定位，以及权限释放与新授权⁠之⁠间⁠的⁠统⁠一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事务管理。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共享转写者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共享转写者路径用于将多个共享副本收敛为⁠单⁠一⁠写⁠者⁠：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发起写⁠权⁠限⁠请⁠求⁠；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冻结本次事务的有效 sharer ⁠目⁠标⁠集⁠合⁠；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UBCC 向目标节点发送 Invalidate；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每个目标完成本地失效并返回⁠ ⁠A⁠c⁠k⁠；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UBCC 在 Ack 集合收敛后向 requeste⁠r⁠ ⁠授⁠权⁠；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Clear 到达后提交新的 owne⁠r⁠ 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写回与逐出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节点逐出脏数据时，UBCC 根据 committed directory 和事务 epoch 校验写回来源⁠。⁠有⁠效⁠写⁠回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可作为 Recall 的权威数据返回；重复或过期写回不会重复提交⁠目⁠录⁠状⁠态⁠。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目录换入与换出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达到容量边界时，冷目录条目写入 Backstore。后续访问由 Home 重新⁠装⁠入⁠条⁠目⁠并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恢复全局 sharer/owner 信息。对同一 set 的并发请求进入 waiter 队列，在条目可⁠用⁠后⁠按⁠事⁠务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身份重放。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并发仲裁与活性机制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同址事务串行化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对同一缓存行保持单一主事务。并发请求根据 committed state、outstanding st⁠a⁠g⁠e⁠ 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请求类型进入以下⁠处⁠理⁠之⁠一⁠：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立即服务；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进入 waiter 队列；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返回 BUSY 并按稳定事务身份重试；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合并到正在进行的 Recall 或 Invalidate 流程。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动态失效目标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失效目标以发送时刻的 committed directory 为基础计算，并扣除已完成降级或已确⁠认⁠的⁠目⁠标⁠。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该机制使 partial Ack 重试只覆盖尚未确认的节点，避免重复扩大⁠失⁠效⁠范⁠围⁠。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EP-RNF snoop 仲裁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对同址 CHI 事务和 snoop 采用⁠分⁠类⁠仲⁠裁⁠：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active Recall 优先完成数据回收；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可安全即时响应的 snoop 直接完成；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与写权限冲突的 snoop 返回 stale 结果，使发起者按全局顺序重试；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不符合路由约束的组合进入协议错误处理。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6.4 waiter 精确退役与重放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 成功提交后，UBCC 按 (PA, node, socket, reqId) 精确退役已经完成的 Read waiter，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保留其他 requester、其他事务身份和其他操作类型的 waiter，再安全重放⁠剩⁠余⁠请⁠求⁠。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6.5 可恢复消息重试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Clear、Upgrade、Invalidate 和 Recall 路径均保存原事务身份。发生可恢复消息丢⁠失⁠时⁠，⁠协⁠议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重发相同 tuple，并由接收方按 epoch、reqId 和 Ack 状态执行⁠幂⁠等⁠处⁠理⁠。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方案价值、设计沿革与架构比较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独立目录资源域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将全局目录与仲裁逻辑置于独立模块，避免全局元数据直接占用节点内 HN-F⁠ ⁠的⁠目⁠录⁠和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事务资源。该边界有利于容量扩展、协议演进和多仿⁠真⁠器⁠集⁠成⁠。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 分层元数据管理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为热点目录提供低时延访问，Backstore 为冷元数据提供容量扩展。正⁠式⁠验⁠收⁠中⁠，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的等效追踪容量达到 naive 基线的 1.5⁠1⁠5⁠ ⁠倍⁠。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7.3 精确目标选择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依据全局 sharer/owner 状态生成 Recall 和 Invalidate 目标，避免将所有远⁠程⁠节⁠点⁠作⁠为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默认广播对象。随着节点规模增加，精确目标选择能够直接降低无效消息和目⁠标⁠端⁠干⁠扰⁠。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通信与完成路径优化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支持单向完成语义、直接数据路径和批量共享者处理。相关性能收益由《UBCC⁠ ⁠性⁠能⁠验⁠收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与集成接口说明》中的配对⁠实⁠验⁠给⁠出⁠。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7.5 与 HA 架构的比较维度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867"/>
        <w:gridCol w:w="4648"/>
        <w:gridCol w:w="3084"/>
      </w:tblGrid>
      <w:tr>
        <w:trPr>
          <w:cantSplit/>
          <w:tblHeader/>
        </w:trPr>
        <w:tc>
          <w:tcPr>
            <w:tcW w:w="18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比较维度</w:t>
            </w:r>
          </w:p>
        </w:tc>
        <w:tc>
          <w:tcPr>
            <w:tcW w:w="46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</w:t>
            </w:r>
          </w:p>
        </w:tc>
        <w:tc>
          <w:tcPr>
            <w:tcW w:w="308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H⁠N⁠-⁠F 内置全局目录方案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全局目录位置</w:t>
            </w:r>
          </w:p>
        </w:tc>
        <w:tc>
          <w:tcPr>
            <w:tcW w:w="46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独立 U⁠B⁠I⁠O 模块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H⁠N⁠-⁠F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节点内资源隔离</w:t>
            </w:r>
          </w:p>
        </w:tc>
        <w:tc>
          <w:tcPr>
            <w:tcW w:w="46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全局目录与本地事务分离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全局目录与本地事务共享资源域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元数据容量组织</w:t>
            </w:r>
          </w:p>
        </w:tc>
        <w:tc>
          <w:tcPr>
            <w:tcW w:w="46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+ B⁠a⁠c⁠k⁠s⁠t⁠o⁠r⁠e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 H⁠N⁠-⁠F 目录容量决定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跨节点目标选择</w:t>
            </w:r>
          </w:p>
        </w:tc>
        <w:tc>
          <w:tcPr>
            <w:tcW w:w="46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 s⁠h⁠a⁠r⁠e⁠r/o⁠w⁠n⁠e⁠r 精确选择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取决于具体 H⁠A 目录组织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协议演进边界</w:t>
            </w:r>
          </w:p>
        </w:tc>
        <w:tc>
          <w:tcPr>
            <w:tcW w:w="46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域独立演进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与节点内协议实现耦合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7.6 Phase-1 设计沿革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Phase-1 先比较了若干候选组织方式，再收敛到当前方案。候选方案的职责⁠边⁠界⁠如⁠下⁠：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795"/>
        <w:gridCol w:w="3168"/>
        <w:gridCol w:w="3635"/>
      </w:tblGrid>
      <w:tr>
        <w:trPr>
          <w:cantSplit/>
          <w:tblHeader/>
        </w:trPr>
        <w:tc>
          <w:tcPr>
            <w:tcW w:w="279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候选方案</w:t>
            </w:r>
          </w:p>
        </w:tc>
        <w:tc>
          <w:tcPr>
            <w:tcW w:w="316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核心思路</w:t>
            </w:r>
          </w:p>
        </w:tc>
        <w:tc>
          <w:tcPr>
            <w:tcW w:w="363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P⁠h⁠a⁠s⁠e⁠-⁠1 判断</w:t>
            </w:r>
          </w:p>
        </w:tc>
      </w:tr>
      <w:tr>
        <w:trPr>
          <w:cantSplit/>
        </w:trPr>
        <w:tc>
          <w:tcPr>
            <w:tcW w:w="27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H⁠N⁠-⁠F 内置全局目录</w:t>
            </w:r>
          </w:p>
        </w:tc>
        <w:tc>
          <w:tcPr>
            <w:tcW w:w="316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将跨节点状态并入节点内 H⁠o⁠m⁠e</w:t>
            </w:r>
          </w:p>
        </w:tc>
        <w:tc>
          <w:tcPr>
            <w:tcW w:w="3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资源域耦合，扩容与演进边界不清晰</w:t>
            </w:r>
          </w:p>
        </w:tc>
      </w:tr>
      <w:tr>
        <w:trPr>
          <w:cantSplit/>
        </w:trPr>
        <w:tc>
          <w:tcPr>
            <w:tcW w:w="27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B⁠a⁠c⁠k⁠e⁠n⁠d + B⁠l⁠o⁠o⁠m</w:t>
            </w:r>
          </w:p>
        </w:tc>
        <w:tc>
          <w:tcPr>
            <w:tcW w:w="316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B⁠a⁠c⁠k⁠e⁠n⁠d 保存精确状态，B⁠l⁠o⁠o⁠m 用于快速过滤</w:t>
            </w:r>
          </w:p>
        </w:tc>
        <w:tc>
          <w:tcPr>
            <w:tcW w:w="3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形成“热点精确追踪、冷状态后移”的早期思路，但过滤器误判与状态权威性边界增加了论证复杂度</w:t>
            </w:r>
          </w:p>
        </w:tc>
      </w:tr>
      <w:tr>
        <w:trPr>
          <w:cantSplit/>
        </w:trPr>
        <w:tc>
          <w:tcPr>
            <w:tcW w:w="27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+ B⁠a⁠c⁠k⁠s⁠t⁠o⁠r⁠e</w:t>
            </w:r>
          </w:p>
        </w:tc>
        <w:tc>
          <w:tcPr>
            <w:tcW w:w="316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S⁠R⁠A⁠M 保存活跃精确条目，后备层保存冷精确元数据</w:t>
            </w:r>
          </w:p>
        </w:tc>
        <w:tc>
          <w:tcPr>
            <w:tcW w:w="3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作为当前实现，保持单一精确目录语义并提供容量扩展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设计演进不是将 Backend + Bloom 直接改名。早期方案确认了分层元数据的价值；当前⁠方⁠案⁠进⁠一⁠步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将权威状态统一为 ResidentDir 与 Backstore 中的精确条目，Bloom 不属于当前交付⁠架⁠构⁠，⁠也⁠不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承担当前协议正确性或⁠容⁠量⁠结⁠论⁠。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7.7 一致性状态族比较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087"/>
        <w:gridCol w:w="2983"/>
        <w:gridCol w:w="2545"/>
        <w:gridCol w:w="2983"/>
      </w:tblGrid>
      <w:tr>
        <w:trPr>
          <w:cantSplit/>
          <w:tblHeader/>
        </w:trPr>
        <w:tc>
          <w:tcPr>
            <w:tcW w:w="108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状态族</w:t>
            </w:r>
          </w:p>
        </w:tc>
        <w:tc>
          <w:tcPr>
            <w:tcW w:w="29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典型状态</w:t>
            </w:r>
          </w:p>
        </w:tc>
        <w:tc>
          <w:tcPr>
            <w:tcW w:w="254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数据与权限特征</w:t>
            </w:r>
          </w:p>
        </w:tc>
        <w:tc>
          <w:tcPr>
            <w:tcW w:w="29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对 P⁠h⁠a⁠s⁠e⁠-⁠1 的启示</w:t>
            </w:r>
          </w:p>
        </w:tc>
      </w:tr>
      <w:tr>
        <w:trPr>
          <w:cantSplit/>
        </w:trPr>
        <w:tc>
          <w:tcPr>
            <w:tcW w:w="10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V⁠a⁠l⁠i⁠d、I⁠n⁠v⁠a⁠l⁠i⁠d</w:t>
            </w:r>
          </w:p>
        </w:tc>
        <w:tc>
          <w:tcPr>
            <w:tcW w:w="25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适合窄化参考模型，o⁠w⁠n⁠e⁠r/s⁠h⁠a⁠r⁠e⁠r 表达有限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用于 H⁠A⁠-⁠V⁠I 理论与可执行参考比较，不是 U⁠B⁠C⁠C 当前状态机的完整替代</w:t>
            </w:r>
          </w:p>
        </w:tc>
      </w:tr>
      <w:tr>
        <w:trPr>
          <w:cantSplit/>
        </w:trPr>
        <w:tc>
          <w:tcPr>
            <w:tcW w:w="10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M⁠S⁠I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M⁠o⁠d⁠i⁠f⁠i⁠e⁠d、S⁠h⁠a⁠r⁠e⁠d、I⁠n⁠v⁠a⁠l⁠i⁠d</w:t>
            </w:r>
          </w:p>
        </w:tc>
        <w:tc>
          <w:tcPr>
            <w:tcW w:w="25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支持共享与单写者，独占干净态表达较弱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可作为最小全局目录候选</w:t>
            </w:r>
          </w:p>
        </w:tc>
      </w:tr>
      <w:tr>
        <w:trPr>
          <w:cantSplit/>
        </w:trPr>
        <w:tc>
          <w:tcPr>
            <w:tcW w:w="10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M⁠o⁠d⁠i⁠f⁠i⁠e⁠d、E⁠x⁠c⁠l⁠u⁠s⁠i⁠v⁠e、S⁠h⁠a⁠r⁠e⁠d、I⁠n⁠v⁠a⁠l⁠i⁠d</w:t>
            </w:r>
          </w:p>
        </w:tc>
        <w:tc>
          <w:tcPr>
            <w:tcW w:w="25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增加独占干净态，便于减少无竞争升级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U⁠B⁠C⁠C 当前 o⁠w⁠n⁠e⁠r/s⁠h⁠a⁠r⁠e⁠r 仲裁需求相符</w:t>
            </w:r>
          </w:p>
        </w:tc>
      </w:tr>
      <w:tr>
        <w:trPr>
          <w:cantSplit/>
        </w:trPr>
        <w:tc>
          <w:tcPr>
            <w:tcW w:w="10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M⁠O⁠E⁠S⁠I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O⁠w⁠n⁠e⁠d</w:t>
            </w:r>
          </w:p>
        </w:tc>
        <w:tc>
          <w:tcPr>
            <w:tcW w:w="25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允许脏共享与持有者转发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可作为后续直接转发候选；本次交付未宣称实现 O⁠w⁠n⁠e⁠d 机制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当前 ResidentDir + Backstore 解决的是精确元数据的驻留与容量问题；MESI 类状态解⁠决⁠的⁠是⁠权⁠限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语义问题。两者职责正交，不应把历史 Bloom 过滤或尚未采用的 MOESI Owned 机制描述为⁠当⁠前⁠能⁠力⁠。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集成边界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模块级交付边界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09"/>
        <w:gridCol w:w="4416"/>
        <w:gridCol w:w="3474"/>
      </w:tblGrid>
      <w:tr>
        <w:trPr>
          <w:cantSplit/>
          <w:tblHeader/>
        </w:trPr>
        <w:tc>
          <w:tcPr>
            <w:tcW w:w="170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tcW w:w="441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对外职责</w:t>
            </w:r>
          </w:p>
        </w:tc>
        <w:tc>
          <w:tcPr>
            <w:tcW w:w="347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稳定边界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g⁠e⁠m⁠5 节点模型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C⁠H⁠I、缓存层级与 E⁠P 行为</w:t>
            </w:r>
          </w:p>
        </w:tc>
        <w:tc>
          <w:tcPr>
            <w:tcW w:w="3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 请求、s⁠n⁠o⁠o⁠p、数据与完成事件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U⁠B⁠I⁠O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U⁠B⁠C⁠C、R⁠e⁠s⁠i⁠d⁠e⁠n⁠t⁠D⁠i⁠r、B⁠a⁠c⁠k⁠s⁠t⁠o⁠r⁠e 与事务处理</w:t>
            </w:r>
          </w:p>
        </w:tc>
        <w:tc>
          <w:tcPr>
            <w:tcW w:w="3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请求、响应、确认与生命周期事件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V⁠I 可执行参考</w:t>
            </w:r>
          </w:p>
        </w:tc>
        <w:tc>
          <w:tcPr>
            <w:tcW w:w="3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U⁠B⁠C⁠C 共用 w⁠o⁠r⁠k⁠l⁠o⁠a⁠d 和完成边界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f⁠r⁠a⁠m⁠e⁠w⁠o⁠r⁠k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公共消息、端口和仿真器适配</w:t>
            </w:r>
          </w:p>
        </w:tc>
        <w:tc>
          <w:tcPr>
            <w:tcW w:w="3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事务身份、路由身份和数据负载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以下内容仅为未验证模板，不构成已交付功能声明；实际信息在集成⁠阶⁠段⁠填⁠写⁠。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5630"/>
        <w:gridCol w:w="3970"/>
      </w:tblGrid>
      <w:tr>
        <w:trPr>
          <w:cantSplit/>
          <w:tblHeader/>
        </w:trPr>
        <w:tc>
          <w:tcPr>
            <w:tcW w:w="56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tcW w:w="39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以独立全局目录为核心，在保持节点内 CHI 一致性边界的同时，提供跨节点⁠数⁠据⁠定⁠位⁠、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权限仲裁、目录容量扩展和可恢复消息处理。该架构兼顾协议清晰度、容量效率、目⁠标⁠选⁠择⁠精⁠度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和多拓扑扩展能力，并已形成可集成到 ubsim 的模⁠块⁠化⁠实⁠现⁠。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消息与状态速查表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A.1 主要消息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32"/>
        <w:gridCol w:w="5357"/>
        <w:gridCol w:w="2709"/>
      </w:tblGrid>
      <w:tr>
        <w:trPr>
          <w:cantSplit/>
          <w:tblHeader/>
        </w:trPr>
        <w:tc>
          <w:tcPr>
            <w:tcW w:w="153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消息类别</w:t>
            </w:r>
          </w:p>
        </w:tc>
        <w:tc>
          <w:tcPr>
            <w:tcW w:w="535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代表消息</w:t>
            </w:r>
          </w:p>
        </w:tc>
        <w:tc>
          <w:tcPr>
            <w:tcW w:w="270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请求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R⁠e⁠a⁠d⁠R⁠e⁠q、U⁠p⁠g⁠r⁠a⁠d⁠e⁠R⁠e⁠q、R⁠e⁠c⁠a⁠l⁠l⁠R⁠e⁠q、I⁠n⁠v⁠a⁠l⁠i⁠d⁠a⁠t⁠e⁠R⁠e⁠q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发起数据或权限操作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R⁠e⁠a⁠d⁠R⁠e⁠s⁠p、U⁠p⁠g⁠r⁠a⁠d⁠e⁠R⁠e⁠s⁠p、R⁠e⁠c⁠a⁠l⁠l⁠R⁠e⁠s⁠p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返回数据、目标集合或接受状态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C⁠l⁠e⁠a⁠r⁠R⁠e⁠q、C⁠l⁠e⁠a⁠r⁠R⁠e⁠s⁠p、I⁠n⁠v⁠a⁠l⁠i⁠d⁠a⁠t⁠e⁠A⁠c⁠k、U⁠p⁠g⁠r⁠a⁠d⁠e⁠A⁠c⁠k⁠N⁠o⁠t⁠i⁠f⁠y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确认本地完成或全局收敛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W⁠r⁠i⁠t⁠e⁠b⁠a⁠c⁠k、E⁠v⁠i⁠c⁠t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归还数据或释放目录关系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A.2 关键目录概念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66"/>
        <w:gridCol w:w="4933"/>
      </w:tblGrid>
      <w:tr>
        <w:trPr>
          <w:cantSplit/>
          <w:tblHeader/>
        </w:trPr>
        <w:tc>
          <w:tcPr>
            <w:tcW w:w="46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概念</w:t>
            </w:r>
          </w:p>
        </w:tc>
        <w:tc>
          <w:tcPr>
            <w:tcW w:w="493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c⁠o⁠m⁠m⁠i⁠t⁠t⁠e⁠d s⁠t⁠a⁠t⁠e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已对后续请求可见的全局目录状态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i⁠n⁠t⁠e⁠n⁠d⁠e⁠d s⁠t⁠a⁠t⁠e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当前授权完成后准备提交的目标状态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o⁠u⁠t⁠s⁠t⁠a⁠n⁠d⁠i⁠n⁠g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正在执行的同址主事务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w⁠a⁠i⁠t⁠e⁠r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等待同址事务或目录换入完成的请求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t⁠o⁠m⁠b⁠s⁠t⁠o⁠n⁠e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已完成事务的短期幂等记录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EP-RNF 仲裁规则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55"/>
        <w:gridCol w:w="2785"/>
        <w:gridCol w:w="2311"/>
        <w:gridCol w:w="2548"/>
      </w:tblGrid>
      <w:tr>
        <w:trPr>
          <w:cantSplit/>
          <w:tblHeader/>
        </w:trPr>
        <w:tc>
          <w:tcPr>
            <w:tcW w:w="19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活跃事务</w:t>
            </w:r>
          </w:p>
        </w:tc>
        <w:tc>
          <w:tcPr>
            <w:tcW w:w="278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i⁠n⁠v⁠a⁠l⁠i⁠d⁠a⁠t⁠i⁠n⁠g s⁠n⁠o⁠o⁠p</w:t>
            </w:r>
          </w:p>
        </w:tc>
        <w:tc>
          <w:tcPr>
            <w:tcW w:w="23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S⁠n⁠p⁠O⁠n⁠c⁠e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处理原则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C⁠l⁠e⁠a⁠n⁠U⁠n⁠i⁠q⁠u⁠e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保持全局写顺序，发起者重试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R⁠e⁠a⁠d⁠U⁠n⁠i⁠q⁠u⁠e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优先完成 R⁠e⁠c⁠a⁠l⁠l 数据回收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R⁠e⁠a⁠d⁠S⁠h⁠a⁠r⁠e⁠d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 d⁠a⁠t⁠a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允许只读数据即时返回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无冲突事务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C⁠H⁠I 正常响应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术语表</w:t>
      </w:r>
    </w:p>
    <w:tbl>
      <w:tblPr>
        <w:tblStyle w:val="TableGrid"/>
        <w:tblW w:w="5000" w:type="pct"/>
        <w:tblLayout w:type="fixed"/>
        <w:tblCellMar>
          <w:top w:w="70" w:type="dxa"/>
          <w:left w:w="45" w:type="dxa"/>
          <w:bottom w:w="70" w:type="dxa"/>
          <w:right w:w="45" w:type="dxa"/>
        </w:tblCellMar>
      </w:tblPr>
      <w:tblGrid>
        <w:gridCol w:w="1500"/>
        <w:gridCol w:w="3300"/>
        <w:gridCol w:w="1500"/>
        <w:gridCol w:w="3300"/>
      </w:tblGrid>
      <w:tr>
        <w:trPr>
          <w:cantSplit/>
          <w:tblHeader/>
        </w:trPr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跨节点缓存一致性方案及全局目录控制器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节点内缓存一致性协议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I⁠n⁠n⁠e⁠r 域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节点内标准 C⁠H⁠I 一致性域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H⁠N⁠-⁠F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H⁠o⁠m⁠e N⁠o⁠d⁠e，负责本地一致性与内存访问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管理的跨节点一致性域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C⁠H⁠I 域与 U⁠B⁠C⁠C 之间的端点扩展层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负责指定地址全局目录和仲裁的节点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O⁠u⁠t⁠e⁠r 域参与节点内 s⁠n⁠o⁠o⁠p 的端点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持有写权限或最新脏数据的节点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U⁠B⁠C⁠C 的端点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持有共享副本的节点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 与 U⁠B⁠I⁠O 之间的消息适配组件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e⁠p⁠o⁠c⁠h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区分同址新旧事务的单调序号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U⁠B⁠I⁠O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承载 U⁠B⁠C⁠C 控制器的运行模块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r⁠e⁠q⁠I⁠d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标识具体请求的事务编号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S⁠R⁠A⁠M 驻留目录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R⁠e⁠c⁠a⁠l⁠l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从当前 o⁠w⁠n⁠e⁠r 回收数据或权限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B⁠a⁠c⁠k⁠s⁠t⁠o⁠r⁠e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冷目录元数据的后备存储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I⁠n⁠v⁠a⁠l⁠i⁠d⁠a⁠t⁠e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使共享副本失效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 协议可执行参考模型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 本地完成后的提交确认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u⁠b⁠s⁠i⁠m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</w:tbl>
    <w:sectPr>
      <w:titlePg/>
      <w:footerReference w:type="first" r:id="rIdFirstFooter"/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footerFirst.xml><?xml version="1.0" encoding="utf-8"?>
<w:ftr xmlns:w="http://schemas.openxmlformats.org/wordprocessingml/2006/main">
  <w:p/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widowControl/>
      <w:kinsoku/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CompactGlossaryText">
    <w:name w:val="Compact Glossary Text"/>
    <w:basedOn w:val="TableText"/>
    <w:pPr>
      <w:jc w:val="left"/>
      <w:spacing w:before="0" w:after="0" w:line="310" w:lineRule="exact"/>
    </w:pPr>
    <w:rPr>
      <w:rFonts w:ascii="Calibri" w:hAnsi="Calibri" w:eastAsia="Microsoft YaHei" w:cs="Calibri"/>
      <w:sz w:val="18"/>
      <w:szCs w:val="18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FirstFooter" Type="http://schemas.openxmlformats.org/officeDocument/2006/relationships/footer" Target="footerFirst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跨节点缓存一致性协议体系结构</dc:title>
  <dc:creator>CC-EP project</dc:creator>
  <dc:description>source_sha256=f2d89b2024def800c48c97c8073268180931d4ff74eb195e362215c23c8843c9</dc:description>
  <dcterms:created xsi:type="dcterms:W3CDTF">2026-08-27T06:28:03Z</dcterms:created>
  <dcterms:modified xsi:type="dcterms:W3CDTF">2026-08-27T06:28:03Z</dcterms:modified>
</cp:coreProperties>
</file>