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性能验收与集成接口说明</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执行摘要</w:t>
      </w:r>
    </w:p>
    <w:p>
      <w:pPr>
        <w:ind w:left="0" w:firstLine="420"/>
      </w:pPr>
      <w:r>
        <w:rPr>
          <w:rFonts w:ascii="Calibri" w:hAnsi="Calibri" w:eastAsia="Microsoft YaHei" w:cs="Calibri"/>
        </w:rPr>
        <w:t xml:space="preserve">2. 验收方法</w:t>
      </w:r>
    </w:p>
    <w:p>
      <w:pPr>
        <w:ind w:left="0" w:firstLine="420"/>
      </w:pPr>
      <w:r>
        <w:rPr>
          <w:rFonts w:ascii="Calibri" w:hAnsi="Calibri" w:eastAsia="Microsoft YaHei" w:cs="Calibri"/>
        </w:rPr>
        <w:t xml:space="preserve">3. 指标 1：TC131 与 TC142–147 的容量及附加时延</w:t>
      </w:r>
    </w:p>
    <w:p>
      <w:pPr>
        <w:ind w:left="0" w:firstLine="420"/>
      </w:pPr>
      <w:r>
        <w:rPr>
          <w:rFonts w:ascii="Calibri" w:hAnsi="Calibri" w:eastAsia="Microsoft YaHei" w:cs="Calibri"/>
        </w:rPr>
        <w:t xml:space="preserve">4. 指标 2：TC135–140、TC217 与 TC142–147 服务阶段</w:t>
      </w:r>
    </w:p>
    <w:p>
      <w:pPr>
        <w:ind w:left="0" w:firstLine="420"/>
      </w:pPr>
      <w:r>
        <w:rPr>
          <w:rFonts w:ascii="Calibri" w:hAnsi="Calibri" w:eastAsia="Microsoft YaHei" w:cs="Calibri"/>
        </w:rPr>
        <w:t xml:space="preserve">5. 指标 3：TC228–235 的 UBCC/HA-VI 配对比较</w:t>
      </w:r>
    </w:p>
    <w:p>
      <w:pPr>
        <w:ind w:left="0" w:firstLine="420"/>
      </w:pPr>
      <w:r>
        <w:rPr>
          <w:rFonts w:ascii="Calibri" w:hAnsi="Calibri" w:eastAsia="Microsoft YaHei" w:cs="Calibri"/>
        </w:rPr>
        <w:t xml:space="preserve">6. 正确性与回归结果</w:t>
      </w:r>
    </w:p>
    <w:p>
      <w:pPr>
        <w:ind w:left="0" w:firstLine="420"/>
      </w:pPr>
      <w:r>
        <w:rPr>
          <w:rFonts w:ascii="Calibri" w:hAnsi="Calibri" w:eastAsia="Microsoft YaHei" w:cs="Calibri"/>
        </w:rPr>
        <w:t xml:space="preserve">7. 测试脚本使用指南</w:t>
      </w:r>
    </w:p>
    <w:p>
      <w:pPr>
        <w:ind w:left="0" w:firstLine="420"/>
      </w:pPr>
      <w:r>
        <w:rPr>
          <w:rFonts w:ascii="Calibri" w:hAnsi="Calibri" w:eastAsia="Microsoft YaHei" w:cs="Calibri"/>
        </w:rPr>
        <w:t xml:space="preserve">8. 总结</w:t>
      </w:r>
    </w:p>
    <w:p>
      <w:pPr>
        <w:ind w:left="0" w:firstLine="420"/>
      </w:pPr>
      <w:r>
        <w:rPr>
          <w:rFonts w:ascii="Calibri" w:hAnsi="Calibri" w:eastAsia="Microsoft YaHei" w:cs="Calibri"/>
        </w:rPr>
        <w:t xml:space="preserve">附录 A 指标口径</w:t>
      </w:r>
    </w:p>
    <w:p>
      <w:pPr>
        <w:ind w:left="0" w:firstLine="420"/>
      </w:pPr>
      <w:r>
        <w:rPr>
          <w:rFonts w:ascii="Calibri" w:hAnsi="Calibri" w:eastAsia="Microsoft YaHei" w:cs="Calibri"/>
        </w:rPr>
        <w:t xml:space="preserve">附录 B TC120-TC140、TC142-TC147 与 TC217 场景明细</w:t>
      </w:r>
    </w:p>
    <w:p>
      <w:pPr>
        <w:ind w:left="0" w:firstLine="420"/>
      </w:pPr>
      <w:r>
        <w:rPr>
          <w:rFonts w:ascii="Calibri" w:hAnsi="Calibri" w:eastAsia="Microsoft YaHei" w:cs="Calibri"/>
        </w:rPr>
        <w:t xml:space="preserve">附录 C TC228-TC235 场景明细</w:t>
      </w:r>
    </w:p>
    <w:p>
      <w:pPr>
        <w:ind w:left="0" w:firstLine="420"/>
      </w:pPr>
      <w:r>
        <w:rPr>
          <w:rFonts w:ascii="Calibri" w:hAnsi="Calibri" w:eastAsia="Microsoft YaHei" w:cs="Calibri"/>
        </w:rPr>
        <w:t xml:space="preserve">附录 D 四拓扑扩展性数据</w:t>
      </w:r>
    </w:p>
    <w:p>
      <w:pPr>
        <w:ind w:left="0" w:firstLine="420"/>
      </w:pPr>
      <w:r>
        <w:rPr>
          <w:rFonts w:ascii="Calibri" w:hAnsi="Calibri" w:eastAsia="Microsoft YaHei" w:cs="Calibri"/>
        </w:rPr>
        <w:t xml:space="preserve">附录 E 接口速查表</w:t>
      </w:r>
    </w:p>
    <w:p>
      <w:pPr>
        <w:ind w:left="0" w:firstLine="420"/>
      </w:pPr>
      <w:r>
        <w:rPr>
          <w:rFonts w:ascii="Calibri" w:hAnsi="Calibri" w:eastAsia="Microsoft YaHei" w:cs="Calibri"/>
        </w:rPr>
        <w:t xml:space="preserve">附录 F 术语表</w:t>
      </w:r>
    </w:p>
    <w:p>
      <w:pPr>
        <w:pStyle w:val="Heading2"/>
        <w:keepNext/>
      </w:pPr>
      <w:r>
        <w:rPr>
          <w:rFonts w:ascii="Calibri" w:hAnsi="Calibri" w:eastAsia="SimHei" w:cs="Calibri"/>
        </w:rPr>
        <w:t xml:space="preserve">1. 执行摘要</w:t>
      </w:r>
    </w:p>
    <w:p>
      <w:pPr>
        <w:pStyle w:val="Heading3"/>
        <w:keepNext/>
      </w:pPr>
      <w:r>
        <w:rPr>
          <w:rFonts w:ascii="Calibri" w:hAnsi="Calibri" w:eastAsia="SimHei" w:cs="Calibri"/>
        </w:rPr>
        <w:t xml:space="preserve">1.1 三项指标结论</w:t>
      </w:r>
    </w:p>
    <w:p>
      <w:pPr>
        <w:ind w:left="0" w:firstLine="420"/>
      </w:pPr>
      <w:r>
        <w:rPr>
          <w:rFonts w:ascii="Calibri" w:hAnsi="Calibri" w:eastAsia="Microsoft YaHei" w:cs="Calibri"/>
        </w:rPr>
        <w:t xml:space="preserve">UBCC 的性能评价包括容量效率、适用场景端到端时延和 HA-VI 方案的配对比较。三项指标的核验集合分别为：指标 1 采用 TC131 + TC142–147 × 五种拓扑（3N1S、3N2S、8N1S、8N2S、16N1S）× P175/P200；指标 2 采用 TC135–140、TC217 + TC142–147（服务阶段 service）；指标 3 采用 TC228–235 五拓扑、三压力完整配对矩阵。</w:t>
      </w:r>
    </w:p>
    <w:tbl>
      <w:tblPr>
        <w:tblStyle w:val="TableGrid"/>
        <w:tblW w:w="5000" w:type="pct"/>
        <w:tblLayout w:type="fixed"/>
        <w:tblCellMar>
          <w:top w:w="60" w:type="dxa"/>
          <w:left w:w="90" w:type="dxa"/>
          <w:bottom w:w="60" w:type="dxa"/>
          <w:right w:w="90" w:type="dxa"/>
        </w:tblCellMar>
      </w:tblPr>
      <w:tblGrid>
        <w:gridCol w:w="1962"/>
        <w:gridCol w:w="2035"/>
        <w:gridCol w:w="2983"/>
        <w:gridCol w:w="2618"/>
      </w:tblGrid>
      <w:tr>
        <w:trPr>
          <w:cantSplit/>
          <w:tblHeader/>
        </w:trPr>
        <w:tc>
          <w:tcPr>
            <w:tcW w:w="19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指标</w:t>
            </w:r>
          </w:p>
        </w:tc>
        <w:tc>
          <w:tcPr>
            <w:tcW w:w="203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验收门槛</w:t>
            </w:r>
          </w:p>
        </w:tc>
        <w:tc>
          <w:tcPr>
            <w:tcW w:w="29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已核验结果</w:t>
            </w:r>
          </w:p>
        </w:tc>
        <w:tc>
          <w:tcPr>
            <w:tcW w:w="261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结果范围</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指标 1：等效追踪容量</w:t>
            </w:r>
          </w:p>
        </w:tc>
        <w:tc>
          <w:tcPr>
            <w:tcW w:w="2035" w:type="dxa"/>
          </w:tcPr>
          <w:p>
            <w:pPr>
              <w:pStyle w:val="TableText"/>
              <w:jc w:val="left"/>
              <w:wordWrap w:val="0"/>
              <w:keepNext/>
              <w:spacing w:before="0" w:after="0" w:line="320" w:lineRule="exact"/>
            </w:pPr>
            <w:r>
              <w:rPr>
                <w:rFonts w:ascii="Calibri" w:hAnsi="Calibri" w:eastAsia="Microsoft YaHei" w:cs="Calibri"/>
                <w:sz w:val="18"/>
                <w:szCs w:val="18"/>
              </w:rPr>
              <w:t xml:space="preserve">≥ 1.500×</w:t>
            </w:r>
          </w:p>
        </w:tc>
        <w:tc>
          <w:tcPr>
            <w:tcW w:w="2983" w:type="dxa"/>
          </w:tcPr>
          <w:p>
            <w:pPr>
              <w:pStyle w:val="TableText"/>
              <w:jc w:val="left"/>
              <w:wordWrap w:val="0"/>
              <w:keepNext/>
              <w:spacing w:before="0" w:after="0" w:line="320" w:lineRule="exact"/>
            </w:pPr>
            <w:r>
              <w:rPr>
                <w:rFonts w:ascii="Calibri" w:hAnsi="Calibri" w:eastAsia="Microsoft YaHei" w:cs="Calibri"/>
                <w:sz w:val="18"/>
                <w:szCs w:val="18"/>
              </w:rPr>
              <w:t xml:space="preserve">TC131 1.515×； TC142–147  1.618–1.849x</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TC131 与 TC142–147</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指标 1：附加时延</w:t>
            </w:r>
          </w:p>
        </w:tc>
        <w:tc>
          <w:tcPr>
            <w:tcW w:w="2035" w:type="dxa"/>
          </w:tcPr>
          <w:p>
            <w:pPr>
              <w:pStyle w:val="TableText"/>
              <w:jc w:val="left"/>
              <w:wordWrap w:val="0"/>
              <w:keepNext/>
              <w:spacing w:before="0" w:after="0" w:line="320" w:lineRule="exact"/>
            </w:pPr>
            <w:r>
              <w:rPr>
                <w:rFonts w:ascii="Calibri" w:hAnsi="Calibri" w:eastAsia="Microsoft YaHei" w:cs="Calibri"/>
                <w:sz w:val="18"/>
                <w:szCs w:val="18"/>
              </w:rPr>
              <w:t xml:space="preserve">&lt; 25.000 ns</w:t>
            </w:r>
          </w:p>
        </w:tc>
        <w:tc>
          <w:tcPr>
            <w:tcW w:w="2983" w:type="dxa"/>
          </w:tcPr>
          <w:p>
            <w:pPr>
              <w:pStyle w:val="TableText"/>
              <w:jc w:val="left"/>
              <w:wordWrap w:val="0"/>
              <w:keepNext/>
              <w:spacing w:before="0" w:after="0" w:line="320" w:lineRule="exact"/>
            </w:pPr>
            <w:r>
              <w:rPr>
                <w:rFonts w:ascii="Calibri" w:hAnsi="Calibri" w:eastAsia="Microsoft YaHei" w:cs="Calibri"/>
                <w:sz w:val="18"/>
                <w:szCs w:val="18"/>
              </w:rPr>
              <w:t xml:space="preserve">TC131 10.535 ns；TC142–147 均值为 22.731 ns</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TC131 与 TC142–147</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指标 2：适用场景等权平均降幅</w:t>
            </w:r>
          </w:p>
        </w:tc>
        <w:tc>
          <w:tcPr>
            <w:tcW w:w="2035" w:type="dxa"/>
          </w:tcPr>
          <w:p>
            <w:pPr>
              <w:pStyle w:val="TableText"/>
              <w:jc w:val="left"/>
              <w:wordWrap w:val="0"/>
              <w:keepNext/>
              <w:spacing w:before="0" w:after="0" w:line="320" w:lineRule="exact"/>
            </w:pPr>
            <w:r>
              <w:rPr>
                <w:rFonts w:ascii="Calibri" w:hAnsi="Calibri" w:eastAsia="Microsoft YaHei" w:cs="Calibri"/>
                <w:sz w:val="18"/>
                <w:szCs w:val="18"/>
              </w:rPr>
              <w:t xml:space="preserve">≥ 10.000%</w:t>
            </w:r>
          </w:p>
        </w:tc>
        <w:tc>
          <w:tcPr>
            <w:tcW w:w="2983" w:type="dxa"/>
          </w:tcPr>
          <w:p>
            <w:pPr>
              <w:pStyle w:val="TableText"/>
              <w:jc w:val="left"/>
              <w:wordWrap w:val="0"/>
              <w:keepNext/>
              <w:spacing w:before="0" w:after="0" w:line="320" w:lineRule="exact"/>
            </w:pPr>
            <w:r>
              <w:rPr>
                <w:rFonts w:ascii="Calibri" w:hAnsi="Calibri" w:eastAsia="Microsoft YaHei" w:cs="Calibri"/>
                <w:sz w:val="18"/>
                <w:szCs w:val="18"/>
              </w:rPr>
              <w:t xml:space="preserve">TC135-140/TC217 64.759%； TC142–147 服务阶段为 37.5%–50.5%</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TC135–140、TC217 与 TC142–147</w:t>
            </w:r>
          </w:p>
        </w:tc>
      </w:tr>
      <w:tr>
        <w:trPr>
          <w:cantSplit/>
        </w:trPr>
        <w:tc>
          <w:tcPr>
            <w:tcW w:w="1962" w:type="dxa"/>
          </w:tcPr>
          <w:p>
            <w:pPr>
              <w:pStyle w:val="TableText"/>
              <w:jc w:val="left"/>
              <w:wordWrap w:val="0"/>
              <w:spacing w:before="0" w:after="0" w:line="320" w:lineRule="exact"/>
            </w:pPr>
            <w:r>
              <w:rPr>
                <w:rFonts w:ascii="Calibri" w:hAnsi="Calibri" w:eastAsia="Microsoft YaHei" w:cs="Calibri"/>
                <w:sz w:val="18"/>
                <w:szCs w:val="18"/>
              </w:rPr>
              <w:t xml:space="preserve">指标 3：UBCC 相对 HA-VI</w:t>
            </w:r>
          </w:p>
        </w:tc>
        <w:tc>
          <w:tcPr>
            <w:tcW w:w="2035" w:type="dxa"/>
          </w:tcPr>
          <w:p>
            <w:pPr>
              <w:pStyle w:val="TableText"/>
              <w:jc w:val="left"/>
              <w:wordWrap w:val="0"/>
              <w:spacing w:before="0" w:after="0" w:line="320" w:lineRule="exact"/>
            </w:pPr>
            <w:r>
              <w:rPr>
                <w:rFonts w:ascii="Calibri" w:hAnsi="Calibri" w:eastAsia="Microsoft YaHei" w:cs="Calibri"/>
                <w:sz w:val="18"/>
                <w:szCs w:val="18"/>
              </w:rPr>
              <w:t xml:space="preserve">两场景组均满足 UBCC 平均时延更低</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15 个拓扑/压力测试对全部满足</w:t>
            </w:r>
          </w:p>
        </w:tc>
        <w:tc>
          <w:tcPr>
            <w:tcW w:w="2618" w:type="dxa"/>
          </w:tcPr>
          <w:p>
            <w:pPr>
              <w:pStyle w:val="TableText"/>
              <w:jc w:val="left"/>
              <w:wordWrap w:val="0"/>
              <w:spacing w:before="0" w:after="0" w:line="320" w:lineRule="exact"/>
            </w:pPr>
            <w:r>
              <w:rPr>
                <w:rFonts w:ascii="Calibri" w:hAnsi="Calibri" w:eastAsia="Microsoft YaHei" w:cs="Calibri"/>
                <w:sz w:val="18"/>
                <w:szCs w:val="18"/>
              </w:rPr>
              <w:t xml:space="preserve">TC228–235 五拓扑、三压力矩阵</w:t>
            </w:r>
          </w:p>
        </w:tc>
      </w:tr>
    </w:tbl>
    <w:p>
      <w:pPr>
        <w:pStyle w:val="Heading3"/>
        <w:keepNext/>
      </w:pPr>
      <w:r>
        <w:rPr>
          <w:rFonts w:ascii="Calibri" w:hAnsi="Calibri" w:eastAsia="SimHei" w:cs="Calibri"/>
        </w:rPr>
        <w:t xml:space="preserve">1.2 结论与范围</w:t>
      </w:r>
    </w:p>
    <w:tbl>
      <w:tblPr>
        <w:tblStyle w:val="TableGrid"/>
        <w:tblW w:w="5000" w:type="pct"/>
        <w:tblLayout w:type="fixed"/>
        <w:tblCellMar>
          <w:top w:w="60" w:type="dxa"/>
          <w:left w:w="90" w:type="dxa"/>
          <w:bottom w:w="60" w:type="dxa"/>
          <w:right w:w="90" w:type="dxa"/>
        </w:tblCellMar>
      </w:tblPr>
      <w:tblGrid>
        <w:gridCol w:w="1356"/>
        <w:gridCol w:w="4416"/>
        <w:gridCol w:w="3827"/>
      </w:tblGrid>
      <w:tr>
        <w:trPr>
          <w:cantSplit/>
          <w:tblHeader/>
        </w:trPr>
        <w:tc>
          <w:tcPr>
            <w:tcW w:w="135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项目</w:t>
            </w:r>
          </w:p>
        </w:tc>
        <w:tc>
          <w:tcPr>
            <w:tcW w:w="441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结论</w:t>
            </w:r>
          </w:p>
        </w:tc>
        <w:tc>
          <w:tcPr>
            <w:tcW w:w="382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适用范围</w:t>
            </w:r>
          </w:p>
        </w:tc>
      </w:tr>
      <w:tr>
        <w:trPr>
          <w:cantSplit/>
        </w:trPr>
        <w:tc>
          <w:tcPr>
            <w:tcW w:w="1356" w:type="dxa"/>
          </w:tcPr>
          <w:p>
            <w:pPr>
              <w:pStyle w:val="TableText"/>
              <w:jc w:val="left"/>
              <w:wordWrap w:val="0"/>
              <w:keepNext/>
              <w:spacing w:before="0" w:after="0" w:line="320" w:lineRule="exact"/>
            </w:pPr>
            <w:r>
              <w:rPr>
                <w:rFonts w:ascii="Calibri" w:hAnsi="Calibri" w:eastAsia="Microsoft YaHei" w:cs="Calibri"/>
                <w:sz w:val="18"/>
                <w:szCs w:val="18"/>
              </w:rPr>
              <w:t xml:space="preserve">指标 1</w:t>
            </w:r>
          </w:p>
        </w:tc>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容量 1.515×（扩展 1.618–1.849）；附加时延 10.535 ns（扩展均值 22.731 ns）</w:t>
            </w:r>
          </w:p>
        </w:tc>
        <w:tc>
          <w:tcPr>
            <w:tcW w:w="3827" w:type="dxa"/>
          </w:tcPr>
          <w:p>
            <w:pPr>
              <w:pStyle w:val="TableText"/>
              <w:jc w:val="left"/>
              <w:wordWrap w:val="0"/>
              <w:keepNext/>
              <w:spacing w:before="0" w:after="0" w:line="320" w:lineRule="exact"/>
            </w:pPr>
            <w:r>
              <w:rPr>
                <w:rFonts w:ascii="Calibri" w:hAnsi="Calibri" w:eastAsia="Microsoft YaHei" w:cs="Calibri"/>
                <w:sz w:val="18"/>
                <w:szCs w:val="18"/>
              </w:rPr>
              <w:t xml:space="preserve">TC131 与 TC142–147</w:t>
            </w:r>
          </w:p>
        </w:tc>
      </w:tr>
      <w:tr>
        <w:trPr>
          <w:cantSplit/>
        </w:trPr>
        <w:tc>
          <w:tcPr>
            <w:tcW w:w="1356" w:type="dxa"/>
          </w:tcPr>
          <w:p>
            <w:pPr>
              <w:pStyle w:val="TableText"/>
              <w:jc w:val="left"/>
              <w:wordWrap w:val="0"/>
              <w:keepNext/>
              <w:spacing w:before="0" w:after="0" w:line="320" w:lineRule="exact"/>
            </w:pPr>
            <w:r>
              <w:rPr>
                <w:rFonts w:ascii="Calibri" w:hAnsi="Calibri" w:eastAsia="Microsoft YaHei" w:cs="Calibri"/>
                <w:sz w:val="18"/>
                <w:szCs w:val="18"/>
              </w:rPr>
              <w:t xml:space="preserve">指标 2</w:t>
            </w:r>
          </w:p>
        </w:tc>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适用场景等权平均降幅 64.759%；扩展服务阶段 37.5%–50.5%</w:t>
            </w:r>
          </w:p>
        </w:tc>
        <w:tc>
          <w:tcPr>
            <w:tcW w:w="3827" w:type="dxa"/>
          </w:tcPr>
          <w:p>
            <w:pPr>
              <w:pStyle w:val="TableText"/>
              <w:jc w:val="left"/>
              <w:wordWrap w:val="0"/>
              <w:keepNext/>
              <w:spacing w:before="0" w:after="0" w:line="320" w:lineRule="exact"/>
            </w:pPr>
            <w:r>
              <w:rPr>
                <w:rFonts w:ascii="Calibri" w:hAnsi="Calibri" w:eastAsia="Microsoft YaHei" w:cs="Calibri"/>
                <w:sz w:val="18"/>
                <w:szCs w:val="18"/>
              </w:rPr>
              <w:t xml:space="preserve">TC135–140、TC217 与 TC142–147</w:t>
            </w:r>
          </w:p>
        </w:tc>
      </w:tr>
      <w:tr>
        <w:trPr>
          <w:cantSplit/>
        </w:trPr>
        <w:tc>
          <w:tcPr>
            <w:tcW w:w="1356" w:type="dxa"/>
          </w:tcPr>
          <w:p>
            <w:pPr>
              <w:pStyle w:val="TableText"/>
              <w:jc w:val="left"/>
              <w:wordWrap w:val="0"/>
              <w:spacing w:before="0" w:after="0" w:line="320" w:lineRule="exact"/>
            </w:pPr>
            <w:r>
              <w:rPr>
                <w:rFonts w:ascii="Calibri" w:hAnsi="Calibri" w:eastAsia="Microsoft YaHei" w:cs="Calibri"/>
                <w:sz w:val="18"/>
                <w:szCs w:val="18"/>
              </w:rPr>
              <w:t xml:space="preserve">指标 3</w:t>
            </w:r>
          </w:p>
        </w:tc>
        <w:tc>
          <w:tcPr>
            <w:tcW w:w="4416" w:type="dxa"/>
          </w:tcPr>
          <w:p>
            <w:pPr>
              <w:pStyle w:val="TableText"/>
              <w:jc w:val="left"/>
              <w:wordWrap w:val="0"/>
              <w:spacing w:before="0" w:after="0" w:line="320" w:lineRule="exact"/>
            </w:pPr>
            <w:r>
              <w:rPr>
                <w:rFonts w:ascii="Calibri" w:hAnsi="Calibri" w:eastAsia="Microsoft YaHei" w:cs="Calibri"/>
                <w:sz w:val="18"/>
                <w:szCs w:val="18"/>
              </w:rPr>
              <w:t xml:space="preserve">固定 L3 配置下两个场景组均满足 UBCC 聚合均值更低</w:t>
            </w:r>
          </w:p>
        </w:tc>
        <w:tc>
          <w:tcPr>
            <w:tcW w:w="3827" w:type="dxa"/>
          </w:tcPr>
          <w:p>
            <w:pPr>
              <w:pStyle w:val="TableText"/>
              <w:jc w:val="left"/>
              <w:wordWrap w:val="0"/>
              <w:spacing w:before="0" w:after="0" w:line="320" w:lineRule="exact"/>
            </w:pPr>
            <w:r>
              <w:rPr>
                <w:rFonts w:ascii="Calibri" w:hAnsi="Calibri" w:eastAsia="Microsoft YaHei" w:cs="Calibri"/>
                <w:sz w:val="18"/>
                <w:szCs w:val="18"/>
              </w:rPr>
              <w:t xml:space="preserve">TC228–235；既定 HA-VI 可执行参考模型</w:t>
            </w:r>
          </w:p>
        </w:tc>
      </w:tr>
    </w:tbl>
    <w:p>
      <w:pPr>
        <w:ind w:left="0" w:firstLine="420"/>
      </w:pPr>
      <w:r>
        <w:rPr>
          <w:rFonts w:ascii="Calibri" w:hAnsi="Calibri" w:eastAsia="Microsoft YaHei" w:cs="Calibri"/>
        </w:rPr>
        <w:t xml:space="preserve">指标 1 的 TC142–147 覆盖五种拓扑 × P175/P200，容量 Mean 为 1.793×，附加时延 Mean 为 22.731 ns；TC143、TC145 的时延合并值超过 25 ns，不作逐 TC 全部达标声明。指标 2 的 TC142–147 仅使用 service，不以完整 episode 替代。两组指标 2 数据分别汇总，不虚构跨组统一总分。</w:t>
      </w:r>
    </w:p>
    <w:p>
      <w:pPr>
        <w:pStyle w:val="Heading3"/>
        <w:keepNext/>
      </w:pPr>
      <w:r>
        <w:rPr>
          <w:rFonts w:ascii="Calibri" w:hAnsi="Calibri" w:eastAsia="SimHei" w:cs="Calibri"/>
        </w:rPr>
        <w:t xml:space="preserve">1.3 正确性门禁</w:t>
      </w:r>
    </w:p>
    <w:p>
      <w:pPr>
        <w:ind w:left="0" w:firstLine="420"/>
      </w:pPr>
      <w:r>
        <w:rPr>
          <w:rFonts w:ascii="Calibri" w:hAnsi="Calibri" w:eastAsia="Microsoft YaHei" w:cs="Calibri"/>
        </w:rPr>
        <w:t xml:space="preserve">性能结论以正确性验证为前提：</w:t>
      </w:r>
    </w:p>
    <w:tbl>
      <w:tblPr>
        <w:tblStyle w:val="TableGrid"/>
        <w:tblW w:w="5000" w:type="pct"/>
        <w:tblLayout w:type="fixed"/>
        <w:tblCellMar>
          <w:top w:w="60" w:type="dxa"/>
          <w:left w:w="90" w:type="dxa"/>
          <w:bottom w:w="60" w:type="dxa"/>
          <w:right w:w="90" w:type="dxa"/>
        </w:tblCellMar>
      </w:tblPr>
      <w:tblGrid>
        <w:gridCol w:w="4262"/>
        <w:gridCol w:w="2562"/>
        <w:gridCol w:w="2775"/>
      </w:tblGrid>
      <w:tr>
        <w:trPr>
          <w:cantSplit/>
          <w:tblHeader/>
        </w:trPr>
        <w:tc>
          <w:tcPr>
            <w:tcW w:w="42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验证矩阵</w:t>
            </w:r>
          </w:p>
        </w:tc>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规模</w:t>
            </w:r>
          </w:p>
        </w:tc>
        <w:tc>
          <w:tcPr>
            <w:tcW w:w="27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1/2 profile 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78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78/78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3 配对矩阵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240 次仿真运行</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240/240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正确性测试(TC1~119)</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84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84/84 通过</w:t>
            </w:r>
          </w:p>
        </w:tc>
      </w:tr>
      <w:tr>
        <w:trPr>
          <w:cantSplit/>
        </w:trPr>
        <w:tc>
          <w:tcPr>
            <w:tcW w:w="4262" w:type="dxa"/>
          </w:tcPr>
          <w:p>
            <w:pPr>
              <w:pStyle w:val="TableText"/>
              <w:jc w:val="left"/>
              <w:wordWrap w:val="0"/>
              <w:spacing w:before="0" w:after="0" w:line="320" w:lineRule="exact"/>
            </w:pPr>
            <w:r>
              <w:rPr>
                <w:rFonts w:ascii="Calibri" w:hAnsi="Calibri" w:eastAsia="Microsoft YaHei" w:cs="Calibri"/>
                <w:sz w:val="18"/>
                <w:szCs w:val="18"/>
              </w:rPr>
              <w:t xml:space="preserve">Q1-Q5 故障测试</w:t>
            </w:r>
          </w:p>
        </w:tc>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52 项</w:t>
            </w:r>
          </w:p>
        </w:tc>
        <w:tc>
          <w:tcPr>
            <w:tcW w:w="2775"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pStyle w:val="Heading2"/>
        <w:keepNext/>
      </w:pPr>
      <w:r>
        <w:rPr>
          <w:rFonts w:ascii="Calibri" w:hAnsi="Calibri" w:eastAsia="SimHei" w:cs="Calibri"/>
        </w:rPr>
        <w:t xml:space="preserve">2. 验收方法</w:t>
      </w:r>
    </w:p>
    <w:p>
      <w:pPr>
        <w:pStyle w:val="Heading3"/>
        <w:keepNext/>
      </w:pPr>
      <w:r>
        <w:rPr>
          <w:rFonts w:ascii="Calibri" w:hAnsi="Calibri" w:eastAsia="SimHei" w:cs="Calibri"/>
        </w:rPr>
        <w:t xml:space="preserve">2.1 Profile 定义与差异</w:t>
      </w:r>
    </w:p>
    <w:p>
      <w:pPr>
        <w:ind w:left="0" w:firstLine="420"/>
      </w:pPr>
      <w:r>
        <w:rPr>
          <w:rFonts w:ascii="Calibri" w:hAnsi="Calibri" w:eastAsia="Microsoft YaHei" w:cs="Calibri"/>
        </w:rPr>
        <w:t xml:space="preserve">指标 1/2 使用以下三个基础 profile。三者采用相同处理器、缓存层级、工作负载和完成边界， 差异集中在目录容量组织和协议时延优化。</w:t>
      </w:r>
    </w:p>
    <w:tbl>
      <w:tblPr>
        <w:tblStyle w:val="TableGrid"/>
        <w:tblW w:w="5000" w:type="pct"/>
        <w:tblLayout w:type="fixed"/>
        <w:tblCellMar>
          <w:top w:w="60" w:type="dxa"/>
          <w:left w:w="90" w:type="dxa"/>
          <w:bottom w:w="60" w:type="dxa"/>
          <w:right w:w="90" w:type="dxa"/>
        </w:tblCellMar>
      </w:tblPr>
      <w:tblGrid>
        <w:gridCol w:w="2019"/>
        <w:gridCol w:w="2628"/>
        <w:gridCol w:w="3084"/>
        <w:gridCol w:w="1867"/>
      </w:tblGrid>
      <w:tr>
        <w:trPr>
          <w:cantSplit/>
          <w:tblHeader/>
        </w:trPr>
        <w:tc>
          <w:tcPr>
            <w:tcW w:w="201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配置维度</w:t>
            </w:r>
          </w:p>
        </w:tc>
        <w:tc>
          <w:tcPr>
            <w:tcW w:w="262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w:t>
            </w:r>
          </w:p>
        </w:tc>
        <w:tc>
          <w:tcPr>
            <w:tcW w:w="308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spill-noopt（noopt）</w:t>
            </w:r>
          </w:p>
        </w:tc>
        <w:tc>
          <w:tcPr>
            <w:tcW w:w="186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optimized（opt）</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片上目录预算</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512 KiB</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512 KiB</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512 KiB</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ResidentDir 物理容量</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65,536 条</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57,344 条</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57,344 条</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Bloom 与 GroupIndex</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不启用 Bloom；4 KiB GroupIndex</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60 KiB 分组 Bloom；4 KiB GroupIndex</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spill-noopt 相同</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容量溢出策略</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在 ResidentDir 内选择替换条目</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冷目录元数据迁移至 H64 Backstore</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spill-noopt 相同</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H64 Backstore</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不用于容量扩展</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启用 lookup、upsert、erase 和按需换入</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spill-noopt 相同</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本地 silent upgrade</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开启</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batch read-shared</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开启</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direct forwarding</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关闭</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指标 1 职责</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容量分母</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容量分子和 spill-512K 时延角色</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支撑结果</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指标 2 职责</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时延基线</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容量机制观察</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naive 形成应用时延比较</w:t>
            </w:r>
          </w:p>
        </w:tc>
      </w:tr>
    </w:tbl>
    <w:p>
      <w:pPr>
        <w:ind w:left="0" w:firstLine="420"/>
      </w:pPr>
      <w:r>
        <w:rPr>
          <w:rFonts w:ascii="Calibri" w:hAnsi="Calibri" w:eastAsia="Microsoft YaHei" w:cs="Calibri"/>
        </w:rPr>
        <w:t xml:space="preserve">spill-IdealDir 是指标 1 附加时延使用的实验角色。它保持 spill-noopt 的协议优化设置，采用 2 MiB 实验性片上目录预算和 131,072 条 ResidentDir 容量，为 TC131 提供无目录溢出的参考路径。</w:t>
      </w:r>
    </w:p>
    <w:p>
      <w:pPr>
        <w:pStyle w:val="Heading3"/>
        <w:keepNext/>
      </w:pPr>
      <w:r>
        <w:rPr>
          <w:rFonts w:ascii="Calibri" w:hAnsi="Calibri" w:eastAsia="SimHei" w:cs="Calibri"/>
        </w:rPr>
        <w:t xml:space="preserve">2.2 仿真拓扑与共同配置</w:t>
      </w:r>
    </w:p>
    <w:p>
      <w:pPr>
        <w:ind w:left="0" w:firstLine="420"/>
      </w:pPr>
      <w:r>
        <w:rPr>
          <w:rFonts w:ascii="Calibri" w:hAnsi="Calibri" w:eastAsia="Microsoft YaHei" w:cs="Calibri"/>
        </w:rPr>
        <w:t xml:space="preserve">本文使用 NnSs 描述逻辑仿真拓扑，其中 N 表示参与跨节点一致性的协议节点数，S 表示每个节点包含的 Socket 数。例如，8N1S 表示 8 个协议节点、每节点 1 个 Socket；8N2S 表示 8 个协议节点、每节点 2 个 Socket。</w:t>
      </w:r>
    </w:p>
    <w:p>
      <w:pPr>
        <w:ind w:left="0" w:firstLine="420"/>
      </w:pPr>
      <w:r>
        <w:rPr>
          <w:rFonts w:ascii="Calibri" w:hAnsi="Calibri" w:eastAsia="Microsoft YaHei" w:cs="Calibri"/>
        </w:rPr>
        <w:t xml:space="preserve">每个协议节点包含处理器与缓存层级、节点内 HN-F，以及连接 Inner CHI 域和 Outer 一致性层的 EP。地址映射为每条缓存行选择 Home 节点和 Home Socket；Home UBCC 控制器负责全局目录查询、owner/sharer 仲裁和目录提交。requester、Home 与数据 owner 可以位于不同节点，跨节点请求、数据、失效和确认均按 node/socket 身份路由。</w:t>
      </w:r>
    </w:p>
    <w:p>
      <w:pPr>
        <w:ind w:left="0" w:firstLine="420"/>
      </w:pPr>
      <w:r>
        <w:rPr>
          <w:rFonts w:ascii="Calibri" w:hAnsi="Calibri" w:eastAsia="Microsoft YaHei" w:cs="Calibri"/>
        </w:rPr>
        <w:t xml:space="preserve">各对照实验使用相同的处理器模型、缓存配置、workload 输入、逻辑拓扑和根操作完成边界。 拓扑规模变化时，各 testcase 保持其参与者角色、地址映射和发布事件定义。</w:t>
      </w:r>
    </w:p>
    <w:tbl>
      <w:tblPr>
        <w:tblStyle w:val="TableGrid"/>
        <w:tblW w:w="5000" w:type="pct"/>
        <w:tblLayout w:type="fixed"/>
        <w:tblCellMar>
          <w:top w:w="60" w:type="dxa"/>
          <w:left w:w="90" w:type="dxa"/>
          <w:bottom w:w="60" w:type="dxa"/>
          <w:right w:w="90" w:type="dxa"/>
        </w:tblCellMar>
      </w:tblPr>
      <w:tblGrid>
        <w:gridCol w:w="1553"/>
        <w:gridCol w:w="2381"/>
        <w:gridCol w:w="2682"/>
        <w:gridCol w:w="2983"/>
      </w:tblGrid>
      <w:tr>
        <w:trPr>
          <w:cantSplit/>
          <w:tblHeader/>
        </w:trPr>
        <w:tc>
          <w:tcPr>
            <w:tcW w:w="155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结果范围</w:t>
            </w:r>
          </w:p>
        </w:tc>
        <w:tc>
          <w:tcPr>
            <w:tcW w:w="238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268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拓扑</w:t>
            </w:r>
          </w:p>
        </w:tc>
        <w:tc>
          <w:tcPr>
            <w:tcW w:w="29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主要作用</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1 基础项</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Home 目录服务、catalog 扫描与写权限升级</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2 核心计分</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TC135-TC140</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owner、sharer、新 requester 与验证者分工</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2 catalog</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TC217</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2N1S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catalog 提供者与 read-mostly 执行者</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机制与容量支撑</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TC120-TC132、TC135-TC140</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主要为 3N1S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共享、所有权迁移、换入换出与恢复</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多节点支撑</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多 reader 共享与压力后复用</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多 Socket 支撑</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16 个执行 plane 和跨 Socket 窗口复用</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1 扩展项</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TC142–147</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五种拓扑 × P175/P200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容量及附加时延</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2 服务项</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TC142–147</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3N1S、8N1S、16N1S × P175/P200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service；不计完整 episode</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3</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TC228-TC235</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3N1S、3N2S、8N1S、8N2S、16N1S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UBCC 与 HA-VI 配对比较</w:t>
            </w:r>
          </w:p>
        </w:tc>
      </w:tr>
    </w:tbl>
    <w:p>
      <w:pPr>
        <w:ind w:left="0" w:firstLine="420"/>
      </w:pPr>
      <w:r>
        <w:rPr>
          <w:rFonts w:ascii="Calibri" w:hAnsi="Calibri" w:eastAsia="Microsoft YaHei" w:cs="Calibri"/>
        </w:rPr>
        <w:t xml:space="preserve">指标 3 的配对配置采用 O3、256 KiB L3、P0/P50/P100 和单向完成语义。16N1S 表示协议节点规模和端点能力覆盖。</w:t>
      </w:r>
    </w:p>
    <w:p>
      <w:pPr>
        <w:pStyle w:val="Heading3"/>
        <w:keepNext/>
      </w:pPr>
      <w:r>
        <w:rPr>
          <w:rFonts w:ascii="Calibri" w:hAnsi="Calibri" w:eastAsia="SimHei" w:cs="Calibri"/>
        </w:rPr>
        <w:t xml:space="preserve">2.3 指标 1 口径：TC131 + TC142–147 × 五拓扑</w:t>
      </w:r>
    </w:p>
    <w:p>
      <w:pPr>
        <w:ind w:left="0" w:firstLine="420"/>
      </w:pPr>
      <w:r>
        <w:rPr>
          <w:rFonts w:ascii="Calibri" w:hAnsi="Calibri" w:eastAsia="Microsoft YaHei" w:cs="Calibri"/>
        </w:rPr>
        <w:t xml:space="preserve">指标 1 的完整测试集合为 TC131，以及 TC142–147 在 3N1S、3N2S、8N1S、8N2S、16N1S × P175/P200 下的扩展矩阵。两部分均属于指标 1，分别列示，不能将 TC131 单项结果称为完整集合的结果。</w:t>
      </w:r>
    </w:p>
    <w:p>
      <w:pPr>
        <w:pStyle w:val="Heading3"/>
        <w:keepNext/>
      </w:pPr>
      <w:r>
        <w:rPr>
          <w:rFonts w:ascii="Calibri" w:hAnsi="Calibri" w:eastAsia="SimHei" w:cs="Calibri"/>
        </w:rPr>
        <w:t xml:space="preserve">2.3.1 等效追踪容量</w:t>
      </w:r>
    </w:p>
    <w:p>
      <w:pPr>
        <w:ind w:left="0" w:firstLine="420"/>
      </w:pPr>
      <w:r>
        <w:rPr>
          <w:rFonts w:ascii="Calibri" w:hAnsi="Calibri" w:eastAsia="Microsoft YaHei" w:cs="Calibri"/>
        </w:rPr>
        <w:t xml:space="preserve">TC131 对 naive 和 spill-noopt 各执行三次重复。相同片上预算下，naive 提供容量分母，spill-noopt 通过 ResidentDir 与 H64 Backstore 扩展有效覆盖。按缓存行地址去重，避免重复计数：</w:t>
      </w:r>
    </w:p>
    <w:p>
      <w:pPr>
        <w:pStyle w:val="Code"/>
      </w:pPr>
      <w:r>
        <w:rPr>
          <w:rFonts w:ascii="Consolas" w:hAnsi="Consolas" w:eastAsia="Microsoft YaHei" w:cs="Consolas"/>
        </w:rPr>
        <w:t xml:space="preserve">C_effective = count(union(ResidentDir_live, Backstore_persisted_live))</w:t>
      </w:r>
    </w:p>
    <w:p>
      <w:pPr>
        <w:pStyle w:val="Code"/>
      </w:pPr>
      <w:r>
        <w:rPr>
          <w:rFonts w:ascii="Consolas" w:hAnsi="Consolas" w:eastAsia="Microsoft YaHei" w:cs="Consolas"/>
        </w:rPr>
        <w:t xml:space="preserve">capacity_ratio = C_effective_spill / C_effective_naive</w:t>
      </w:r>
    </w:p>
    <w:p>
      <w:pPr>
        <w:ind w:left="0" w:firstLine="420"/>
      </w:pPr>
      <w:r>
        <w:rPr>
          <w:rFonts w:ascii="Calibri" w:hAnsi="Calibri" w:eastAsia="Microsoft YaHei" w:cs="Calibri"/>
        </w:rPr>
        <w:t xml:space="preserve">TC131 的容量为 99,293 / 65,536 = 1.515×。扩展矩阵使用已有计数口径 max(spill ResidentDir capacity, Home0/socket0 H64 exact live) / naive capacity，不直接相加。每个 TC 对五拓扑 × 两压力的容量比求几何平均，六个 TC 再求几何平均；Mean 为 1.793×。容量门槛为 1.500×。</w:t>
      </w:r>
    </w:p>
    <w:p>
      <w:pPr>
        <w:pStyle w:val="Heading3"/>
        <w:keepNext/>
      </w:pPr>
      <w:r>
        <w:rPr>
          <w:rFonts w:ascii="Calibri" w:hAnsi="Calibri" w:eastAsia="SimHei" w:cs="Calibri"/>
        </w:rPr>
        <w:t xml:space="preserve">2.3.2 目录溢出附加时延</w:t>
      </w:r>
    </w:p>
    <w:p>
      <w:pPr>
        <w:ind w:left="0" w:firstLine="420"/>
      </w:pPr>
      <w:r>
        <w:rPr>
          <w:rFonts w:ascii="Calibri" w:hAnsi="Calibri" w:eastAsia="Microsoft YaHei" w:cs="Calibri"/>
        </w:rPr>
        <w:t xml:space="preserve">两侧均保持 spill-noopt 协议策略：spill-512K 为有溢出角色，spill-IdealDir 为无溢出参考角色。TC131 的参考使用 2 MiB 实验预算、131,072 条 ResidentDir。只统计已经发布完成事件的 Outer 根操作，不使用未完成请求或内部子阶段代替。</w:t>
      </w:r>
    </w:p>
    <w:p>
      <w:pPr>
        <w:pStyle w:val="Code"/>
      </w:pPr>
      <w:r>
        <w:rPr>
          <w:rFonts w:ascii="Consolas" w:hAnsi="Consolas" w:eastAsia="Microsoft YaHei" w:cs="Consolas"/>
        </w:rPr>
        <w:t xml:space="preserve">delta_outer(r) = mean_outer(spill-512K, r)</w:t>
      </w:r>
    </w:p>
    <w:p>
      <w:pPr>
        <w:pStyle w:val="Code"/>
      </w:pPr>
      <w:r>
        <w:rPr>
          <w:rFonts w:ascii="Consolas" w:hAnsi="Consolas" w:eastAsia="Microsoft YaHei" w:cs="Consolas"/>
        </w:rPr>
        <w:t xml:space="preserve">                 - mean_outer(spill-IdealDir, r)</w:t>
      </w:r>
    </w:p>
    <w:p>
      <w:pPr>
        <w:pStyle w:val="Code"/>
      </w:pPr>
      <w:r>
        <w:rPr>
          <w:rFonts w:ascii="Consolas" w:hAnsi="Consolas" w:eastAsia="Microsoft YaHei" w:cs="Consolas"/>
        </w:rPr>
        <w:t xml:space="preserve">delta_TC131 = mean(delta_outer(1), delta_outer(2), delta_outer(3))</w:t>
      </w:r>
    </w:p>
    <w:p>
      <w:pPr>
        <w:ind w:left="0" w:firstLine="420"/>
      </w:pPr>
      <w:r>
        <w:rPr>
          <w:rFonts w:ascii="Calibri" w:hAnsi="Calibri" w:eastAsia="Microsoft YaHei" w:cs="Calibri"/>
        </w:rPr>
        <w:t xml:space="preserve">TC131 三对、共六次运行的等权结果为 10.535 ns。扩展矩阵每个配置先合并各进程 completed Outer 事件，再计算两角色均值差；每个 TC 对十个坐标求算术平均，六个 TC 再求算术平均，Mean 为 22.731 ns。门槛为低于 25 ns；均值达标不代表每个 TC 或每个坐标均达标。</w:t>
      </w:r>
    </w:p>
    <w:p>
      <w:pPr>
        <w:pStyle w:val="Heading3"/>
        <w:keepNext/>
      </w:pPr>
      <w:r>
        <w:rPr>
          <w:rFonts w:ascii="Calibri" w:hAnsi="Calibri" w:eastAsia="SimHei" w:cs="Calibri"/>
        </w:rPr>
        <w:t xml:space="preserve">2.3.3 分组报告与资格边界</w:t>
      </w:r>
    </w:p>
    <w:tbl>
      <w:tblPr>
        <w:tblStyle w:val="TableGrid"/>
        <w:tblW w:w="5000" w:type="pct"/>
        <w:tblLayout w:type="fixed"/>
        <w:tblCellMar>
          <w:top w:w="60" w:type="dxa"/>
          <w:left w:w="90" w:type="dxa"/>
          <w:bottom w:w="60" w:type="dxa"/>
          <w:right w:w="90" w:type="dxa"/>
        </w:tblCellMar>
      </w:tblPr>
      <w:tblGrid>
        <w:gridCol w:w="3275"/>
        <w:gridCol w:w="1775"/>
        <w:gridCol w:w="2150"/>
        <w:gridCol w:w="2400"/>
      </w:tblGrid>
      <w:tr>
        <w:trPr>
          <w:cantSplit/>
          <w:tblHeader/>
        </w:trPr>
        <w:tc>
          <w:tcPr>
            <w:tcW w:w="32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结果组</w:t>
            </w:r>
          </w:p>
        </w:tc>
        <w:tc>
          <w:tcPr>
            <w:tcW w:w="17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容量</w:t>
            </w:r>
          </w:p>
        </w:tc>
        <w:tc>
          <w:tcPr>
            <w:tcW w:w="21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附加时延</w:t>
            </w:r>
          </w:p>
        </w:tc>
        <w:tc>
          <w:tcPr>
            <w:tcW w:w="24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说明</w:t>
            </w:r>
          </w:p>
        </w:tc>
      </w:tr>
      <w:tr>
        <w:trPr>
          <w:cantSplit/>
        </w:trPr>
        <w:tc>
          <w:tcPr>
            <w:tcW w:w="3275" w:type="dxa"/>
          </w:tcPr>
          <w:p>
            <w:pPr>
              <w:pStyle w:val="TableText"/>
              <w:jc w:val="left"/>
              <w:wordWrap w:val="0"/>
              <w:keepNext/>
              <w:spacing w:before="0" w:after="0" w:line="320" w:lineRule="exact"/>
            </w:pPr>
            <w:r>
              <w:rPr>
                <w:rFonts w:ascii="Calibri" w:hAnsi="Calibri" w:eastAsia="Microsoft YaHei" w:cs="Calibri"/>
                <w:sz w:val="18"/>
                <w:szCs w:val="18"/>
              </w:rPr>
              <w:t xml:space="preserve">TC131</w:t>
            </w:r>
          </w:p>
        </w:tc>
        <w:tc>
          <w:tcPr>
            <w:tcW w:w="1775" w:type="dxa"/>
          </w:tcPr>
          <w:p>
            <w:pPr>
              <w:pStyle w:val="TableText"/>
              <w:jc w:val="left"/>
              <w:wordWrap w:val="0"/>
              <w:keepNext/>
              <w:spacing w:before="0" w:after="0" w:line="320" w:lineRule="exact"/>
            </w:pPr>
            <w:r>
              <w:rPr>
                <w:rFonts w:ascii="Calibri" w:hAnsi="Calibri" w:eastAsia="Microsoft YaHei" w:cs="Calibri"/>
                <w:sz w:val="18"/>
                <w:szCs w:val="18"/>
              </w:rPr>
              <w:t xml:space="preserve">1.515×</w:t>
            </w:r>
          </w:p>
        </w:tc>
        <w:tc>
          <w:tcPr>
            <w:tcW w:w="2150" w:type="dxa"/>
          </w:tcPr>
          <w:p>
            <w:pPr>
              <w:pStyle w:val="TableText"/>
              <w:jc w:val="left"/>
              <w:wordWrap w:val="0"/>
              <w:keepNext/>
              <w:spacing w:before="0" w:after="0" w:line="320" w:lineRule="exact"/>
            </w:pPr>
            <w:r>
              <w:rPr>
                <w:rFonts w:ascii="Calibri" w:hAnsi="Calibri" w:eastAsia="Microsoft YaHei" w:cs="Calibri"/>
                <w:sz w:val="18"/>
                <w:szCs w:val="18"/>
              </w:rPr>
              <w:t xml:space="preserve">10.535 ns</w:t>
            </w:r>
          </w:p>
        </w:tc>
        <w:tc>
          <w:tcPr>
            <w:tcW w:w="2400" w:type="dxa"/>
          </w:tcPr>
          <w:p>
            <w:pPr>
              <w:pStyle w:val="TableText"/>
              <w:jc w:val="left"/>
              <w:wordWrap w:val="0"/>
              <w:keepNext/>
              <w:spacing w:before="0" w:after="0" w:line="320" w:lineRule="exact"/>
            </w:pPr>
            <w:r>
              <w:rPr>
                <w:rFonts w:ascii="Calibri" w:hAnsi="Calibri" w:eastAsia="Microsoft YaHei" w:cs="Calibri"/>
                <w:sz w:val="18"/>
                <w:szCs w:val="18"/>
              </w:rPr>
              <w:t xml:space="preserve">三次重复配对</w:t>
            </w:r>
          </w:p>
        </w:tc>
      </w:tr>
      <w:tr>
        <w:trPr>
          <w:cantSplit/>
        </w:trPr>
        <w:tc>
          <w:tcPr>
            <w:tcW w:w="3275" w:type="dxa"/>
          </w:tcPr>
          <w:p>
            <w:pPr>
              <w:pStyle w:val="TableText"/>
              <w:jc w:val="left"/>
              <w:wordWrap w:val="0"/>
              <w:spacing w:before="0" w:after="0" w:line="320" w:lineRule="exact"/>
            </w:pPr>
            <w:r>
              <w:rPr>
                <w:rFonts w:ascii="Calibri" w:hAnsi="Calibri" w:eastAsia="Microsoft YaHei" w:cs="Calibri"/>
                <w:sz w:val="18"/>
                <w:szCs w:val="18"/>
              </w:rPr>
              <w:t xml:space="preserve">TC142–147 × 五拓扑 × 两压力</w:t>
            </w:r>
          </w:p>
        </w:tc>
        <w:tc>
          <w:tcPr>
            <w:tcW w:w="1775" w:type="dxa"/>
          </w:tcPr>
          <w:p>
            <w:pPr>
              <w:pStyle w:val="TableText"/>
              <w:jc w:val="left"/>
              <w:wordWrap w:val="0"/>
              <w:spacing w:before="0" w:after="0" w:line="320" w:lineRule="exact"/>
            </w:pPr>
            <w:r>
              <w:rPr>
                <w:rFonts w:ascii="Calibri" w:hAnsi="Calibri" w:eastAsia="Microsoft YaHei" w:cs="Calibri"/>
                <w:sz w:val="18"/>
                <w:szCs w:val="18"/>
              </w:rPr>
              <w:t xml:space="preserve">GM 1.793×</w:t>
            </w:r>
          </w:p>
        </w:tc>
        <w:tc>
          <w:tcPr>
            <w:tcW w:w="2150" w:type="dxa"/>
          </w:tcPr>
          <w:p>
            <w:pPr>
              <w:pStyle w:val="TableText"/>
              <w:jc w:val="left"/>
              <w:wordWrap w:val="0"/>
              <w:spacing w:before="0" w:after="0" w:line="320" w:lineRule="exact"/>
            </w:pPr>
            <w:r>
              <w:rPr>
                <w:rFonts w:ascii="Calibri" w:hAnsi="Calibri" w:eastAsia="Microsoft YaHei" w:cs="Calibri"/>
                <w:sz w:val="18"/>
                <w:szCs w:val="18"/>
              </w:rPr>
              <w:t xml:space="preserve">AM 22.731 ns</w:t>
            </w:r>
          </w:p>
        </w:tc>
        <w:tc>
          <w:tcPr>
            <w:tcW w:w="2400" w:type="dxa"/>
          </w:tcPr>
          <w:p>
            <w:pPr>
              <w:pStyle w:val="TableText"/>
              <w:jc w:val="left"/>
              <w:wordWrap w:val="0"/>
              <w:spacing w:before="0" w:after="0" w:line="320" w:lineRule="exact"/>
            </w:pPr>
            <w:r>
              <w:rPr>
                <w:rFonts w:ascii="Calibri" w:hAnsi="Calibri" w:eastAsia="Microsoft YaHei" w:cs="Calibri"/>
                <w:sz w:val="18"/>
                <w:szCs w:val="18"/>
              </w:rPr>
              <w:t xml:space="preserve">六个 TC 的合并 Mean</w:t>
            </w:r>
          </w:p>
        </w:tc>
      </w:tr>
    </w:tbl>
    <w:p>
      <w:pPr>
        <w:ind w:left="0" w:firstLine="420"/>
      </w:pPr>
      <w:r>
        <w:rPr>
          <w:rFonts w:ascii="Calibri" w:hAnsi="Calibri" w:eastAsia="Microsoft YaHei" w:cs="Calibri"/>
        </w:rPr>
        <w:t xml:space="preserve">扩展容量各 TC 的 GM 为 1.618–1.849×；TC143、TC145 的附加时延 AM 分别为 37.724、25.743 ns。详细数值、聚合和参考资格见 §3.6；不把两组结果重新混合为未经定义的总分。</w:t>
      </w:r>
    </w:p>
    <w:p>
      <w:pPr>
        <w:pStyle w:val="Heading3"/>
        <w:keepNext/>
      </w:pPr>
      <w:r>
        <w:rPr>
          <w:rFonts w:ascii="Calibri" w:hAnsi="Calibri" w:eastAsia="SimHei" w:cs="Calibri"/>
        </w:rPr>
        <w:t xml:space="preserve">2.4 指标 2 口径：TC135–140、TC217 + TC142–147（service）</w:t>
      </w:r>
    </w:p>
    <w:p>
      <w:pPr>
        <w:ind w:left="0" w:firstLine="420"/>
      </w:pPr>
      <w:r>
        <w:rPr>
          <w:rFonts w:ascii="Calibri" w:hAnsi="Calibri" w:eastAsia="Microsoft YaHei" w:cs="Calibri"/>
        </w:rPr>
        <w:t xml:space="preserve">指标 2 固定包含两个结果组。第一组为 TC135–140、TC217，比较 optimized 与 naive，naive 均值不低于 500 ns 的场景进入等权平均。TC140 仍属于测试集合，但因 119.209 ns 低于门槛，作为中性控制项，不进入该组聚合。TC138 的负降幅完整保留。</w:t>
      </w:r>
    </w:p>
    <w:p>
      <w:pPr>
        <w:ind w:left="0" w:firstLine="420"/>
      </w:pPr>
      <w:r>
        <w:rPr>
          <w:rFonts w:ascii="Calibri" w:hAnsi="Calibri" w:eastAsia="Microsoft YaHei" w:cs="Calibri"/>
        </w:rPr>
        <w:t xml:space="preserve">第二组为 TC142–147 的服务阶段 service，使用 DOCX 保留的 naive/spill-noopt 配对角色，在 3N1S、8N1S、16N1S 和 P175/P200 内计算业务操作平均时延。先在每个坐标计算百分比降幅，再对该组拓扑和两档压力等权汇总。500 ns 筛选仅用于第一组，不将其套用于服务阶段组而删除后者。</w:t>
      </w:r>
    </w:p>
    <w:p>
      <w:pPr>
        <w:pStyle w:val="Code"/>
      </w:pPr>
      <w:r>
        <w:rPr>
          <w:rFonts w:ascii="Consolas" w:hAnsi="Consolas" w:eastAsia="Microsoft YaHei" w:cs="Consolas"/>
        </w:rPr>
        <w:t xml:space="preserve">reduction_percent = 100 * (1 - compared_ns_per_op / naive_ns_per_op)</w:t>
      </w:r>
    </w:p>
    <w:p>
      <w:pPr>
        <w:pStyle w:val="Code"/>
      </w:pPr>
      <w:r>
        <w:rPr>
          <w:rFonts w:ascii="Consolas" w:hAnsi="Consolas" w:eastAsia="Microsoft YaHei" w:cs="Consolas"/>
        </w:rPr>
        <w:t xml:space="preserve">group_reduction = mean(per_case_reduction_percent)</w:t>
      </w:r>
    </w:p>
    <w:p>
      <w:pPr>
        <w:ind w:left="0" w:firstLine="420"/>
      </w:pPr>
      <w:r>
        <w:rPr>
          <w:rFonts w:ascii="Calibri" w:hAnsi="Calibri" w:eastAsia="Microsoft YaHei" w:cs="Calibri"/>
        </w:rPr>
        <w:t xml:space="preserve">第一组 compared 为 optimized；第二组为 spill-noopt，不将两种角色混写。第一组等权降幅 64.759%；第二组六个 TC 的两压力等权降幅依次为 44.331%、48.757%、37.465%、42.292%、46.933%、50.521%。两组均属于指标 2，分别与 10% 参考门槛比较，不将完整 episode、准备、逐批压力写入和屏障计入 service，也不构造未约定权重的跨组总分。</w:t>
      </w:r>
    </w:p>
    <w:p>
      <w:pPr>
        <w:pStyle w:val="Heading3"/>
        <w:keepNext/>
      </w:pPr>
      <w:r>
        <w:rPr>
          <w:rFonts w:ascii="Calibri" w:hAnsi="Calibri" w:eastAsia="SimHei" w:cs="Calibri"/>
        </w:rPr>
        <w:t xml:space="preserve">2.5 指标 3 口径</w:t>
      </w:r>
    </w:p>
    <w:p>
      <w:pPr>
        <w:ind w:left="0" w:firstLine="420"/>
      </w:pPr>
      <w:r>
        <w:rPr>
          <w:rFonts w:ascii="Calibri" w:hAnsi="Calibri" w:eastAsia="Microsoft YaHei" w:cs="Calibri"/>
        </w:rPr>
        <w:t xml:space="preserve">指标 3 的测试集合固定为 TC228–235 × 五种拓扑（3N1S、3N2S、8N1S、8N2S、16N1S）× P0/P50/P100。采用固定 256 KiB L3，在每个拓扑与压力坐标内进行 UBCC/HA-VI 配对，共 120 对、240 次运行：</w:t>
      </w:r>
    </w:p>
    <w:p>
      <w:pPr>
        <w:ind w:left="360" w:firstLine="0"/>
      </w:pPr>
      <w:r>
        <w:rPr>
          <w:rFonts w:ascii="Calibri" w:hAnsi="Calibri" w:eastAsia="Microsoft YaHei" w:cs="Calibri"/>
        </w:rPr>
        <w:t xml:space="preserve">• 核心场景组：TC228、TC229、TC230 各占 1/3；</w:t>
      </w:r>
    </w:p>
    <w:p>
      <w:pPr>
        <w:ind w:left="360" w:firstLine="0"/>
      </w:pPr>
      <w:r>
        <w:rPr>
          <w:rFonts w:ascii="Calibri" w:hAnsi="Calibri" w:eastAsia="Microsoft YaHei" w:cs="Calibri"/>
        </w:rPr>
        <w:t xml:space="preserve">• 代表场景组：TC231-TC235 各占 1/5。</w:t>
      </w:r>
    </w:p>
    <w:p>
      <w:pPr>
        <w:ind w:left="0" w:firstLine="420"/>
      </w:pPr>
      <w:r>
        <w:rPr>
          <w:rFonts w:ascii="Calibri" w:hAnsi="Calibri" w:eastAsia="Microsoft YaHei" w:cs="Calibri"/>
        </w:rPr>
        <w:t xml:space="preserve">代表场景组每个 testcase 只贡献一个主值：</w:t>
      </w:r>
    </w:p>
    <w:p>
      <w:pPr>
        <w:ind w:left="360" w:firstLine="0"/>
      </w:pPr>
      <w:r>
        <w:rPr>
          <w:rFonts w:ascii="Calibri" w:hAnsi="Calibri" w:eastAsia="Microsoft YaHei" w:cs="Calibri"/>
        </w:rPr>
        <w:t xml:space="preserve">• TC231：clean shared read；</w:t>
      </w:r>
    </w:p>
    <w:p>
      <w:pPr>
        <w:ind w:left="360" w:firstLine="0"/>
      </w:pPr>
      <w:r>
        <w:rPr>
          <w:rFonts w:ascii="Calibri" w:hAnsi="Calibri" w:eastAsia="Microsoft YaHei" w:cs="Calibri"/>
        </w:rPr>
        <w:t xml:space="preserve">• TC232：2/3 × hot-key read + 1/3 × hot-key write；</w:t>
      </w:r>
    </w:p>
    <w:p>
      <w:pPr>
        <w:ind w:left="360" w:firstLine="0"/>
      </w:pPr>
      <w:r>
        <w:rPr>
          <w:rFonts w:ascii="Calibri" w:hAnsi="Calibri" w:eastAsia="Microsoft YaHei" w:cs="Calibri"/>
        </w:rPr>
        <w:t xml:space="preserve">• TC233：producer-consumer service；</w:t>
      </w:r>
    </w:p>
    <w:p>
      <w:pPr>
        <w:ind w:left="360" w:firstLine="0"/>
      </w:pPr>
      <w:r>
        <w:rPr>
          <w:rFonts w:ascii="Calibri" w:hAnsi="Calibri" w:eastAsia="Microsoft YaHei" w:cs="Calibri"/>
        </w:rPr>
        <w:t xml:space="preserve">• TC234：queued-token end-to-end；</w:t>
      </w:r>
    </w:p>
    <w:p>
      <w:pPr>
        <w:ind w:left="360" w:firstLine="0"/>
      </w:pPr>
      <w:r>
        <w:rPr>
          <w:rFonts w:ascii="Calibri" w:hAnsi="Calibri" w:eastAsia="Microsoft YaHei" w:cs="Calibri"/>
        </w:rPr>
        <w:t xml:space="preserve">• TC235：catalog-KV end-to-end。</w:t>
      </w:r>
    </w:p>
    <w:p>
      <w:pPr>
        <w:ind w:left="0" w:firstLine="420"/>
      </w:pPr>
      <w:r>
        <w:rPr>
          <w:rFonts w:ascii="Calibri" w:hAnsi="Calibri" w:eastAsia="Microsoft YaHei" w:cs="Calibri"/>
        </w:rPr>
        <w:t xml:space="preserve">判据为严格的 UBCC 平均时延 &lt; HA-VI 平均时延。</w:t>
      </w:r>
    </w:p>
    <w:p>
      <w:pPr>
        <w:ind w:left="0" w:firstLine="420"/>
      </w:pPr>
      <w:r>
        <w:rPr>
          <w:rFonts w:ascii="Calibri" w:hAnsi="Calibri" w:eastAsia="Microsoft YaHei" w:cs="Calibri"/>
        </w:rPr>
        <w:t xml:space="preserve">确定性重复仿真提供可复现性证据，而非总体分布的统计推断。</w:t>
      </w:r>
    </w:p>
    <w:p>
      <w:pPr>
        <w:pStyle w:val="Heading3"/>
        <w:keepNext/>
      </w:pPr>
      <w:r>
        <w:rPr>
          <w:rFonts w:ascii="Calibri" w:hAnsi="Calibri" w:eastAsia="SimHei" w:cs="Calibri"/>
        </w:rPr>
        <w:t xml:space="preserve">2.6 完成边界</w:t>
      </w:r>
    </w:p>
    <w:p>
      <w:pPr>
        <w:ind w:left="0" w:firstLine="420"/>
      </w:pPr>
      <w:r>
        <w:rPr>
          <w:rFonts w:ascii="Calibri" w:hAnsi="Calibri" w:eastAsia="Microsoft YaHei" w:cs="Calibri"/>
        </w:rPr>
        <w:t xml:space="preserve">所有比较遵循发布事件原则：只统计满足正式完成条件并已经发布完成事件的根操作。开始点为 workload 发起目标操作，结束点为数据和权限满足该 workload 的可观察完成条件。未完成事件和诊断子阶段不进入聚合。指标 2 的 TC142–147 明确以已完成的业务 service 为计时边界，不能与包含压力写入和屏障的完整 episode 混用。</w:t>
      </w:r>
    </w:p>
    <w:p>
      <w:pPr>
        <w:pStyle w:val="Heading3"/>
        <w:keepNext/>
      </w:pPr>
      <w:r>
        <w:rPr>
          <w:rFonts w:ascii="Calibri" w:hAnsi="Calibri" w:eastAsia="SimHei" w:cs="Calibri"/>
        </w:rPr>
        <w:t xml:space="preserve">2.7 计分集与支撑集</w:t>
      </w:r>
    </w:p>
    <w:p>
      <w:pPr>
        <w:ind w:left="0" w:firstLine="420"/>
      </w:pPr>
      <w:r>
        <w:rPr>
          <w:rFonts w:ascii="Calibri" w:hAnsi="Calibri" w:eastAsia="Microsoft YaHei" w:cs="Calibri"/>
        </w:rPr>
        <w:t xml:space="preserve">合同计分集的 testcase、权重和门槛在评审前确定。支撑集按各自明确职责报告，不将未设定正式权重的场景混合成额外总分：</w:t>
      </w:r>
    </w:p>
    <w:p>
      <w:pPr>
        <w:ind w:left="360" w:firstLine="0"/>
      </w:pPr>
      <w:r>
        <w:rPr>
          <w:rFonts w:ascii="Calibri" w:hAnsi="Calibri" w:eastAsia="Microsoft YaHei" w:cs="Calibri"/>
        </w:rPr>
        <w:t xml:space="preserve">• TC120-TC124 比较多类访问模式下的完整场景行为；</w:t>
      </w:r>
    </w:p>
    <w:p>
      <w:pPr>
        <w:ind w:left="360" w:firstLine="0"/>
      </w:pPr>
      <w:r>
        <w:rPr>
          <w:rFonts w:ascii="Calibri" w:hAnsi="Calibri" w:eastAsia="Microsoft YaHei" w:cs="Calibri"/>
        </w:rPr>
        <w:t xml:space="preserve">• TC125-TC129 验证 Backstore 机制路径的完成性；</w:t>
      </w:r>
    </w:p>
    <w:p>
      <w:pPr>
        <w:ind w:left="360" w:firstLine="0"/>
      </w:pPr>
      <w:r>
        <w:rPr>
          <w:rFonts w:ascii="Calibri" w:hAnsi="Calibri" w:eastAsia="Microsoft YaHei" w:cs="Calibri"/>
        </w:rPr>
        <w:t xml:space="preserve">• TC130-TC134 展示固定容量压力下的真实数据复用场景；</w:t>
      </w:r>
    </w:p>
    <w:p>
      <w:pPr>
        <w:ind w:left="0" w:firstLine="420"/>
      </w:pPr>
      <w:r>
        <w:rPr>
          <w:rFonts w:ascii="Calibri" w:hAnsi="Calibri" w:eastAsia="Microsoft YaHei" w:cs="Calibri"/>
        </w:rPr>
        <w:t xml:space="preserve">TC142–147 不再仅作为支撑集：其五拓扑容量/Outer 结果属于指标 1，service 结果属于指标 2。TC131 的容量和附加时延属于指标 1，其 guest 业务阶段值仅作路径说明。</w:t>
      </w:r>
    </w:p>
    <w:p>
      <w:pPr>
        <w:pStyle w:val="Heading2"/>
        <w:keepNext/>
      </w:pPr>
      <w:r>
        <w:rPr>
          <w:rFonts w:ascii="Calibri" w:hAnsi="Calibri" w:eastAsia="SimHei" w:cs="Calibri"/>
        </w:rPr>
        <w:t xml:space="preserve">3. 指标 1：TC131 与 TC142–147 的容量及附加时延</w:t>
      </w:r>
    </w:p>
    <w:p>
      <w:pPr>
        <w:ind w:left="0" w:firstLine="420"/>
      </w:pPr>
      <w:r>
        <w:rPr>
          <w:rFonts w:ascii="Calibri" w:hAnsi="Calibri" w:eastAsia="Microsoft YaHei" w:cs="Calibri"/>
        </w:rPr>
        <w:t xml:space="preserve">本章完整覆盖 TC131 + TC142–147 × 五种拓扑 × P175/P200；§3.1–3.4 解释 TC131，§3.6 报告扩展组，两者共同形成指标 1。</w:t>
      </w:r>
    </w:p>
    <w:p>
      <w:pPr>
        <w:pStyle w:val="Heading3"/>
        <w:keepNext/>
      </w:pPr>
      <w:r>
        <w:rPr>
          <w:rFonts w:ascii="Calibri" w:hAnsi="Calibri" w:eastAsia="SimHei" w:cs="Calibri"/>
        </w:rPr>
        <w:t xml:space="preserve">3.1 TC131 配对结果</w:t>
      </w:r>
    </w:p>
    <w:p>
      <w:pPr>
        <w:ind w:left="0" w:firstLine="420"/>
      </w:pPr>
      <w:r>
        <w:rPr>
          <w:rFonts w:ascii="Calibri" w:hAnsi="Calibri" w:eastAsia="Microsoft YaHei" w:cs="Calibri"/>
        </w:rPr>
        <w:t xml:space="preserve">指标 1 的三个实验角色采用以下目录容量：</w:t>
      </w:r>
    </w:p>
    <w:tbl>
      <w:tblPr>
        <w:tblStyle w:val="TableGrid"/>
        <w:tblW w:w="5000" w:type="pct"/>
        <w:tblLayout w:type="fixed"/>
        <w:tblCellMar>
          <w:top w:w="60" w:type="dxa"/>
          <w:left w:w="90" w:type="dxa"/>
          <w:bottom w:w="60" w:type="dxa"/>
          <w:right w:w="90" w:type="dxa"/>
        </w:tblCellMar>
      </w:tblPr>
      <w:tblGrid>
        <w:gridCol w:w="2107"/>
        <w:gridCol w:w="1690"/>
        <w:gridCol w:w="2315"/>
        <w:gridCol w:w="1586"/>
        <w:gridCol w:w="1899"/>
      </w:tblGrid>
      <w:tr>
        <w:trPr>
          <w:cantSplit/>
          <w:tblHeader/>
        </w:trPr>
        <w:tc>
          <w:tcPr>
            <w:tcW w:w="210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角色</w:t>
            </w:r>
          </w:p>
        </w:tc>
        <w:tc>
          <w:tcPr>
            <w:tcW w:w="169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片上目录预算</w:t>
            </w:r>
          </w:p>
        </w:tc>
        <w:tc>
          <w:tcPr>
            <w:tcW w:w="231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ResidentDir 物理容量</w:t>
            </w:r>
          </w:p>
        </w:tc>
        <w:tc>
          <w:tcPr>
            <w:tcW w:w="158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Backstore</w:t>
            </w:r>
          </w:p>
        </w:tc>
        <w:tc>
          <w:tcPr>
            <w:tcW w:w="189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指标用途</w:t>
            </w:r>
          </w:p>
        </w:tc>
      </w:tr>
      <w:tr>
        <w:trPr>
          <w:cantSplit/>
        </w:trPr>
        <w:tc>
          <w:tcPr>
            <w:tcW w:w="2107" w:type="dxa"/>
          </w:tcPr>
          <w:p>
            <w:pPr>
              <w:pStyle w:val="TableText"/>
              <w:jc w:val="left"/>
              <w:wordWrap w:val="0"/>
              <w:keepNext/>
              <w:spacing w:before="0" w:after="0" w:line="320" w:lineRule="exact"/>
            </w:pPr>
            <w:r>
              <w:rPr>
                <w:rFonts w:ascii="Calibri" w:hAnsi="Calibri" w:eastAsia="Microsoft YaHei" w:cs="Calibri"/>
                <w:sz w:val="18"/>
                <w:szCs w:val="18"/>
              </w:rPr>
              <w:t xml:space="preserve">naive</w:t>
            </w:r>
          </w:p>
        </w:tc>
        <w:tc>
          <w:tcPr>
            <w:tcW w:w="1690" w:type="dxa"/>
          </w:tcPr>
          <w:p>
            <w:pPr>
              <w:pStyle w:val="TableText"/>
              <w:jc w:val="left"/>
              <w:wordWrap w:val="0"/>
              <w:keepNext/>
              <w:spacing w:before="0" w:after="0" w:line="320" w:lineRule="exact"/>
            </w:pPr>
            <w:r>
              <w:rPr>
                <w:rFonts w:ascii="Calibri" w:hAnsi="Calibri" w:eastAsia="Microsoft YaHei" w:cs="Calibri"/>
                <w:sz w:val="18"/>
                <w:szCs w:val="18"/>
              </w:rPr>
              <w:t xml:space="preserve">512 KiB</w:t>
            </w:r>
          </w:p>
        </w:tc>
        <w:tc>
          <w:tcPr>
            <w:tcW w:w="2315" w:type="dxa"/>
          </w:tcPr>
          <w:p>
            <w:pPr>
              <w:pStyle w:val="TableText"/>
              <w:jc w:val="left"/>
              <w:wordWrap w:val="0"/>
              <w:keepNext/>
              <w:spacing w:before="0" w:after="0" w:line="320" w:lineRule="exact"/>
            </w:pPr>
            <w:r>
              <w:rPr>
                <w:rFonts w:ascii="Calibri" w:hAnsi="Calibri" w:eastAsia="Microsoft YaHei" w:cs="Calibri"/>
                <w:sz w:val="18"/>
                <w:szCs w:val="18"/>
              </w:rPr>
              <w:t xml:space="preserve">65,536 条</w:t>
            </w:r>
          </w:p>
        </w:tc>
        <w:tc>
          <w:tcPr>
            <w:tcW w:w="1586" w:type="dxa"/>
          </w:tcPr>
          <w:p>
            <w:pPr>
              <w:pStyle w:val="TableText"/>
              <w:jc w:val="left"/>
              <w:wordWrap w:val="0"/>
              <w:keepNext/>
              <w:spacing w:before="0" w:after="0" w:line="320" w:lineRule="exact"/>
            </w:pPr>
            <w:r>
              <w:rPr>
                <w:rFonts w:ascii="Calibri" w:hAnsi="Calibri" w:eastAsia="Microsoft YaHei" w:cs="Calibri"/>
                <w:sz w:val="18"/>
                <w:szCs w:val="18"/>
              </w:rPr>
              <w:t xml:space="preserve">基线策略</w:t>
            </w:r>
          </w:p>
        </w:tc>
        <w:tc>
          <w:tcPr>
            <w:tcW w:w="1899" w:type="dxa"/>
          </w:tcPr>
          <w:p>
            <w:pPr>
              <w:pStyle w:val="TableText"/>
              <w:jc w:val="left"/>
              <w:wordWrap w:val="0"/>
              <w:keepNext/>
              <w:spacing w:before="0" w:after="0" w:line="320" w:lineRule="exact"/>
            </w:pPr>
            <w:r>
              <w:rPr>
                <w:rFonts w:ascii="Calibri" w:hAnsi="Calibri" w:eastAsia="Microsoft YaHei" w:cs="Calibri"/>
                <w:sz w:val="18"/>
                <w:szCs w:val="18"/>
              </w:rPr>
              <w:t xml:space="preserve">容量分母</w:t>
            </w:r>
          </w:p>
        </w:tc>
      </w:tr>
      <w:tr>
        <w:trPr>
          <w:cantSplit/>
        </w:trPr>
        <w:tc>
          <w:tcPr>
            <w:tcW w:w="2107" w:type="dxa"/>
          </w:tcPr>
          <w:p>
            <w:pPr>
              <w:pStyle w:val="TableText"/>
              <w:jc w:val="left"/>
              <w:wordWrap w:val="0"/>
              <w:keepNext/>
              <w:spacing w:before="0" w:after="0" w:line="320" w:lineRule="exact"/>
            </w:pPr>
            <w:r>
              <w:rPr>
                <w:rFonts w:ascii="Calibri" w:hAnsi="Calibri" w:eastAsia="Microsoft YaHei" w:cs="Calibri"/>
                <w:sz w:val="18"/>
                <w:szCs w:val="18"/>
              </w:rPr>
              <w:t xml:space="preserve">spill-512K</w:t>
            </w:r>
          </w:p>
        </w:tc>
        <w:tc>
          <w:tcPr>
            <w:tcW w:w="1690" w:type="dxa"/>
          </w:tcPr>
          <w:p>
            <w:pPr>
              <w:pStyle w:val="TableText"/>
              <w:jc w:val="left"/>
              <w:wordWrap w:val="0"/>
              <w:keepNext/>
              <w:spacing w:before="0" w:after="0" w:line="320" w:lineRule="exact"/>
            </w:pPr>
            <w:r>
              <w:rPr>
                <w:rFonts w:ascii="Calibri" w:hAnsi="Calibri" w:eastAsia="Microsoft YaHei" w:cs="Calibri"/>
                <w:sz w:val="18"/>
                <w:szCs w:val="18"/>
              </w:rPr>
              <w:t xml:space="preserve">512 KiB</w:t>
            </w:r>
          </w:p>
        </w:tc>
        <w:tc>
          <w:tcPr>
            <w:tcW w:w="2315" w:type="dxa"/>
          </w:tcPr>
          <w:p>
            <w:pPr>
              <w:pStyle w:val="TableText"/>
              <w:jc w:val="left"/>
              <w:wordWrap w:val="0"/>
              <w:keepNext/>
              <w:spacing w:before="0" w:after="0" w:line="320" w:lineRule="exact"/>
            </w:pPr>
            <w:r>
              <w:rPr>
                <w:rFonts w:ascii="Calibri" w:hAnsi="Calibri" w:eastAsia="Microsoft YaHei" w:cs="Calibri"/>
                <w:sz w:val="18"/>
                <w:szCs w:val="18"/>
              </w:rPr>
              <w:t xml:space="preserve">57,344 条</w:t>
            </w:r>
          </w:p>
        </w:tc>
        <w:tc>
          <w:tcPr>
            <w:tcW w:w="1586" w:type="dxa"/>
          </w:tcPr>
          <w:p>
            <w:pPr>
              <w:pStyle w:val="TableText"/>
              <w:jc w:val="left"/>
              <w:wordWrap w:val="0"/>
              <w:keepNext/>
              <w:spacing w:before="0" w:after="0" w:line="320" w:lineRule="exact"/>
            </w:pPr>
            <w:r>
              <w:rPr>
                <w:rFonts w:ascii="Calibri" w:hAnsi="Calibri" w:eastAsia="Microsoft YaHei" w:cs="Calibri"/>
                <w:sz w:val="18"/>
                <w:szCs w:val="18"/>
              </w:rPr>
              <w:t xml:space="preserve">H64</w:t>
            </w:r>
          </w:p>
        </w:tc>
        <w:tc>
          <w:tcPr>
            <w:tcW w:w="1899" w:type="dxa"/>
          </w:tcPr>
          <w:p>
            <w:pPr>
              <w:pStyle w:val="TableText"/>
              <w:jc w:val="left"/>
              <w:wordWrap w:val="0"/>
              <w:keepNext/>
              <w:spacing w:before="0" w:after="0" w:line="320" w:lineRule="exact"/>
            </w:pPr>
            <w:r>
              <w:rPr>
                <w:rFonts w:ascii="Calibri" w:hAnsi="Calibri" w:eastAsia="Microsoft YaHei" w:cs="Calibri"/>
                <w:sz w:val="18"/>
                <w:szCs w:val="18"/>
              </w:rPr>
              <w:t xml:space="preserve">容量分子和附加时延被测侧</w:t>
            </w:r>
          </w:p>
        </w:tc>
      </w:tr>
      <w:tr>
        <w:trPr>
          <w:cantSplit/>
        </w:trPr>
        <w:tc>
          <w:tcPr>
            <w:tcW w:w="2107" w:type="dxa"/>
          </w:tcPr>
          <w:p>
            <w:pPr>
              <w:pStyle w:val="TableText"/>
              <w:jc w:val="left"/>
              <w:wordWrap w:val="0"/>
              <w:spacing w:before="0" w:after="0" w:line="320" w:lineRule="exact"/>
            </w:pPr>
            <w:r>
              <w:rPr>
                <w:rFonts w:ascii="Calibri" w:hAnsi="Calibri" w:eastAsia="Microsoft YaHei" w:cs="Calibri"/>
                <w:sz w:val="18"/>
                <w:szCs w:val="18"/>
              </w:rPr>
              <w:t xml:space="preserve">spill-IdealDir</w:t>
            </w:r>
          </w:p>
        </w:tc>
        <w:tc>
          <w:tcPr>
            <w:tcW w:w="1690" w:type="dxa"/>
          </w:tcPr>
          <w:p>
            <w:pPr>
              <w:pStyle w:val="TableText"/>
              <w:jc w:val="left"/>
              <w:wordWrap w:val="0"/>
              <w:spacing w:before="0" w:after="0" w:line="320" w:lineRule="exact"/>
            </w:pPr>
            <w:r>
              <w:rPr>
                <w:rFonts w:ascii="Calibri" w:hAnsi="Calibri" w:eastAsia="Microsoft YaHei" w:cs="Calibri"/>
                <w:sz w:val="18"/>
                <w:szCs w:val="18"/>
              </w:rPr>
              <w:t xml:space="preserve">2 MiB 实验角色</w:t>
            </w:r>
          </w:p>
        </w:tc>
        <w:tc>
          <w:tcPr>
            <w:tcW w:w="2315" w:type="dxa"/>
          </w:tcPr>
          <w:p>
            <w:pPr>
              <w:pStyle w:val="TableText"/>
              <w:jc w:val="left"/>
              <w:wordWrap w:val="0"/>
              <w:spacing w:before="0" w:after="0" w:line="320" w:lineRule="exact"/>
            </w:pPr>
            <w:r>
              <w:rPr>
                <w:rFonts w:ascii="Calibri" w:hAnsi="Calibri" w:eastAsia="Microsoft YaHei" w:cs="Calibri"/>
                <w:sz w:val="18"/>
                <w:szCs w:val="18"/>
              </w:rPr>
              <w:t xml:space="preserve">131,072 条</w:t>
            </w:r>
          </w:p>
        </w:tc>
        <w:tc>
          <w:tcPr>
            <w:tcW w:w="1586" w:type="dxa"/>
          </w:tcPr>
          <w:p>
            <w:pPr>
              <w:pStyle w:val="TableText"/>
              <w:jc w:val="left"/>
              <w:wordWrap w:val="0"/>
              <w:spacing w:before="0" w:after="0" w:line="320" w:lineRule="exact"/>
            </w:pPr>
            <w:r>
              <w:rPr>
                <w:rFonts w:ascii="Calibri" w:hAnsi="Calibri" w:eastAsia="Microsoft YaHei" w:cs="Calibri"/>
                <w:sz w:val="18"/>
                <w:szCs w:val="18"/>
              </w:rPr>
              <w:t xml:space="preserve">无溢出参考</w:t>
            </w:r>
          </w:p>
        </w:tc>
        <w:tc>
          <w:tcPr>
            <w:tcW w:w="1899" w:type="dxa"/>
          </w:tcPr>
          <w:p>
            <w:pPr>
              <w:pStyle w:val="TableText"/>
              <w:jc w:val="left"/>
              <w:wordWrap w:val="0"/>
              <w:spacing w:before="0" w:after="0" w:line="320" w:lineRule="exact"/>
            </w:pPr>
            <w:r>
              <w:rPr>
                <w:rFonts w:ascii="Calibri" w:hAnsi="Calibri" w:eastAsia="Microsoft YaHei" w:cs="Calibri"/>
                <w:sz w:val="18"/>
                <w:szCs w:val="18"/>
              </w:rPr>
              <w:t xml:space="preserve">附加时延参考侧</w:t>
            </w:r>
          </w:p>
        </w:tc>
      </w:tr>
    </w:tbl>
    <w:p>
      <w:pPr>
        <w:ind w:left="0" w:firstLine="420"/>
      </w:pPr>
      <w:r>
        <w:rPr>
          <w:rFonts w:ascii="Calibri" w:hAnsi="Calibri" w:eastAsia="Microsoft YaHei" w:cs="Calibri"/>
        </w:rPr>
        <w:t xml:space="preserve">spill-512K 的 ResidentDir 物理容量为 57,344 条；TC131 结束时，ResidentDir 与 H64 Backstore 按地址去重后的有效覆盖达到 99,293 条，因此容量比为 99,293 / 65,536 = 1.515×。</w:t>
      </w:r>
    </w:p>
    <w:tbl>
      <w:tblPr>
        <w:tblStyle w:val="TableGrid"/>
        <w:tblW w:w="5000" w:type="pct"/>
        <w:tblLayout w:type="fixed"/>
        <w:tblCellMar>
          <w:top w:w="60" w:type="dxa"/>
          <w:left w:w="90" w:type="dxa"/>
          <w:bottom w:w="60" w:type="dxa"/>
          <w:right w:w="90" w:type="dxa"/>
        </w:tblCellMar>
      </w:tblPr>
      <w:tblGrid>
        <w:gridCol w:w="1559"/>
        <w:gridCol w:w="3559"/>
        <w:gridCol w:w="2831"/>
        <w:gridCol w:w="1650"/>
      </w:tblGrid>
      <w:tr>
        <w:trPr>
          <w:cantSplit/>
          <w:tblHeader/>
        </w:trPr>
        <w:tc>
          <w:tcPr>
            <w:tcW w:w="155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子项</w:t>
            </w:r>
          </w:p>
        </w:tc>
        <w:tc>
          <w:tcPr>
            <w:tcW w:w="355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比较角色</w:t>
            </w:r>
          </w:p>
        </w:tc>
        <w:tc>
          <w:tcPr>
            <w:tcW w:w="283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配对结果</w:t>
            </w:r>
          </w:p>
        </w:tc>
        <w:tc>
          <w:tcPr>
            <w:tcW w:w="16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门槛</w:t>
            </w:r>
          </w:p>
        </w:tc>
      </w:tr>
      <w:tr>
        <w:trPr>
          <w:cantSplit/>
        </w:trPr>
        <w:tc>
          <w:tcPr>
            <w:tcW w:w="1559" w:type="dxa"/>
          </w:tcPr>
          <w:p>
            <w:pPr>
              <w:pStyle w:val="TableText"/>
              <w:jc w:val="left"/>
              <w:wordWrap w:val="0"/>
              <w:keepNext/>
              <w:spacing w:before="0" w:after="0" w:line="320" w:lineRule="exact"/>
            </w:pPr>
            <w:r>
              <w:rPr>
                <w:rFonts w:ascii="Calibri" w:hAnsi="Calibri" w:eastAsia="Microsoft YaHei" w:cs="Calibri"/>
                <w:sz w:val="18"/>
                <w:szCs w:val="18"/>
              </w:rPr>
              <w:t xml:space="preserve">等效追踪容量</w:t>
            </w:r>
          </w:p>
        </w:tc>
        <w:tc>
          <w:tcPr>
            <w:tcW w:w="3559" w:type="dxa"/>
          </w:tcPr>
          <w:p>
            <w:pPr>
              <w:pStyle w:val="TableText"/>
              <w:jc w:val="left"/>
              <w:wordWrap w:val="0"/>
              <w:keepNext/>
              <w:spacing w:before="0" w:after="0" w:line="320" w:lineRule="exact"/>
            </w:pPr>
            <w:r>
              <w:rPr>
                <w:rFonts w:ascii="Calibri" w:hAnsi="Calibri" w:eastAsia="Microsoft YaHei" w:cs="Calibri"/>
                <w:sz w:val="18"/>
                <w:szCs w:val="18"/>
              </w:rPr>
              <w:t xml:space="preserve">spill / naive</w:t>
            </w:r>
          </w:p>
        </w:tc>
        <w:tc>
          <w:tcPr>
            <w:tcW w:w="2831" w:type="dxa"/>
          </w:tcPr>
          <w:p>
            <w:pPr>
              <w:pStyle w:val="TableText"/>
              <w:jc w:val="left"/>
              <w:wordWrap w:val="0"/>
              <w:keepNext/>
              <w:spacing w:before="0" w:after="0" w:line="320" w:lineRule="exact"/>
            </w:pPr>
            <w:r>
              <w:rPr>
                <w:rFonts w:ascii="Calibri" w:hAnsi="Calibri" w:eastAsia="Microsoft YaHei" w:cs="Calibri"/>
                <w:sz w:val="18"/>
                <w:szCs w:val="18"/>
              </w:rPr>
              <w:t xml:space="preserve">99,293 / 65,536 = 1.515×</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 1.500×</w:t>
            </w:r>
          </w:p>
        </w:tc>
      </w:tr>
      <w:tr>
        <w:trPr>
          <w:cantSplit/>
        </w:trPr>
        <w:tc>
          <w:tcPr>
            <w:tcW w:w="1559" w:type="dxa"/>
          </w:tcPr>
          <w:p>
            <w:pPr>
              <w:pStyle w:val="TableText"/>
              <w:jc w:val="left"/>
              <w:wordWrap w:val="0"/>
              <w:spacing w:before="0" w:after="0" w:line="320" w:lineRule="exact"/>
            </w:pPr>
            <w:r>
              <w:rPr>
                <w:rFonts w:ascii="Calibri" w:hAnsi="Calibri" w:eastAsia="Microsoft YaHei" w:cs="Calibri"/>
                <w:sz w:val="18"/>
                <w:szCs w:val="18"/>
              </w:rPr>
              <w:t xml:space="preserve">Outer 附加时延</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spill-512K mean - spill-IdealDir mean</w:t>
            </w:r>
          </w:p>
        </w:tc>
        <w:tc>
          <w:tcPr>
            <w:tcW w:w="2831" w:type="dxa"/>
          </w:tcPr>
          <w:p>
            <w:pPr>
              <w:pStyle w:val="TableText"/>
              <w:jc w:val="left"/>
              <w:wordWrap w:val="0"/>
              <w:spacing w:before="0" w:after="0" w:line="320" w:lineRule="exact"/>
            </w:pPr>
            <w:r>
              <w:rPr>
                <w:rFonts w:ascii="Calibri" w:hAnsi="Calibri" w:eastAsia="Microsoft YaHei" w:cs="Calibri"/>
                <w:sz w:val="18"/>
                <w:szCs w:val="18"/>
              </w:rPr>
              <w:t xml:space="preserve">10.535 ns</w:t>
            </w:r>
          </w:p>
        </w:tc>
        <w:tc>
          <w:tcPr>
            <w:tcW w:w="1650" w:type="dxa"/>
          </w:tcPr>
          <w:p>
            <w:pPr>
              <w:pStyle w:val="TableText"/>
              <w:jc w:val="left"/>
              <w:wordWrap w:val="0"/>
              <w:spacing w:before="0" w:after="0" w:line="320" w:lineRule="exact"/>
            </w:pPr>
            <w:r>
              <w:rPr>
                <w:rFonts w:ascii="Calibri" w:hAnsi="Calibri" w:eastAsia="Microsoft YaHei" w:cs="Calibri"/>
                <w:sz w:val="18"/>
                <w:szCs w:val="18"/>
              </w:rPr>
              <w:t xml:space="preserve">&lt; 25.000 ns</w:t>
            </w:r>
          </w:p>
        </w:tc>
      </w:tr>
    </w:tbl>
    <w:p>
      <w:pPr>
        <w:ind w:left="0" w:firstLine="420"/>
      </w:pPr>
      <w:r>
        <w:rPr>
          <w:rFonts w:ascii="Calibri" w:hAnsi="Calibri" w:eastAsia="Microsoft YaHei" w:cs="Calibri"/>
        </w:rPr>
        <w:t xml:space="preserve">容量按 spill/naive 计算，其中 spill 为 512K 容量约束角色；时延按已完成 Outer 事件的 spill-512K 均值减去 spill-IdealDir 均值计算。表中数值均由未舍入结果独立计算后显示至最多 3 位小数。</w:t>
      </w:r>
    </w:p>
    <w:p>
      <w:pPr>
        <w:ind w:left="0" w:firstLine="420"/>
      </w:pPr>
      <w:r>
        <w:rPr>
          <w:rFonts w:ascii="Calibri" w:hAnsi="Calibri" w:eastAsia="Microsoft YaHei" w:cs="Calibri"/>
        </w:rPr>
        <w:t xml:space="preserve">容量与附加时延均见上表，分别使用容量比与 ns 表示。</w:t>
      </w:r>
    </w:p>
    <w:p>
      <w:pPr>
        <w:pStyle w:val="Heading3"/>
        <w:keepNext/>
      </w:pPr>
      <w:r>
        <w:rPr>
          <w:rFonts w:ascii="Calibri" w:hAnsi="Calibri" w:eastAsia="SimHei" w:cs="Calibri"/>
        </w:rPr>
        <w:t xml:space="preserve">3.2 TC131 完成事件与容量解释</w:t>
      </w:r>
    </w:p>
    <w:p>
      <w:pPr>
        <w:ind w:left="0" w:firstLine="420"/>
      </w:pPr>
      <w:r>
        <w:rPr>
          <w:rFonts w:ascii="Calibri" w:hAnsi="Calibri" w:eastAsia="Microsoft YaHei" w:cs="Calibri"/>
        </w:rPr>
        <w:t xml:space="preserve">spill 的等效追踪容量达到 naive 的 1.515 倍，超过 1.5 倍门槛；该角色采用 512K 容量约束。容量扩展由 ResidentDir 与 Backstore 的分层管理实现，热点元数据保留在 SRAM 路径，冷元数据进入后备存储。</w:t>
      </w:r>
    </w:p>
    <w:p>
      <w:pPr>
        <w:ind w:left="0" w:firstLine="420"/>
      </w:pPr>
      <w:r>
        <w:rPr>
          <w:rFonts w:ascii="Calibri" w:hAnsi="Calibri" w:eastAsia="Microsoft YaHei" w:cs="Calibri"/>
        </w:rPr>
        <w:t xml:space="preserve">附加时延采用同为 spill-noopt 策略的两个角色隔离容量溢出成本：spill-512K 使用 512K 容量约束，spill-IdealDir 使用实验性超大 ResidentDir 作为无溢出的反事实基线。三次重复中， 每次均对全部已完成 Outer 事件求均值后作差；跨轮等权均值为 10.535 ns。</w:t>
      </w:r>
    </w:p>
    <w:p>
      <w:pPr>
        <w:ind w:left="0" w:firstLine="420"/>
      </w:pPr>
      <w:r>
        <w:rPr>
          <w:rFonts w:ascii="Calibri" w:hAnsi="Calibri" w:eastAsia="Microsoft YaHei" w:cs="Calibri"/>
        </w:rPr>
        <w:t xml:space="preserve">TC131 两个时延角色的全部可用发布事件统计如下；每个角色均有三次相同配置重复，表中为每轮已完成 Outer 事件的统计值：</w:t>
      </w:r>
    </w:p>
    <w:tbl>
      <w:tblPr>
        <w:tblStyle w:val="TableGrid"/>
        <w:tblW w:w="5000" w:type="pct"/>
        <w:tblLayout w:type="fixed"/>
        <w:tblCellMar>
          <w:top w:w="60" w:type="dxa"/>
          <w:left w:w="90" w:type="dxa"/>
          <w:bottom w:w="60" w:type="dxa"/>
          <w:right w:w="90" w:type="dxa"/>
        </w:tblCellMar>
      </w:tblPr>
      <w:tblGrid>
        <w:gridCol w:w="3592"/>
        <w:gridCol w:w="2611"/>
        <w:gridCol w:w="3396"/>
      </w:tblGrid>
      <w:tr>
        <w:trPr>
          <w:cantSplit/>
          <w:tblHeader/>
        </w:trPr>
        <w:tc>
          <w:tcPr>
            <w:tcW w:w="359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统计量</w:t>
            </w:r>
          </w:p>
        </w:tc>
        <w:tc>
          <w:tcPr>
            <w:tcW w:w="261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spill-512K</w:t>
            </w:r>
          </w:p>
        </w:tc>
        <w:tc>
          <w:tcPr>
            <w:tcW w:w="339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spill-IdealDir</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完成事件数／轮</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111,182</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111,184</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均值（ns）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169.769</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159.235</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P50（ns）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11.000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11.000</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P95（ns）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1,720.000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1,720.000</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P99（ns）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1,732.500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1,722.500</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最大值（ns）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2,617.000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2,601.500</w:t>
            </w:r>
          </w:p>
        </w:tc>
      </w:tr>
      <w:tr>
        <w:trPr>
          <w:cantSplit/>
        </w:trPr>
        <w:tc>
          <w:tcPr>
            <w:tcW w:w="3592" w:type="dxa"/>
          </w:tcPr>
          <w:p>
            <w:pPr>
              <w:pStyle w:val="TableText"/>
              <w:jc w:val="left"/>
              <w:wordWrap w:val="0"/>
              <w:spacing w:before="0" w:after="0" w:line="320" w:lineRule="exact"/>
            </w:pPr>
            <w:r>
              <w:rPr>
                <w:rFonts w:ascii="Calibri" w:hAnsi="Calibri" w:eastAsia="Microsoft YaHei" w:cs="Calibri"/>
                <w:sz w:val="18"/>
                <w:szCs w:val="18"/>
              </w:rPr>
              <w:t xml:space="preserve">ResidentDir 条目数</w:t>
            </w:r>
          </w:p>
        </w:tc>
        <w:tc>
          <w:tcPr>
            <w:tcW w:w="2611" w:type="dxa"/>
          </w:tcPr>
          <w:p>
            <w:pPr>
              <w:pStyle w:val="TableText"/>
              <w:jc w:val="left"/>
              <w:wordWrap w:val="0"/>
              <w:spacing w:before="0" w:after="0" w:line="320" w:lineRule="exact"/>
            </w:pPr>
            <w:r>
              <w:rPr>
                <w:rFonts w:ascii="Calibri" w:hAnsi="Calibri" w:eastAsia="Microsoft YaHei" w:cs="Calibri"/>
                <w:sz w:val="18"/>
                <w:szCs w:val="18"/>
              </w:rPr>
              <w:t xml:space="preserve">57,344</w:t>
            </w:r>
          </w:p>
        </w:tc>
        <w:tc>
          <w:tcPr>
            <w:tcW w:w="3396" w:type="dxa"/>
          </w:tcPr>
          <w:p>
            <w:pPr>
              <w:pStyle w:val="TableText"/>
              <w:jc w:val="left"/>
              <w:wordWrap w:val="0"/>
              <w:spacing w:before="0" w:after="0" w:line="320" w:lineRule="exact"/>
            </w:pPr>
            <w:r>
              <w:rPr>
                <w:rFonts w:ascii="Calibri" w:hAnsi="Calibri" w:eastAsia="Microsoft YaHei" w:cs="Calibri"/>
                <w:sz w:val="18"/>
                <w:szCs w:val="18"/>
              </w:rPr>
              <w:t xml:space="preserve">131,072</w:t>
            </w:r>
          </w:p>
        </w:tc>
      </w:tr>
    </w:tbl>
    <w:p>
      <w:pPr>
        <w:ind w:left="0" w:firstLine="420"/>
      </w:pPr>
      <w:r>
        <w:rPr>
          <w:rFonts w:ascii="Calibri" w:hAnsi="Calibri" w:eastAsia="Microsoft YaHei" w:cs="Calibri"/>
        </w:rPr>
        <w:t xml:space="preserve">spill-512K 每轮观察到 186 次 Backstore found fill；该附加时延矩阵中的最大精确 live 覆盖为 99,291。容量计分矩阵使用的正式容量分子为 99,293，两组观测分别服务于容量和附加时延子项。 spill-IdealDir 不发生 Backstore fill。两角色的均值差为 10.535 ns。</w:t>
      </w:r>
    </w:p>
    <w:p>
      <w:pPr>
        <w:pStyle w:val="Heading3"/>
        <w:keepNext/>
      </w:pPr>
      <w:r>
        <w:rPr>
          <w:rFonts w:ascii="Calibri" w:hAnsi="Calibri" w:eastAsia="SimHei" w:cs="Calibri"/>
        </w:rPr>
        <w:t xml:space="preserve">3.3 完整集合的结论</w:t>
      </w:r>
    </w:p>
    <w:p>
      <w:pPr>
        <w:ind w:left="0" w:firstLine="420"/>
      </w:pPr>
      <w:r>
        <w:rPr>
          <w:rFonts w:ascii="Calibri" w:hAnsi="Calibri" w:eastAsia="Microsoft YaHei" w:cs="Calibri"/>
        </w:rPr>
        <w:t xml:space="preserve">TC131 的容量提升 51.509%，容量 1.515×、附加时延 10.535 ns 均满足门槛。TC142–147 × 五拓扑 × P175/P200 的容量 Mean 为 1.793×，附加时延 Mean 为 22.731 ns，也满足合并均值门槛。但 TC143/TC145 的附加时延分别为 37.724/25.743 ns，超过 25 ns，不能宣称扩展集合逐项全部通过。扩展参考数据含估计标记，资格说明见 §3.6；此处不以均值掩盖异常项。</w:t>
      </w:r>
    </w:p>
    <w:p>
      <w:pPr>
        <w:pStyle w:val="Heading3"/>
        <w:keepNext/>
      </w:pPr>
      <w:r>
        <w:rPr>
          <w:rFonts w:ascii="Calibri" w:hAnsi="Calibri" w:eastAsia="SimHei" w:cs="Calibri"/>
        </w:rPr>
        <w:t xml:space="preserve">3.4 重复与汇总</w:t>
      </w:r>
    </w:p>
    <w:p>
      <w:pPr>
        <w:ind w:left="0" w:firstLine="420"/>
      </w:pPr>
      <w:r>
        <w:rPr>
          <w:rFonts w:ascii="Calibri" w:hAnsi="Calibri" w:eastAsia="Microsoft YaHei" w:cs="Calibri"/>
        </w:rPr>
        <w:t xml:space="preserve">容量子项对 naive 和 spill-noopt 分别执行三次重复，每轮形成容量观测值，并按既定规则汇总容量分母和分子。附加时延子项执行三对 spill-512K 与 spill-IdealDir；每对先计算两个角色的已完成 Outer 事件均值之差，再对三轮差值等权平均。optimized profile 作为应用性能支撑， 不参与指标 1 的容量或附加时延计算。</w:t>
      </w:r>
    </w:p>
    <w:p>
      <w:pPr>
        <w:pStyle w:val="Heading3"/>
        <w:keepNext/>
      </w:pPr>
      <w:r>
        <w:rPr>
          <w:rFonts w:ascii="Calibri" w:hAnsi="Calibri" w:eastAsia="SimHei" w:cs="Calibri"/>
        </w:rPr>
        <w:t xml:space="preserve">3.5 容量机制支撑结果</w:t>
      </w:r>
    </w:p>
    <w:p>
      <w:pPr>
        <w:ind w:left="0" w:firstLine="420"/>
      </w:pPr>
      <w:r>
        <w:rPr>
          <w:rFonts w:ascii="Calibri" w:hAnsi="Calibri" w:eastAsia="Microsoft YaHei" w:cs="Calibri"/>
        </w:rPr>
        <w:t xml:space="preserve">指标 1 由 TC131 与 TC142–147 扩展矩阵共同报告；以下 TC120–129 不增加指标 1 权重，仅对容量机制和 Backstore 生命周期提供支撑：</w:t>
      </w:r>
    </w:p>
    <w:tbl>
      <w:tblPr>
        <w:tblStyle w:val="TableGrid"/>
        <w:tblW w:w="5000" w:type="pct"/>
        <w:tblLayout w:type="fixed"/>
        <w:tblCellMar>
          <w:top w:w="60" w:type="dxa"/>
          <w:left w:w="90" w:type="dxa"/>
          <w:bottom w:w="60" w:type="dxa"/>
          <w:right w:w="90" w:type="dxa"/>
        </w:tblCellMar>
      </w:tblPr>
      <w:tblGrid>
        <w:gridCol w:w="1524"/>
        <w:gridCol w:w="3928"/>
        <w:gridCol w:w="4147"/>
      </w:tblGrid>
      <w:tr>
        <w:trPr>
          <w:cantSplit/>
          <w:tblHeader/>
        </w:trPr>
        <w:tc>
          <w:tcPr>
            <w:tcW w:w="152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392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结果职责</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baseline performance mix</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 mixed read/write 下三 profile 正确执行</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cold streaming overflow</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验证低复用连续压力下的目录行为</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hot reuse after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验证目录压力后热点共享信息保持</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shared hotset periodic upgrade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验证共享热点与周期性写升级</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owner/home/requester split</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验证三方分离的数据与权限收敛</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read offload/onload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验证冷元数据换出和读换入</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resident upgrade replay</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 waiter 与升级重放</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writeback offload/onload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验证脏写回持久化和重新装入</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3928" w:type="dxa"/>
          </w:tcPr>
          <w:p>
            <w:pPr>
              <w:pStyle w:val="TableText"/>
              <w:jc w:val="left"/>
              <w:wordWrap w:val="0"/>
              <w:spacing w:before="0" w:after="0" w:line="320" w:lineRule="exact"/>
            </w:pPr>
            <w:r>
              <w:rPr>
                <w:rFonts w:ascii="Calibri" w:hAnsi="Calibri" w:eastAsia="Microsoft YaHei" w:cs="Calibri"/>
                <w:sz w:val="16"/>
                <w:szCs w:val="16"/>
              </w:rPr>
              <w:t xml:space="preserve">clean evict offload/onload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验证干净逐出和元数据恢复</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long mixed integration</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验证多轮 spill/fill 与所有权迁移</w:t>
            </w:r>
          </w:p>
        </w:tc>
      </w:tr>
    </w:tbl>
    <w:p>
      <w:pPr>
        <w:ind w:left="0" w:firstLine="420"/>
      </w:pPr>
      <w:r>
        <w:rPr>
          <w:rFonts w:ascii="Calibri" w:hAnsi="Calibri" w:eastAsia="Microsoft YaHei" w:cs="Calibri"/>
        </w:rPr>
        <w:t xml:space="preserve">TC120-TC124 的三 profile 运行均通过；TC125-TC129 的适用 spill 路径均通过。该组结果说明正式容量收益建立在完整的元数据生命周期之上。</w:t>
      </w:r>
    </w:p>
    <w:p>
      <w:pPr>
        <w:ind w:left="0" w:firstLine="420"/>
      </w:pPr>
      <w:r>
        <w:rPr>
          <w:rFonts w:ascii="Calibri" w:hAnsi="Calibri" w:eastAsia="Microsoft YaHei" w:cs="Calibri"/>
        </w:rPr>
        <w:t xml:space="preserve">该组用例将容量扩展分解为共享建立、目录换出、按需换入、升级重放与写回恢复五类行为。TC120 的 spill-noopt 与 optimized 完整场景降幅分别为 5.37% 和 5.34%；其余完整场景与路径绝对计时统一列于附录 B.4、B.5。完整场景报告 ns/场景，路径报告 ns/op，两者不混用分母。</w:t>
      </w:r>
    </w:p>
    <w:p>
      <w:pPr>
        <w:pStyle w:val="Heading3"/>
        <w:keepNext/>
      </w:pPr>
      <w:r>
        <w:rPr>
          <w:rFonts w:ascii="Calibri" w:hAnsi="Calibri" w:eastAsia="SimHei" w:cs="Calibri"/>
        </w:rPr>
        <w:t xml:space="preserve">3.6 TC142–147 × 五拓扑 × P175/P200 结果</w:t>
      </w:r>
    </w:p>
    <w:p>
      <w:pPr>
        <w:ind w:left="0" w:firstLine="420"/>
      </w:pPr>
      <w:r>
        <w:rPr>
          <w:rFonts w:ascii="Calibri" w:hAnsi="Calibri" w:eastAsia="Microsoft YaHei" w:cs="Calibri"/>
        </w:rPr>
        <w:t xml:space="preserve">TC142-TC147 的三角色观测覆盖 175% 和 200% 两档目录目标压力，以及五种拓扑，共 60 个坐标、180 次运行。五种拓扑为 3N1S、3N2S、8N1S、8N2S、16N1S。P175/P200 是目录目标压力，不是 L3 压力；180 次为三角色矩阵规模，不与 §1.3 的 78 项 profile 门禁重复相加。</w:t>
      </w:r>
    </w:p>
    <w:p>
      <w:pPr>
        <w:ind w:left="0" w:firstLine="420"/>
      </w:pPr>
      <w:r>
        <w:rPr>
          <w:rFonts w:ascii="Calibri" w:hAnsi="Calibri" w:eastAsia="Microsoft YaHei" w:cs="Calibri"/>
        </w:rPr>
        <w:t xml:space="preserve">容量与附加时延均</w:t>
      </w:r>
      <w:r>
        <w:rPr>
          <w:rFonts w:ascii="Calibri" w:hAnsi="Calibri" w:eastAsia="Microsoft YaHei" w:cs="Calibri"/>
          <w:b/>
        </w:rPr>
        <w:t xml:space="preserve">按 TC 合并</w:t>
      </w:r>
      <w:r>
        <w:rPr>
          <w:rFonts w:ascii="Calibri" w:hAnsi="Calibri" w:eastAsia="Microsoft YaHei" w:cs="Calibri"/>
        </w:rPr>
        <w:t xml:space="preserve">：每个 TC 内对五种拓扑 × 两档压力求合并值，容量用几何平均（GM），附加时延用算术平均（AM）。图 3-3 绘制六个 TC 的合并柱，并在末尾追加一根 </w:t>
      </w:r>
      <w:r>
        <w:rPr>
          <w:rFonts w:ascii="Calibri" w:hAnsi="Calibri" w:eastAsia="Microsoft YaHei" w:cs="Calibri"/>
          <w:b/>
        </w:rPr>
        <w:t xml:space="preserve">Mean</w:t>
      </w:r>
      <w:r>
        <w:rPr>
          <w:rFonts w:ascii="Calibri" w:hAnsi="Calibri" w:eastAsia="Microsoft YaHei" w:cs="Calibri"/>
        </w:rPr>
        <w:t xml:space="preserve"> 柱（容量为六个 TC 的 GM，附加时延为六个 TC 的 AM）。两档压力不再分面。</w:t>
      </w:r>
    </w:p>
    <w:p>
      <w:pPr>
        <w:ind w:left="0" w:firstLine="420"/>
      </w:pPr>
      <w:r>
        <w:rPr>
          <w:rFonts w:ascii="Calibri" w:hAnsi="Calibri" w:eastAsia="Microsoft YaHei" w:cs="Calibri"/>
        </w:rPr>
        <w:t xml:space="preserve">容量柱为 max(spill ResidentDir capacity, Home0/socket0 H64 exact live) / naive capacity， 不把 resident 与 H64 重复相加。Delta 为每个实验配置合并所有进程 completed Outer 事件后的均值差，单位为 ns；负 Delta 原样显示。参考线分别为 1.5× 以及 0、25 ns。</w:t>
      </w:r>
    </w:p>
    <w:tbl>
      <w:tblPr>
        <w:tblStyle w:val="TableGrid"/>
        <w:tblW w:w="5000" w:type="pct"/>
        <w:tblLayout w:type="fixed"/>
        <w:tblCellMar>
          <w:top w:w="60" w:type="dxa"/>
          <w:left w:w="90" w:type="dxa"/>
          <w:bottom w:w="60" w:type="dxa"/>
          <w:right w:w="90" w:type="dxa"/>
        </w:tblCellMar>
      </w:tblPr>
      <w:tblGrid>
        <w:gridCol w:w="1962"/>
        <w:gridCol w:w="2618"/>
        <w:gridCol w:w="1962"/>
        <w:gridCol w:w="3056"/>
      </w:tblGrid>
      <w:tr>
        <w:trPr>
          <w:cantSplit/>
          <w:tblHeader/>
        </w:trPr>
        <w:tc>
          <w:tcPr>
            <w:tcW w:w="19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261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坐标数 / 运行数</w:t>
            </w:r>
          </w:p>
        </w:tc>
        <w:tc>
          <w:tcPr>
            <w:tcW w:w="19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容量 GM</w:t>
            </w:r>
          </w:p>
        </w:tc>
        <w:tc>
          <w:tcPr>
            <w:tcW w:w="305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附加时延 AM（ns）</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142</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1.843×</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14.665</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143</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1.618×</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37.724</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144</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1.848×</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17.882</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145</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1.807×</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25.743</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146</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1.849×</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17.142</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147</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1.807×</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23.233</w:t>
            </w:r>
          </w:p>
        </w:tc>
      </w:tr>
      <w:tr>
        <w:trPr>
          <w:cantSplit/>
        </w:trPr>
        <w:tc>
          <w:tcPr>
            <w:tcW w:w="1962" w:type="dxa"/>
          </w:tcPr>
          <w:p>
            <w:pPr>
              <w:pStyle w:val="TableText"/>
              <w:jc w:val="left"/>
              <w:wordWrap w:val="0"/>
              <w:spacing w:before="0" w:after="0" w:line="320" w:lineRule="exact"/>
            </w:pPr>
            <w:r>
              <w:rPr>
                <w:rFonts w:ascii="Calibri" w:hAnsi="Calibri" w:eastAsia="Microsoft YaHei" w:cs="Calibri"/>
                <w:sz w:val="18"/>
                <w:szCs w:val="18"/>
              </w:rPr>
              <w:t xml:space="preserve">Mean</w:t>
            </w:r>
          </w:p>
        </w:tc>
        <w:tc>
          <w:tcPr>
            <w:tcW w:w="2618" w:type="dxa"/>
          </w:tcPr>
          <w:p>
            <w:pPr>
              <w:pStyle w:val="TableText"/>
              <w:jc w:val="left"/>
              <w:wordWrap w:val="0"/>
              <w:spacing w:before="0" w:after="0" w:line="320" w:lineRule="exact"/>
            </w:pPr>
            <w:r>
              <w:rPr>
                <w:rFonts w:ascii="Calibri" w:hAnsi="Calibri" w:eastAsia="Microsoft YaHei" w:cs="Calibri"/>
                <w:sz w:val="18"/>
                <w:szCs w:val="18"/>
              </w:rPr>
              <w:t xml:space="preserve">60 / 180</w:t>
            </w:r>
          </w:p>
        </w:tc>
        <w:tc>
          <w:tcPr>
            <w:tcW w:w="1962" w:type="dxa"/>
          </w:tcPr>
          <w:p>
            <w:pPr>
              <w:pStyle w:val="TableText"/>
              <w:jc w:val="left"/>
              <w:wordWrap w:val="0"/>
              <w:spacing w:before="0" w:after="0" w:line="320" w:lineRule="exact"/>
            </w:pPr>
            <w:r>
              <w:rPr>
                <w:rFonts w:ascii="Calibri" w:hAnsi="Calibri" w:eastAsia="Microsoft YaHei" w:cs="Calibri"/>
                <w:sz w:val="18"/>
                <w:szCs w:val="18"/>
              </w:rPr>
              <w:t xml:space="preserve">1.793×</w:t>
            </w:r>
          </w:p>
        </w:tc>
        <w:tc>
          <w:tcPr>
            <w:tcW w:w="3056" w:type="dxa"/>
          </w:tcPr>
          <w:p>
            <w:pPr>
              <w:pStyle w:val="TableText"/>
              <w:jc w:val="left"/>
              <w:wordWrap w:val="0"/>
              <w:spacing w:before="0" w:after="0" w:line="320" w:lineRule="exact"/>
            </w:pPr>
            <w:r>
              <w:rPr>
                <w:rFonts w:ascii="Calibri" w:hAnsi="Calibri" w:eastAsia="Microsoft YaHei" w:cs="Calibri"/>
                <w:sz w:val="18"/>
                <w:szCs w:val="18"/>
              </w:rPr>
              <w:t xml:space="preserve">22.731</w:t>
            </w:r>
          </w:p>
        </w:tc>
      </w:tr>
    </w:tbl>
    <w:p>
      <w:pPr>
        <w:ind w:left="0" w:firstLine="420"/>
      </w:pPr>
      <w:r>
        <w:rPr>
          <w:rFonts w:ascii="Calibri" w:hAnsi="Calibri" w:eastAsia="Microsoft YaHei" w:cs="Calibri"/>
        </w:rPr>
        <w:t xml:space="preserve">参考资格：扩展合并数值来自 d3_142_147_merged.json。其中 TC147 容量以及六个 TC 的附加时延合并值均带有估计来源标记（含估计坐标），因此作为扩展参考报告，不等同于所有坐标均经新增实测。图中斜线柱保留该区别；未在本次文档重建中重新仿真。</w:t>
      </w:r>
    </w:p>
    <w:p>
      <w:pPr>
        <w:jc w:val="center"/>
        <w:keepNext/>
        <w:spacing w:before="100" w:after="40" w:line="240" w:lineRule="auto"/>
      </w:pPr>
      <w:r>
        <w:drawing>
          <wp:inline distT="0" distB="0" distL="0" distR="0">
            <wp:extent cx="4752000" cy="1723573"/>
            <wp:effectExtent l="0" t="0" r="0" b="0"/>
            <wp:docPr id="1" name="图 3-3 指标 1 按 TC 合并的容量与附加时延（末柱为 Mean）" descr="图 3-3 指标 1 按 TC 合并的容量与附加时延（末柱为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3-3 指标 1 按 TC 合并的容量与附加时延（末柱为 Mean）"/>
                    <pic:cNvPicPr/>
                  </pic:nvPicPr>
                  <pic:blipFill>
                    <a:blip xmlns:r="http://schemas.openxmlformats.org/officeDocument/2006/relationships" r:embed="rIdImage1"/>
                    <a:stretch>
                      <a:fillRect/>
                    </a:stretch>
                  </pic:blipFill>
                  <pic:spPr>
                    <a:xfrm>
                      <a:off x="0" y="0"/>
                      <a:ext cx="4752000" cy="1723573"/>
                    </a:xfrm>
                    <a:prstGeom prst="rect">
                      <a:avLst/>
                    </a:prstGeom>
                  </pic:spPr>
                </pic:pic>
              </a:graphicData>
            </a:graphic>
          </wp:inline>
        </w:drawing>
      </w:r>
    </w:p>
    <w:p>
      <w:pPr>
        <w:pStyle w:val="FigureCaption"/>
        <w:jc w:val="center"/>
      </w:pPr>
      <w:r>
        <w:rPr>
          <w:rFonts w:ascii="Calibri" w:hAnsi="Calibri" w:eastAsia="Microsoft YaHei" w:cs="Calibri"/>
        </w:rPr>
        <w:t xml:space="preserve">图 3-3　指标 1 按 TC 合并的容量与附加时延；末柱为六个 TC 的 Mean（容量 GM、时延 AM），参考线 1.5× 与 25 ns。</w:t>
      </w:r>
    </w:p>
    <w:p>
      <w:pPr>
        <w:pStyle w:val="Heading2"/>
        <w:keepNext/>
      </w:pPr>
      <w:r>
        <w:rPr>
          <w:rFonts w:ascii="Calibri" w:hAnsi="Calibri" w:eastAsia="SimHei" w:cs="Calibri"/>
        </w:rPr>
        <w:t xml:space="preserve">4. 指标 2：TC135–140、TC217 与 TC142–147 服务阶段</w:t>
      </w:r>
    </w:p>
    <w:p>
      <w:pPr>
        <w:ind w:left="0" w:firstLine="420"/>
      </w:pPr>
      <w:r>
        <w:rPr>
          <w:rFonts w:ascii="Calibri" w:hAnsi="Calibri" w:eastAsia="Microsoft YaHei" w:cs="Calibri"/>
        </w:rPr>
        <w:t xml:space="preserve">本章测试集合固定为 TC135–140、TC217 + TC142–147（service）。前组保留 optimized/naive 及中性控制项，后组保留 service 的 spill-noopt/naive 观测；两组分别汇总。</w:t>
      </w:r>
    </w:p>
    <w:p>
      <w:pPr>
        <w:pStyle w:val="Heading3"/>
        <w:keepNext/>
      </w:pPr>
      <w:r>
        <w:rPr>
          <w:rFonts w:ascii="Calibri" w:hAnsi="Calibri" w:eastAsia="SimHei" w:cs="Calibri"/>
        </w:rPr>
        <w:t xml:space="preserve">4.1 TC135–140、TC217 场景结果</w:t>
      </w:r>
    </w:p>
    <w:p>
      <w:pPr>
        <w:ind w:left="0" w:firstLine="420"/>
      </w:pPr>
      <w:r>
        <w:rPr>
          <w:rFonts w:ascii="Calibri" w:hAnsi="Calibri" w:eastAsia="Microsoft YaHei" w:cs="Calibri"/>
        </w:rPr>
        <w:t xml:space="preserve">本节及图 4-1 比较 optimized 与 naive，覆盖指标 2 的 TC135–140、TC217 结果组；TC142–147 服务阶段结果在 §4.6 单列。</w:t>
      </w:r>
    </w:p>
    <w:tbl>
      <w:tblPr>
        <w:tblStyle w:val="TableGrid"/>
        <w:tblW w:w="5000" w:type="pct"/>
        <w:tblLayout w:type="fixed"/>
        <w:tblCellMar>
          <w:top w:w="60" w:type="dxa"/>
          <w:left w:w="90" w:type="dxa"/>
          <w:bottom w:w="60" w:type="dxa"/>
          <w:right w:w="90" w:type="dxa"/>
        </w:tblCellMar>
      </w:tblPr>
      <w:tblGrid>
        <w:gridCol w:w="2891"/>
        <w:gridCol w:w="1471"/>
        <w:gridCol w:w="1920"/>
        <w:gridCol w:w="1770"/>
        <w:gridCol w:w="1546"/>
      </w:tblGrid>
      <w:tr>
        <w:trPr>
          <w:cantSplit/>
          <w:tblHeader/>
        </w:trPr>
        <w:tc>
          <w:tcPr>
            <w:tcW w:w="289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147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 ns/op</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 ns/op</w:t>
            </w:r>
          </w:p>
        </w:tc>
        <w:tc>
          <w:tcPr>
            <w:tcW w:w="177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 ns/op</w:t>
            </w:r>
          </w:p>
        </w:tc>
        <w:tc>
          <w:tcPr>
            <w:tcW w:w="154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 降幅</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TC135 preserved sharer revisit</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2,344.449</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39.736</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39.736</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98.305%</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TC136 preserved owner store</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2,384.186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79.473</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79.473</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96.667%</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TC137 new requester load</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2,384.186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1,788.139</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1,788.139</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25.000%</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TC138 dirty owner handoff</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2,384.186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2,702.077</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2,702.077</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−13.333%</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TC139 mixed batch</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23,563.703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635.783</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635.783</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97.302%</w:t>
            </w:r>
          </w:p>
        </w:tc>
      </w:tr>
      <w:tr>
        <w:trPr>
          <w:cantSplit/>
        </w:trPr>
        <w:tc>
          <w:tcPr>
            <w:tcW w:w="2891" w:type="dxa"/>
          </w:tcPr>
          <w:p>
            <w:pPr>
              <w:pStyle w:val="TableText"/>
              <w:jc w:val="left"/>
              <w:wordWrap w:val="0"/>
              <w:spacing w:before="0" w:after="0" w:line="320" w:lineRule="exact"/>
            </w:pPr>
            <w:r>
              <w:rPr>
                <w:rFonts w:ascii="Calibri" w:hAnsi="Calibri" w:eastAsia="Microsoft YaHei" w:cs="Calibri"/>
                <w:sz w:val="18"/>
                <w:szCs w:val="18"/>
              </w:rPr>
              <w:t xml:space="preserve">TC217 catalog batch</w:t>
            </w:r>
          </w:p>
        </w:tc>
        <w:tc>
          <w:tcPr>
            <w:tcW w:w="1471" w:type="dxa"/>
          </w:tcPr>
          <w:p>
            <w:pPr>
              <w:pStyle w:val="TableText"/>
              <w:jc w:val="left"/>
              <w:wordWrap w:val="0"/>
              <w:spacing w:before="0" w:after="0" w:line="320" w:lineRule="exact"/>
            </w:pPr>
            <w:r>
              <w:rPr>
                <w:rFonts w:ascii="Calibri" w:hAnsi="Calibri" w:eastAsia="Microsoft YaHei" w:cs="Calibri"/>
                <w:sz w:val="18"/>
                <w:szCs w:val="18"/>
              </w:rPr>
              <w:t xml:space="preserve">4,132.589</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635.783</w:t>
            </w:r>
          </w:p>
        </w:tc>
        <w:tc>
          <w:tcPr>
            <w:tcW w:w="1770" w:type="dxa"/>
          </w:tcPr>
          <w:p>
            <w:pPr>
              <w:pStyle w:val="TableText"/>
              <w:jc w:val="left"/>
              <w:wordWrap w:val="0"/>
              <w:spacing w:before="0" w:after="0" w:line="320" w:lineRule="exact"/>
            </w:pPr>
            <w:r>
              <w:rPr>
                <w:rFonts w:ascii="Calibri" w:hAnsi="Calibri" w:eastAsia="Microsoft YaHei" w:cs="Calibri"/>
                <w:sz w:val="18"/>
                <w:szCs w:val="18"/>
              </w:rPr>
              <w:t xml:space="preserve">635.783</w:t>
            </w:r>
          </w:p>
        </w:tc>
        <w:tc>
          <w:tcPr>
            <w:tcW w:w="1546" w:type="dxa"/>
          </w:tcPr>
          <w:p>
            <w:pPr>
              <w:pStyle w:val="TableText"/>
              <w:jc w:val="left"/>
              <w:wordWrap w:val="0"/>
              <w:spacing w:before="0" w:after="0" w:line="320" w:lineRule="exact"/>
            </w:pPr>
            <w:r>
              <w:rPr>
                <w:rFonts w:ascii="Calibri" w:hAnsi="Calibri" w:eastAsia="Microsoft YaHei" w:cs="Calibri"/>
                <w:sz w:val="18"/>
                <w:szCs w:val="18"/>
              </w:rPr>
              <w:t xml:space="preserve">84.615%</w:t>
            </w:r>
          </w:p>
        </w:tc>
      </w:tr>
    </w:tbl>
    <w:p>
      <w:pPr>
        <w:ind w:left="0" w:firstLine="420"/>
      </w:pPr>
      <w:r>
        <w:rPr>
          <w:rFonts w:ascii="Calibri" w:hAnsi="Calibri" w:eastAsia="Microsoft YaHei" w:cs="Calibri"/>
        </w:rPr>
        <w:t xml:space="preserve">TC140 的 naive、spill-noopt 和 optimized 均值均为 119.209 ns，低于 500 ns 适用门槛， 因此作为低时延中性控制项，不进入指标 2 聚合。</w:t>
      </w:r>
    </w:p>
    <w:p>
      <w:pPr>
        <w:ind w:left="0" w:firstLine="420"/>
      </w:pPr>
      <w:r>
        <w:rPr>
          <w:rFonts w:ascii="Calibri" w:hAnsi="Calibri" w:eastAsia="Microsoft YaHei" w:cs="Calibri"/>
        </w:rPr>
        <w:t xml:space="preserve">六个适用场景按 case 等权聚合，TC140 保留为中性控制项。</w:t>
      </w:r>
    </w:p>
    <w:p>
      <w:pPr>
        <w:jc w:val="center"/>
        <w:keepNext/>
        <w:spacing w:before="100" w:after="40" w:line="240" w:lineRule="auto"/>
      </w:pPr>
      <w:r>
        <w:drawing>
          <wp:inline distT="0" distB="0" distL="0" distR="0">
            <wp:extent cx="4752000" cy="2464858"/>
            <wp:effectExtent l="0" t="0" r="0" b="0"/>
            <wp:docPr id="2" name="图 4-1 指标 2 适用场景端到端时延" descr="图 4-1 指标 2 适用场景端到端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指标 2 适用场景端到端时延"/>
                    <pic:cNvPicPr/>
                  </pic:nvPicPr>
                  <pic:blipFill>
                    <a:blip xmlns:r="http://schemas.openxmlformats.org/officeDocument/2006/relationships" r:embed="rIdImage2"/>
                    <a:stretch>
                      <a:fillRect/>
                    </a:stretch>
                  </pic:blipFill>
                  <pic:spPr>
                    <a:xfrm>
                      <a:off x="0" y="0"/>
                      <a:ext cx="4752000" cy="2464858"/>
                    </a:xfrm>
                    <a:prstGeom prst="rect">
                      <a:avLst/>
                    </a:prstGeom>
                  </pic:spPr>
                </pic:pic>
              </a:graphicData>
            </a:graphic>
          </wp:inline>
        </w:drawing>
      </w:r>
    </w:p>
    <w:p>
      <w:pPr>
        <w:pStyle w:val="FigureCaption"/>
        <w:jc w:val="center"/>
      </w:pPr>
      <w:r>
        <w:rPr>
          <w:rFonts w:ascii="Calibri" w:hAnsi="Calibri" w:eastAsia="Microsoft YaHei" w:cs="Calibri"/>
        </w:rPr>
        <w:t xml:space="preserve">图 4-1　适用场景 naive / optimized 时延比（对数轴）；虚线表示 10% reduction。聚合采用各 TC 百分比降幅的算术平均。</w:t>
      </w:r>
    </w:p>
    <w:p>
      <w:pPr>
        <w:pStyle w:val="Heading3"/>
        <w:keepNext/>
      </w:pPr>
      <w:r>
        <w:rPr>
          <w:rFonts w:ascii="Calibri" w:hAnsi="Calibri" w:eastAsia="SimHei" w:cs="Calibri"/>
        </w:rPr>
        <w:t xml:space="preserve">4.2 TC135–140、TC217 聚合结果</w:t>
      </w:r>
    </w:p>
    <w:p>
      <w:pPr>
        <w:ind w:left="0" w:firstLine="420"/>
      </w:pPr>
      <w:r>
        <w:rPr>
          <w:rFonts w:ascii="Calibri" w:hAnsi="Calibri" w:eastAsia="Microsoft YaHei" w:cs="Calibri"/>
        </w:rPr>
        <w:t xml:space="preserve">六个适用场景的等权算术平均降幅为 </w:t>
      </w:r>
      <w:r>
        <w:rPr>
          <w:rFonts w:ascii="Calibri" w:hAnsi="Calibri" w:eastAsia="Microsoft YaHei" w:cs="Calibri"/>
          <w:b/>
        </w:rPr>
        <w:t xml:space="preserve">64.759%</w:t>
      </w:r>
      <w:r>
        <w:rPr>
          <w:rFonts w:ascii="Calibri" w:hAnsi="Calibri" w:eastAsia="Microsoft YaHei" w:cs="Calibri"/>
        </w:rPr>
        <w:t xml:space="preserve">，未舍入值保留在数值源。</w:t>
      </w:r>
    </w:p>
    <w:p>
      <w:pPr>
        <w:ind w:left="0" w:firstLine="420"/>
      </w:pPr>
      <w:r>
        <w:rPr>
          <w:rFonts w:ascii="Calibri" w:hAnsi="Calibri" w:eastAsia="Microsoft YaHei" w:cs="Calibri"/>
        </w:rPr>
        <w:t xml:space="preserve">TC138 展示了 dirty owner handoff 场景下数据回收与权限迁移的机制权衡，其结果完整纳入等权平均。聚合结果仍显著超过 10% 门槛，说明 optimized profile 在适用场景集合中形成稳定的总体收益。</w:t>
      </w:r>
    </w:p>
    <w:p>
      <w:pPr>
        <w:pStyle w:val="Heading3"/>
        <w:keepNext/>
      </w:pPr>
      <w:r>
        <w:rPr>
          <w:rFonts w:ascii="Calibri" w:hAnsi="Calibri" w:eastAsia="SimHei" w:cs="Calibri"/>
        </w:rPr>
        <w:t xml:space="preserve">4.3 优势来源</w:t>
      </w:r>
    </w:p>
    <w:p>
      <w:pPr>
        <w:ind w:left="0" w:firstLine="420"/>
      </w:pPr>
      <w:r>
        <w:rPr>
          <w:rFonts w:ascii="Calibri" w:hAnsi="Calibri" w:eastAsia="Microsoft YaHei" w:cs="Calibri"/>
        </w:rPr>
        <w:t xml:space="preserve">指标 2 的主要收益来自：</w:t>
      </w:r>
    </w:p>
    <w:p>
      <w:pPr>
        <w:ind w:left="360" w:firstLine="0"/>
      </w:pPr>
      <w:r>
        <w:rPr>
          <w:rFonts w:ascii="Calibri" w:hAnsi="Calibri" w:eastAsia="Microsoft YaHei" w:cs="Calibri"/>
        </w:rPr>
        <w:t xml:space="preserve">• 已有目录关系的直接复用；</w:t>
      </w:r>
    </w:p>
    <w:p>
      <w:pPr>
        <w:ind w:left="360" w:firstLine="0"/>
      </w:pPr>
      <w:r>
        <w:rPr>
          <w:rFonts w:ascii="Calibri" w:hAnsi="Calibri" w:eastAsia="Microsoft YaHei" w:cs="Calibri"/>
        </w:rPr>
        <w:t xml:space="preserve">• 热点 owner 和 sharer 状态的保留；</w:t>
      </w:r>
    </w:p>
    <w:p>
      <w:pPr>
        <w:ind w:left="360" w:firstLine="0"/>
      </w:pPr>
      <w:r>
        <w:rPr>
          <w:rFonts w:ascii="Calibri" w:hAnsi="Calibri" w:eastAsia="Microsoft YaHei" w:cs="Calibri"/>
        </w:rPr>
        <w:t xml:space="preserve">• 批量场景下跨节点控制消息的摊薄；</w:t>
      </w:r>
    </w:p>
    <w:p>
      <w:pPr>
        <w:ind w:left="360" w:firstLine="0"/>
      </w:pPr>
      <w:r>
        <w:rPr>
          <w:rFonts w:ascii="Calibri" w:hAnsi="Calibri" w:eastAsia="Microsoft YaHei" w:cs="Calibri"/>
        </w:rPr>
        <w:t xml:space="preserve">• 分层目录减少容量替换与后续重建；</w:t>
      </w:r>
    </w:p>
    <w:p>
      <w:pPr>
        <w:ind w:left="360" w:firstLine="0"/>
      </w:pPr>
      <w:r>
        <w:rPr>
          <w:rFonts w:ascii="Calibri" w:hAnsi="Calibri" w:eastAsia="Microsoft YaHei" w:cs="Calibri"/>
        </w:rPr>
        <w:t xml:space="preserve">• 权限路径与数据路径按实际状态选择，避免不必要的全流程重建。</w:t>
      </w:r>
    </w:p>
    <w:p>
      <w:pPr>
        <w:pStyle w:val="Heading3"/>
        <w:keepNext/>
      </w:pPr>
      <w:r>
        <w:rPr>
          <w:rFonts w:ascii="Calibri" w:hAnsi="Calibri" w:eastAsia="SimHei" w:cs="Calibri"/>
        </w:rPr>
        <w:t xml:space="preserve">4.4 结论</w:t>
      </w:r>
    </w:p>
    <w:p>
      <w:pPr>
        <w:ind w:left="0" w:firstLine="420"/>
      </w:pPr>
      <w:r>
        <w:rPr>
          <w:rFonts w:ascii="Calibri" w:hAnsi="Calibri" w:eastAsia="Microsoft YaHei" w:cs="Calibri"/>
        </w:rPr>
        <w:t xml:space="preserve">指标 2 包含 TC135–140、TC217 与 TC142–147（service）。前组适用场景等权平均降幅为 64.759%，TC140 保留为控制项；后组六个 TC 的两压力等权降幅为 37.465%–50.521%，分别见 §4.6。两组所报聚合均超过 10% 参考门槛，但不能把不同 profile、service 与完整 episode 合并为一个未定义总分。</w:t>
      </w:r>
    </w:p>
    <w:p>
      <w:pPr>
        <w:pStyle w:val="Heading3"/>
        <w:keepNext/>
      </w:pPr>
      <w:r>
        <w:rPr>
          <w:rFonts w:ascii="Calibri" w:hAnsi="Calibri" w:eastAsia="SimHei" w:cs="Calibri"/>
        </w:rPr>
        <w:t xml:space="preserve">4.5 真实容量压力支撑结果</w:t>
      </w:r>
    </w:p>
    <w:p>
      <w:pPr>
        <w:ind w:left="0" w:firstLine="420"/>
      </w:pPr>
      <w:r>
        <w:rPr>
          <w:rFonts w:ascii="Calibri" w:hAnsi="Calibri" w:eastAsia="Microsoft YaHei" w:cs="Calibri"/>
        </w:rPr>
        <w:t xml:space="preserve">TC130-TC134 使用更大工作集和多节点拓扑，展示目录压力后状态复用的场景价值：</w:t>
      </w:r>
    </w:p>
    <w:tbl>
      <w:tblPr>
        <w:tblStyle w:val="TableGrid"/>
        <w:tblW w:w="5000" w:type="pct"/>
        <w:tblLayout w:type="fixed"/>
        <w:tblCellMar>
          <w:top w:w="60" w:type="dxa"/>
          <w:left w:w="90" w:type="dxa"/>
          <w:bottom w:w="60" w:type="dxa"/>
          <w:right w:w="90" w:type="dxa"/>
        </w:tblCellMar>
      </w:tblPr>
      <w:tblGrid>
        <w:gridCol w:w="3239"/>
        <w:gridCol w:w="1800"/>
        <w:gridCol w:w="2376"/>
        <w:gridCol w:w="2184"/>
      </w:tblGrid>
      <w:tr>
        <w:trPr>
          <w:cantSplit/>
          <w:tblHeader/>
        </w:trPr>
        <w:tc>
          <w:tcPr>
            <w:tcW w:w="32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场景与计量操作</w:t>
            </w:r>
          </w:p>
        </w:tc>
        <w:tc>
          <w:tcPr>
            <w:tcW w:w="18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naive（ns/op）</w:t>
            </w:r>
          </w:p>
        </w:tc>
        <w:tc>
          <w:tcPr>
            <w:tcW w:w="237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spill-noopt（ns/op）</w:t>
            </w:r>
          </w:p>
        </w:tc>
        <w:tc>
          <w:tcPr>
            <w:tcW w:w="218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optimized（ns/op）</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TC130 · 热点复用（96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4,396.439</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1,860.460</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1,860.460</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TC131 · catalog 复用（8,192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259.876</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254.313</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255.108</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TC131 · 独占升级（256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371,885.300</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374,691.089</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374,711.752</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TC132 · 检查点恢复（8,192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1,936.356</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2,700.885</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2,701.283</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TC133 · 图前沿复用（4,096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281.731</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262.260</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261.466</w:t>
            </w:r>
          </w:p>
        </w:tc>
      </w:tr>
      <w:tr>
        <w:trPr>
          <w:cantSplit/>
        </w:trPr>
        <w:tc>
          <w:tcPr>
            <w:tcW w:w="3239" w:type="dxa"/>
          </w:tcPr>
          <w:p>
            <w:pPr>
              <w:pStyle w:val="TableText"/>
              <w:jc w:val="left"/>
              <w:wordWrap w:val="0"/>
              <w:spacing w:before="0" w:after="0" w:line="320" w:lineRule="exact"/>
            </w:pPr>
            <w:r>
              <w:rPr>
                <w:rFonts w:ascii="Calibri" w:hAnsi="Calibri" w:eastAsia="Microsoft YaHei" w:cs="Calibri"/>
                <w:sz w:val="18"/>
                <w:szCs w:val="18"/>
              </w:rPr>
              <w:t xml:space="preserve">TC134 · 窗口复用（4,096 次）</w:t>
            </w:r>
          </w:p>
        </w:tc>
        <w:tc>
          <w:tcPr>
            <w:tcW w:w="1800" w:type="dxa"/>
          </w:tcPr>
          <w:p>
            <w:pPr>
              <w:pStyle w:val="TableText"/>
              <w:jc w:val="left"/>
              <w:wordWrap w:val="0"/>
              <w:spacing w:before="0" w:after="0" w:line="320" w:lineRule="exact"/>
            </w:pPr>
            <w:r>
              <w:rPr>
                <w:rFonts w:ascii="Calibri" w:hAnsi="Calibri" w:eastAsia="Microsoft YaHei" w:cs="Calibri"/>
                <w:sz w:val="18"/>
                <w:szCs w:val="18"/>
              </w:rPr>
              <w:t xml:space="preserve">1,655.817</w:t>
            </w:r>
          </w:p>
        </w:tc>
        <w:tc>
          <w:tcPr>
            <w:tcW w:w="2376" w:type="dxa"/>
          </w:tcPr>
          <w:p>
            <w:pPr>
              <w:pStyle w:val="TableText"/>
              <w:jc w:val="left"/>
              <w:wordWrap w:val="0"/>
              <w:spacing w:before="0" w:after="0" w:line="320" w:lineRule="exact"/>
            </w:pPr>
            <w:r>
              <w:rPr>
                <w:rFonts w:ascii="Calibri" w:hAnsi="Calibri" w:eastAsia="Microsoft YaHei" w:cs="Calibri"/>
                <w:sz w:val="18"/>
                <w:szCs w:val="18"/>
              </w:rPr>
              <w:t xml:space="preserve">388.622</w:t>
            </w:r>
          </w:p>
        </w:tc>
        <w:tc>
          <w:tcPr>
            <w:tcW w:w="2184" w:type="dxa"/>
          </w:tcPr>
          <w:p>
            <w:pPr>
              <w:pStyle w:val="TableText"/>
              <w:jc w:val="left"/>
              <w:wordWrap w:val="0"/>
              <w:spacing w:before="0" w:after="0" w:line="320" w:lineRule="exact"/>
            </w:pPr>
            <w:r>
              <w:rPr>
                <w:rFonts w:ascii="Calibri" w:hAnsi="Calibri" w:eastAsia="Microsoft YaHei" w:cs="Calibri"/>
                <w:sz w:val="18"/>
                <w:szCs w:val="18"/>
              </w:rPr>
              <w:t xml:space="preserve">390.609</w:t>
            </w:r>
          </w:p>
        </w:tc>
      </w:tr>
    </w:tbl>
    <w:p>
      <w:pPr>
        <w:ind w:left="0" w:firstLine="420"/>
      </w:pPr>
      <w:r>
        <w:rPr>
          <w:rFonts w:ascii="Calibri" w:hAnsi="Calibri" w:eastAsia="Microsoft YaHei" w:cs="Calibri"/>
        </w:rPr>
        <w:t xml:space="preserve">该表报告业务路径的归一化时延；包含准备、压力写入及同步的完整场景总耗时见附录 B.4。TC130、TC134 的完整场景降幅分别为 16.28%、20.37%，不能以热点路径的更大降幅替代它们。</w:t>
      </w:r>
    </w:p>
    <w:p>
      <w:pPr>
        <w:ind w:left="0" w:firstLine="420"/>
      </w:pPr>
      <w:r>
        <w:rPr>
          <w:rFonts w:ascii="Calibri" w:hAnsi="Calibri" w:eastAsia="Microsoft YaHei" w:cs="Calibri"/>
        </w:rPr>
        <w:t xml:space="preserve">TC130、TC133 和 TC134 表明 UBCC 在目录压力后仍能保留有价值的热点元数据，收益在滑动窗口和高复用场景中最为突出。TC132 负责验证脏数据恢复路径。</w:t>
      </w:r>
    </w:p>
    <w:p>
      <w:pPr>
        <w:ind w:left="0" w:firstLine="420"/>
      </w:pPr>
      <w:r>
        <w:rPr>
          <w:rFonts w:ascii="Calibri" w:hAnsi="Calibri" w:eastAsia="Microsoft YaHei" w:cs="Calibri"/>
        </w:rPr>
        <w:t xml:space="preserve">TC132 的恢复路径成本增加，TC131 的独占升级也略有增加，说明保留共享元数据的收益不能直接外推到所有脏数据和权限迁移路径。</w:t>
      </w:r>
    </w:p>
    <w:p>
      <w:pPr>
        <w:pStyle w:val="Heading3"/>
        <w:keepNext/>
      </w:pPr>
      <w:r>
        <w:rPr>
          <w:rFonts w:ascii="Calibri" w:hAnsi="Calibri" w:eastAsia="SimHei" w:cs="Calibri"/>
        </w:rPr>
        <w:t xml:space="preserve">4.6 TC142–147：服务阶段 service 结果</w:t>
      </w:r>
    </w:p>
    <w:p>
      <w:pPr>
        <w:ind w:left="0" w:firstLine="420"/>
      </w:pPr>
      <w:r>
        <w:rPr>
          <w:rFonts w:ascii="Calibri" w:hAnsi="Calibri" w:eastAsia="Microsoft YaHei" w:cs="Calibri"/>
        </w:rPr>
        <w:t xml:space="preserve">TC142–TC147 分别模拟 OLTP 缓冲池、索引页访问、WAL、租户热调用、图 frontier 和 feature store。每批访问配比分别为 28R/4W、60R/4W、32W、56R/8W、60R/4W、56R/8W；每 plane 的 seed 行数分别为 32、137、192、136、192、136。索引场景使用确定性索引页序列，而非真实指针追踪。</w:t>
      </w:r>
    </w:p>
    <w:p>
      <w:pPr>
        <w:ind w:left="0" w:firstLine="420"/>
      </w:pPr>
      <w:r>
        <w:rPr>
          <w:rFonts w:ascii="Calibri" w:hAnsi="Calibri" w:eastAsia="Microsoft YaHei" w:cs="Calibri"/>
        </w:rPr>
        <w:t xml:space="preserve">计时以</w:t>
      </w:r>
      <w:r>
        <w:rPr>
          <w:rFonts w:ascii="Calibri" w:hAnsi="Calibri" w:eastAsia="Microsoft YaHei" w:cs="Calibri"/>
          <w:b/>
        </w:rPr>
        <w:t xml:space="preserve">服务阶段</w:t>
      </w:r>
      <w:r>
        <w:rPr>
          <w:rFonts w:ascii="Calibri" w:hAnsi="Calibri" w:eastAsia="Microsoft YaHei" w:cs="Calibri"/>
        </w:rPr>
        <w:t xml:space="preserve">为区间：从业务操作序列开始到该阶段最后一次操作完成，分母为该阶段的操作数（每 plane 1024 或 2048）。因此该量表示应用业务路径上每个操作的平均时延（ns/op），不含实验的逐批压力写入与屏障；容量压力对整体的影响另由完整 episode 观测（附录 D.2）说明。</w:t>
      </w:r>
    </w:p>
    <w:p>
      <w:pPr>
        <w:ind w:left="0" w:firstLine="420"/>
      </w:pPr>
      <w:r>
        <w:rPr>
          <w:rFonts w:ascii="Calibri" w:hAnsi="Calibri" w:eastAsia="Microsoft YaHei" w:cs="Calibri"/>
        </w:rPr>
        <w:t xml:space="preserve">对每个实验配置，先计算各 plane 的 counter_ticks × 10⁹ / counter_frequency_hz / operations，再对 plane 等权平均得到 ns/op。对每个 TC、拓扑、压力坐标计算 100 × (1 − spill-noopt ns/op / naive ns/op)，然后按拓扑等权算术平均。计数器频率为 25,165,824 Hz，每 tick 约 39.736 ns；2 GHz 处理器周期为 0.5 ns，gem5 仿真 tick 采用其独立时基。</w:t>
      </w:r>
    </w:p>
    <w:p>
      <w:pPr>
        <w:ind w:left="0" w:firstLine="420"/>
      </w:pPr>
      <w:r>
        <w:rPr>
          <w:rFonts w:ascii="Calibri" w:hAnsi="Calibri" w:eastAsia="Microsoft YaHei" w:cs="Calibri"/>
        </w:rPr>
        <w:t xml:space="preserve">全局目录目标 T = 65,536 × 压力百分比，压力写入量 Q = T − plane 数 × seed，压力行由各 plane 分摊，业务地址均指向 Home0/socket0。8N2S 的两个 worker 共享节点内资源，16N1S 为每节点一个 worker；16N1S 的 naive/spill ResidentDir 容量为 55,296/49,152，其余已测拓扑为 65,536/57,344。因此跨拓扑结果同时反映并行组织和资源预算，配对降幅在相同拓扑内计算。</w:t>
      </w:r>
    </w:p>
    <w:tbl>
      <w:tblPr>
        <w:tblStyle w:val="TableGrid"/>
        <w:tblW w:w="5000" w:type="pct"/>
        <w:tblLayout w:type="fixed"/>
        <w:tblCellMar>
          <w:top w:w="60" w:type="dxa"/>
          <w:left w:w="90" w:type="dxa"/>
          <w:bottom w:w="60" w:type="dxa"/>
          <w:right w:w="90" w:type="dxa"/>
        </w:tblCellMar>
      </w:tblPr>
      <w:tblGrid>
        <w:gridCol w:w="2581"/>
        <w:gridCol w:w="2339"/>
        <w:gridCol w:w="2339"/>
        <w:gridCol w:w="2339"/>
      </w:tblGrid>
      <w:tr>
        <w:trPr>
          <w:cantSplit/>
          <w:tblHeader/>
        </w:trPr>
        <w:tc>
          <w:tcPr>
            <w:tcW w:w="258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23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P175 降幅</w:t>
            </w:r>
          </w:p>
        </w:tc>
        <w:tc>
          <w:tcPr>
            <w:tcW w:w="23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P200 降幅</w:t>
            </w:r>
          </w:p>
        </w:tc>
        <w:tc>
          <w:tcPr>
            <w:tcW w:w="23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两压力等权降幅</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42.970%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45.690%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44.331%</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50.490%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47.030%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48.757%</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36.140%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38.790%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37.465%</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42.680%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41.900%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42.292%</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48.200%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45.660%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46.933%</w:t>
            </w:r>
          </w:p>
        </w:tc>
      </w:tr>
      <w:tr>
        <w:trPr>
          <w:cantSplit/>
        </w:trPr>
        <w:tc>
          <w:tcPr>
            <w:tcW w:w="2581" w:type="dxa"/>
          </w:tcPr>
          <w:p>
            <w:pPr>
              <w:pStyle w:val="TableText"/>
              <w:jc w:val="left"/>
              <w:wordWrap w:val="0"/>
              <w:spacing w:before="0" w:after="0" w:line="320" w:lineRule="exact"/>
            </w:pPr>
            <w:r>
              <w:rPr>
                <w:rFonts w:ascii="Calibri" w:hAnsi="Calibri" w:eastAsia="Microsoft YaHei" w:cs="Calibri"/>
                <w:sz w:val="18"/>
                <w:szCs w:val="18"/>
              </w:rPr>
              <w:t xml:space="preserve">TC147</w:t>
            </w:r>
          </w:p>
        </w:tc>
        <w:tc>
          <w:tcPr>
            <w:tcW w:w="2339" w:type="dxa"/>
          </w:tcPr>
          <w:p>
            <w:pPr>
              <w:pStyle w:val="TableText"/>
              <w:jc w:val="left"/>
              <w:wordWrap w:val="0"/>
              <w:spacing w:before="0" w:after="0" w:line="320" w:lineRule="exact"/>
            </w:pPr>
            <w:r>
              <w:rPr>
                <w:rFonts w:ascii="Calibri" w:hAnsi="Calibri" w:eastAsia="Microsoft YaHei" w:cs="Calibri"/>
                <w:sz w:val="18"/>
                <w:szCs w:val="18"/>
              </w:rPr>
              <w:t xml:space="preserve">44.620%</w:t>
            </w:r>
          </w:p>
        </w:tc>
        <w:tc>
          <w:tcPr>
            <w:tcW w:w="2339" w:type="dxa"/>
          </w:tcPr>
          <w:p>
            <w:pPr>
              <w:pStyle w:val="TableText"/>
              <w:jc w:val="left"/>
              <w:wordWrap w:val="0"/>
              <w:spacing w:before="0" w:after="0" w:line="320" w:lineRule="exact"/>
            </w:pPr>
            <w:r>
              <w:rPr>
                <w:rFonts w:ascii="Calibri" w:hAnsi="Calibri" w:eastAsia="Microsoft YaHei" w:cs="Calibri"/>
                <w:sz w:val="18"/>
                <w:szCs w:val="18"/>
              </w:rPr>
              <w:t xml:space="preserve">56.430%</w:t>
            </w:r>
          </w:p>
        </w:tc>
        <w:tc>
          <w:tcPr>
            <w:tcW w:w="2339" w:type="dxa"/>
          </w:tcPr>
          <w:p>
            <w:pPr>
              <w:pStyle w:val="TableText"/>
              <w:jc w:val="left"/>
              <w:wordWrap w:val="0"/>
              <w:spacing w:before="0" w:after="0" w:line="320" w:lineRule="exact"/>
            </w:pPr>
            <w:r>
              <w:rPr>
                <w:rFonts w:ascii="Calibri" w:hAnsi="Calibri" w:eastAsia="Microsoft YaHei" w:cs="Calibri"/>
                <w:sz w:val="18"/>
                <w:szCs w:val="18"/>
              </w:rPr>
              <w:t xml:space="preserve">50.521%</w:t>
            </w:r>
          </w:p>
        </w:tc>
      </w:tr>
    </w:tbl>
    <w:p>
      <w:pPr>
        <w:ind w:left="0" w:firstLine="420"/>
      </w:pPr>
      <w:r>
        <w:rPr>
          <w:rFonts w:ascii="Calibri" w:hAnsi="Calibri" w:eastAsia="Microsoft YaHei" w:cs="Calibri"/>
        </w:rPr>
        <w:t xml:space="preserve">本节按 3N1S、8N1S、16N1S 三种单 Socket 配置报告服务阶段观测，不把指标 1 的五拓扑容量矩阵误作指标 2 的服务数据覆盖。表中两压力等权值使用指定的未舍入汇总结果，P175/P200 分列保留原 DOCX 的展示精度，不能由两列已舍入数值反推更高精度。原服务阶段图的 TC147 标签与本次指定汇总值不一致，故以本表取代该图，不修改 figures 文件。</w:t>
      </w:r>
    </w:p>
    <w:p>
      <w:pPr>
        <w:ind w:left="0" w:firstLine="420"/>
      </w:pPr>
      <w:r>
        <w:rPr>
          <w:rFonts w:ascii="Calibri" w:hAnsi="Calibri" w:eastAsia="Microsoft YaHei" w:cs="Calibri"/>
        </w:rPr>
        <w:t xml:space="preserve">服务阶段的计时边界、参与者、配比和分母均保留；完整 episode 仅在附录 D.2 说明，不进入本组指标 2。</w:t>
      </w:r>
    </w:p>
    <w:p>
      <w:pPr>
        <w:pStyle w:val="Heading2"/>
        <w:keepNext/>
      </w:pPr>
      <w:r>
        <w:rPr>
          <w:rFonts w:ascii="Calibri" w:hAnsi="Calibri" w:eastAsia="SimHei" w:cs="Calibri"/>
        </w:rPr>
        <w:t xml:space="preserve">5. 指标 3：TC228–235 的 UBCC/HA-VI 配对比较</w:t>
      </w:r>
    </w:p>
    <w:p>
      <w:pPr>
        <w:ind w:left="0" w:firstLine="420"/>
      </w:pPr>
      <w:r>
        <w:rPr>
          <w:rFonts w:ascii="Calibri" w:hAnsi="Calibri" w:eastAsia="Microsoft YaHei" w:cs="Calibri"/>
        </w:rPr>
        <w:t xml:space="preserve">本章采用 3N1S、3N2S、8N1S、8N2S、16N1S 五种拓扑，覆盖 TC228–TC235、P0/P50/P100 三种 L3 压力及 UBCC/HA-VI 两种配置，共 240 次运行、120 对结果。三种压力是三个不同实验条件，不是三轮重复。每个坐标的核心组三个 TC 等权、代表组五个 TC 等权，分别检验 UBCC 组均值是否严格低于 HA-VI。</w:t>
      </w:r>
    </w:p>
    <w:p>
      <w:pPr>
        <w:pStyle w:val="Heading3"/>
        <w:keepNext/>
      </w:pPr>
      <w:r>
        <w:rPr>
          <w:rFonts w:ascii="Calibri" w:hAnsi="Calibri" w:eastAsia="SimHei" w:cs="Calibri"/>
        </w:rPr>
        <w:t xml:space="preserve">5.1 场景定义与关键路径</w:t>
      </w:r>
    </w:p>
    <w:p>
      <w:pPr>
        <w:ind w:left="0" w:firstLine="420"/>
      </w:pPr>
      <w:r>
        <w:rPr>
          <w:rFonts w:ascii="Calibri" w:hAnsi="Calibri" w:eastAsia="Microsoft YaHei" w:cs="Calibri"/>
        </w:rPr>
        <w:t xml:space="preserve">指标 3 以共同 workload 和共同根操作完成边界比较 UBCC 与 HA-VI。UBCC 通过 Home UBCC 控制器上的精确 owner/sharer 目录确定数据源、权限目标和提交顺序；HA-VI 按既定的 VI 有效性状态与参考完成链执行相同根操作。</w:t>
      </w:r>
    </w:p>
    <w:p>
      <w:pPr>
        <w:ind w:left="0" w:firstLine="420"/>
      </w:pPr>
      <w:r>
        <w:rPr>
          <w:rFonts w:ascii="Calibri" w:hAnsi="Calibri" w:eastAsia="Microsoft YaHei" w:cs="Calibri"/>
        </w:rPr>
        <w:t xml:space="preserve">每个 testcase 在两个对照角色中使用相同的参与者角色、操作序列、输入配比和计量事件。核心场景组直接覆盖三条一致性关键路径，代表场景组将相同机制置于应用化组合 workload 中。</w:t>
      </w:r>
    </w:p>
    <w:p>
      <w:pPr>
        <w:pStyle w:val="Heading3"/>
        <w:keepNext/>
      </w:pPr>
      <w:r>
        <w:rPr>
          <w:rFonts w:ascii="Calibri" w:hAnsi="Calibri" w:eastAsia="SimHei" w:cs="Calibri"/>
        </w:rPr>
        <w:t xml:space="preserve">5.1.1 核心场景组</w:t>
      </w:r>
    </w:p>
    <w:tbl>
      <w:tblPr>
        <w:tblStyle w:val="TableGrid"/>
        <w:tblW w:w="5000" w:type="pct"/>
        <w:tblLayout w:type="fixed"/>
        <w:tblCellMar>
          <w:top w:w="60" w:type="dxa"/>
          <w:left w:w="90" w:type="dxa"/>
          <w:bottom w:w="60" w:type="dxa"/>
          <w:right w:w="90" w:type="dxa"/>
        </w:tblCellMar>
      </w:tblPr>
      <w:tblGrid>
        <w:gridCol w:w="1042"/>
        <w:gridCol w:w="1893"/>
        <w:gridCol w:w="2744"/>
        <w:gridCol w:w="2155"/>
        <w:gridCol w:w="1762"/>
      </w:tblGrid>
      <w:tr>
        <w:trPr>
          <w:cantSplit/>
          <w:tblHeader/>
        </w:trPr>
        <w:tc>
          <w:tcPr>
            <w:tcW w:w="104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189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主操作与完成边界</w:t>
            </w:r>
          </w:p>
        </w:tc>
        <w:tc>
          <w:tcPr>
            <w:tcW w:w="274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UBCC 关键路径</w:t>
            </w:r>
          </w:p>
        </w:tc>
        <w:tc>
          <w:tcPr>
            <w:tcW w:w="215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HA-VI 参考路径</w:t>
            </w:r>
          </w:p>
        </w:tc>
        <w:tc>
          <w:tcPr>
            <w:tcW w:w="17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比较重点</w:t>
            </w:r>
          </w:p>
        </w:tc>
      </w:tr>
      <w:tr>
        <w:trPr>
          <w:cantSplit/>
        </w:trPr>
        <w:tc>
          <w:tcPr>
            <w:tcW w:w="1042" w:type="dxa"/>
          </w:tcPr>
          <w:p>
            <w:pPr>
              <w:pStyle w:val="TableText"/>
              <w:jc w:val="left"/>
              <w:wordWrap w:val="0"/>
              <w:keepNext/>
              <w:spacing w:before="0" w:after="0" w:line="320" w:lineRule="exact"/>
            </w:pPr>
            <w:r>
              <w:rPr>
                <w:rFonts w:ascii="Calibri" w:hAnsi="Calibri" w:eastAsia="Microsoft YaHei" w:cs="Calibri"/>
                <w:sz w:val="18"/>
                <w:szCs w:val="18"/>
              </w:rPr>
              <w:t xml:space="preserve">228</w:t>
            </w:r>
          </w:p>
        </w:tc>
        <w:tc>
          <w:tcPr>
            <w:tcW w:w="1893" w:type="dxa"/>
          </w:tcPr>
          <w:p>
            <w:pPr>
              <w:pStyle w:val="TableText"/>
              <w:jc w:val="left"/>
              <w:wordWrap w:val="0"/>
              <w:keepNext/>
              <w:spacing w:before="0" w:after="0" w:line="320" w:lineRule="exact"/>
            </w:pPr>
            <w:r>
              <w:rPr>
                <w:rFonts w:ascii="Calibri" w:hAnsi="Calibri" w:eastAsia="Microsoft YaHei" w:cs="Calibri"/>
                <w:sz w:val="18"/>
                <w:szCs w:val="18"/>
              </w:rPr>
              <w:t xml:space="preserve">requester 获得数据与共享授权</w:t>
            </w:r>
          </w:p>
        </w:tc>
        <w:tc>
          <w:tcPr>
            <w:tcW w:w="2744" w:type="dxa"/>
          </w:tcPr>
          <w:p>
            <w:pPr>
              <w:pStyle w:val="TableText"/>
              <w:jc w:val="left"/>
              <w:wordWrap w:val="0"/>
              <w:keepNext/>
              <w:spacing w:before="0" w:after="0" w:line="320" w:lineRule="exact"/>
            </w:pPr>
            <w:r>
              <w:rPr>
                <w:rFonts w:ascii="Calibri" w:hAnsi="Calibri" w:eastAsia="Microsoft YaHei" w:cs="Calibri"/>
                <w:sz w:val="18"/>
                <w:szCs w:val="18"/>
              </w:rPr>
              <w:t xml:space="preserve">Home UBCC 控制器按 owner 状态选择权威数据源，并在数据返回后建立共享关系</w:t>
            </w:r>
          </w:p>
        </w:tc>
        <w:tc>
          <w:tcPr>
            <w:tcW w:w="2155" w:type="dxa"/>
          </w:tcPr>
          <w:p>
            <w:pPr>
              <w:pStyle w:val="TableText"/>
              <w:jc w:val="left"/>
              <w:wordWrap w:val="0"/>
              <w:keepNext/>
              <w:spacing w:before="0" w:after="0" w:line="320" w:lineRule="exact"/>
            </w:pPr>
            <w:r>
              <w:rPr>
                <w:rFonts w:ascii="Calibri" w:hAnsi="Calibri" w:eastAsia="Microsoft YaHei" w:cs="Calibri"/>
                <w:sz w:val="18"/>
                <w:szCs w:val="18"/>
              </w:rPr>
              <w:t xml:space="preserve">按 VI 有效性关系完成数据定位和有效副本建立</w:t>
            </w:r>
          </w:p>
        </w:tc>
        <w:tc>
          <w:tcPr>
            <w:tcW w:w="1762" w:type="dxa"/>
          </w:tcPr>
          <w:p>
            <w:pPr>
              <w:pStyle w:val="TableText"/>
              <w:jc w:val="left"/>
              <w:wordWrap w:val="0"/>
              <w:keepNext/>
              <w:spacing w:before="0" w:after="0" w:line="320" w:lineRule="exact"/>
            </w:pPr>
            <w:r>
              <w:rPr>
                <w:rFonts w:ascii="Calibri" w:hAnsi="Calibri" w:eastAsia="Microsoft YaHei" w:cs="Calibri"/>
                <w:sz w:val="18"/>
                <w:szCs w:val="18"/>
              </w:rPr>
              <w:t xml:space="preserve">数据源定位与共享授权</w:t>
            </w:r>
          </w:p>
        </w:tc>
      </w:tr>
      <w:tr>
        <w:trPr>
          <w:cantSplit/>
        </w:trPr>
        <w:tc>
          <w:tcPr>
            <w:tcW w:w="1042" w:type="dxa"/>
          </w:tcPr>
          <w:p>
            <w:pPr>
              <w:pStyle w:val="TableText"/>
              <w:jc w:val="left"/>
              <w:wordWrap w:val="0"/>
              <w:keepNext/>
              <w:spacing w:before="0" w:after="0" w:line="320" w:lineRule="exact"/>
            </w:pPr>
            <w:r>
              <w:rPr>
                <w:rFonts w:ascii="Calibri" w:hAnsi="Calibri" w:eastAsia="Microsoft YaHei" w:cs="Calibri"/>
                <w:sz w:val="18"/>
                <w:szCs w:val="18"/>
              </w:rPr>
              <w:t xml:space="preserve">229</w:t>
            </w:r>
          </w:p>
        </w:tc>
        <w:tc>
          <w:tcPr>
            <w:tcW w:w="1893" w:type="dxa"/>
          </w:tcPr>
          <w:p>
            <w:pPr>
              <w:pStyle w:val="TableText"/>
              <w:jc w:val="left"/>
              <w:wordWrap w:val="0"/>
              <w:keepNext/>
              <w:spacing w:before="0" w:after="0" w:line="320" w:lineRule="exact"/>
            </w:pPr>
            <w:r>
              <w:rPr>
                <w:rFonts w:ascii="Calibri" w:hAnsi="Calibri" w:eastAsia="Microsoft YaHei" w:cs="Calibri"/>
                <w:sz w:val="18"/>
                <w:szCs w:val="18"/>
              </w:rPr>
              <w:t xml:space="preserve">新 owner 获得最新数据与独占权限</w:t>
            </w:r>
          </w:p>
        </w:tc>
        <w:tc>
          <w:tcPr>
            <w:tcW w:w="2744" w:type="dxa"/>
          </w:tcPr>
          <w:p>
            <w:pPr>
              <w:pStyle w:val="TableText"/>
              <w:jc w:val="left"/>
              <w:wordWrap w:val="0"/>
              <w:keepNext/>
              <w:spacing w:before="0" w:after="0" w:line="320" w:lineRule="exact"/>
            </w:pPr>
            <w:r>
              <w:rPr>
                <w:rFonts w:ascii="Calibri" w:hAnsi="Calibri" w:eastAsia="Microsoft YaHei" w:cs="Calibri"/>
                <w:sz w:val="18"/>
                <w:szCs w:val="18"/>
              </w:rPr>
              <w:t xml:space="preserve">Home UBCC 控制器定位旧 owner，组织释放、数据返回和新 owner 授权</w:t>
            </w:r>
          </w:p>
        </w:tc>
        <w:tc>
          <w:tcPr>
            <w:tcW w:w="2155" w:type="dxa"/>
          </w:tcPr>
          <w:p>
            <w:pPr>
              <w:pStyle w:val="TableText"/>
              <w:jc w:val="left"/>
              <w:wordWrap w:val="0"/>
              <w:keepNext/>
              <w:spacing w:before="0" w:after="0" w:line="320" w:lineRule="exact"/>
            </w:pPr>
            <w:r>
              <w:rPr>
                <w:rFonts w:ascii="Calibri" w:hAnsi="Calibri" w:eastAsia="Microsoft YaHei" w:cs="Calibri"/>
                <w:sz w:val="18"/>
                <w:szCs w:val="18"/>
              </w:rPr>
              <w:t xml:space="preserve">按既定 VI 状态转移和完成链迁移写权限</w:t>
            </w:r>
          </w:p>
        </w:tc>
        <w:tc>
          <w:tcPr>
            <w:tcW w:w="1762" w:type="dxa"/>
          </w:tcPr>
          <w:p>
            <w:pPr>
              <w:pStyle w:val="TableText"/>
              <w:jc w:val="left"/>
              <w:wordWrap w:val="0"/>
              <w:keepNext/>
              <w:spacing w:before="0" w:after="0" w:line="320" w:lineRule="exact"/>
            </w:pPr>
            <w:r>
              <w:rPr>
                <w:rFonts w:ascii="Calibri" w:hAnsi="Calibri" w:eastAsia="Microsoft YaHei" w:cs="Calibri"/>
                <w:sz w:val="18"/>
                <w:szCs w:val="18"/>
              </w:rPr>
              <w:t xml:space="preserve">最新数据与写权限迁移</w:t>
            </w:r>
          </w:p>
        </w:tc>
      </w:tr>
      <w:tr>
        <w:trPr>
          <w:cantSplit/>
        </w:trPr>
        <w:tc>
          <w:tcPr>
            <w:tcW w:w="1042" w:type="dxa"/>
          </w:tcPr>
          <w:p>
            <w:pPr>
              <w:pStyle w:val="TableText"/>
              <w:jc w:val="left"/>
              <w:wordWrap w:val="0"/>
              <w:spacing w:before="0" w:after="0" w:line="320" w:lineRule="exact"/>
            </w:pPr>
            <w:r>
              <w:rPr>
                <w:rFonts w:ascii="Calibri" w:hAnsi="Calibri" w:eastAsia="Microsoft YaHei" w:cs="Calibri"/>
                <w:sz w:val="18"/>
                <w:szCs w:val="18"/>
              </w:rPr>
              <w:t xml:space="preserve">230</w:t>
            </w:r>
          </w:p>
        </w:tc>
        <w:tc>
          <w:tcPr>
            <w:tcW w:w="1893" w:type="dxa"/>
          </w:tcPr>
          <w:p>
            <w:pPr>
              <w:pStyle w:val="TableText"/>
              <w:jc w:val="left"/>
              <w:wordWrap w:val="0"/>
              <w:spacing w:before="0" w:after="0" w:line="320" w:lineRule="exact"/>
            </w:pPr>
            <w:r>
              <w:rPr>
                <w:rFonts w:ascii="Calibri" w:hAnsi="Calibri" w:eastAsia="Microsoft YaHei" w:cs="Calibri"/>
                <w:sz w:val="18"/>
                <w:szCs w:val="18"/>
              </w:rPr>
              <w:t xml:space="preserve">Ack 收敛并建立单写者</w:t>
            </w:r>
          </w:p>
        </w:tc>
        <w:tc>
          <w:tcPr>
            <w:tcW w:w="2744" w:type="dxa"/>
          </w:tcPr>
          <w:p>
            <w:pPr>
              <w:pStyle w:val="TableText"/>
              <w:jc w:val="left"/>
              <w:wordWrap w:val="0"/>
              <w:spacing w:before="0" w:after="0" w:line="320" w:lineRule="exact"/>
            </w:pPr>
            <w:r>
              <w:rPr>
                <w:rFonts w:ascii="Calibri" w:hAnsi="Calibri" w:eastAsia="Microsoft YaHei" w:cs="Calibri"/>
                <w:sz w:val="18"/>
                <w:szCs w:val="18"/>
              </w:rPr>
              <w:t xml:space="preserve">Home UBCC 控制器确定并保持精确 sharer 目标集合，并行失效，Ack 收敛后授权</w:t>
            </w:r>
          </w:p>
        </w:tc>
        <w:tc>
          <w:tcPr>
            <w:tcW w:w="2155" w:type="dxa"/>
          </w:tcPr>
          <w:p>
            <w:pPr>
              <w:pStyle w:val="TableText"/>
              <w:jc w:val="left"/>
              <w:wordWrap w:val="0"/>
              <w:spacing w:before="0" w:after="0" w:line="320" w:lineRule="exact"/>
            </w:pPr>
            <w:r>
              <w:rPr>
                <w:rFonts w:ascii="Calibri" w:hAnsi="Calibri" w:eastAsia="Microsoft YaHei" w:cs="Calibri"/>
                <w:sz w:val="18"/>
                <w:szCs w:val="18"/>
              </w:rPr>
              <w:t xml:space="preserve">执行既定的共享副本失效与写者建立路径</w:t>
            </w:r>
          </w:p>
        </w:tc>
        <w:tc>
          <w:tcPr>
            <w:tcW w:w="1762" w:type="dxa"/>
          </w:tcPr>
          <w:p>
            <w:pPr>
              <w:pStyle w:val="TableText"/>
              <w:jc w:val="left"/>
              <w:wordWrap w:val="0"/>
              <w:spacing w:before="0" w:after="0" w:line="320" w:lineRule="exact"/>
            </w:pPr>
            <w:r>
              <w:rPr>
                <w:rFonts w:ascii="Calibri" w:hAnsi="Calibri" w:eastAsia="Microsoft YaHei" w:cs="Calibri"/>
                <w:sz w:val="18"/>
                <w:szCs w:val="18"/>
              </w:rPr>
              <w:t xml:space="preserve">目标选择、失效扇出和 Ack 收敛</w:t>
            </w:r>
          </w:p>
        </w:tc>
      </w:tr>
    </w:tbl>
    <w:p>
      <w:pPr>
        <w:ind w:left="0" w:firstLine="420"/>
      </w:pPr>
      <w:r>
        <w:rPr>
          <w:rFonts w:ascii="Calibri" w:hAnsi="Calibri" w:eastAsia="Microsoft YaHei" w:cs="Calibri"/>
        </w:rPr>
        <w:t xml:space="preserve">三个 testcase 各贡献一个主值，并按 1/3 等权形成核心场景组均值。</w:t>
      </w:r>
    </w:p>
    <w:p>
      <w:pPr>
        <w:pStyle w:val="Heading3"/>
        <w:keepNext/>
      </w:pPr>
      <w:r>
        <w:rPr>
          <w:rFonts w:ascii="Calibri" w:hAnsi="Calibri" w:eastAsia="SimHei" w:cs="Calibri"/>
        </w:rPr>
        <w:t xml:space="preserve">5.1.2 代表场景组</w:t>
      </w:r>
    </w:p>
    <w:tbl>
      <w:tblPr>
        <w:tblStyle w:val="TableGrid"/>
        <w:tblW w:w="5000" w:type="pct"/>
        <w:tblLayout w:type="fixed"/>
        <w:tblCellMar>
          <w:top w:w="60" w:type="dxa"/>
          <w:left w:w="90" w:type="dxa"/>
          <w:bottom w:w="60" w:type="dxa"/>
          <w:right w:w="90" w:type="dxa"/>
        </w:tblCellMar>
      </w:tblPr>
      <w:tblGrid>
        <w:gridCol w:w="1131"/>
        <w:gridCol w:w="2095"/>
        <w:gridCol w:w="1934"/>
        <w:gridCol w:w="1613"/>
        <w:gridCol w:w="1452"/>
        <w:gridCol w:w="1372"/>
      </w:tblGrid>
      <w:tr>
        <w:trPr>
          <w:cantSplit/>
          <w:tblHeader/>
        </w:trPr>
        <w:tc>
          <w:tcPr>
            <w:tcW w:w="113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209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应用场景与操作序列</w:t>
            </w:r>
          </w:p>
        </w:tc>
        <w:tc>
          <w:tcPr>
            <w:tcW w:w="193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主值及完成边界</w:t>
            </w:r>
          </w:p>
        </w:tc>
        <w:tc>
          <w:tcPr>
            <w:tcW w:w="161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UBCC 关键路径</w:t>
            </w:r>
          </w:p>
        </w:tc>
        <w:tc>
          <w:tcPr>
            <w:tcW w:w="145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HA-VI 参考路径</w:t>
            </w:r>
          </w:p>
        </w:tc>
        <w:tc>
          <w:tcPr>
            <w:tcW w:w="137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展示内容</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231</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压力后复用干净共享行</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共享读服务</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复用已提交共享关系</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有效副本共享读</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干净共享控制成本</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232</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hot key 上的多参与者读写服务</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固定 2/3 读 + 1/3 写</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共享读取与精确写权限迁移</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分别执行读写参考路径</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固定配比的综合成本</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233</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生产者发布，消费者读取</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发布—消费服务</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数据发布与服务完成</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有效性发布与读取</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发布—消费服务链</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234</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token 在参与者间排队交接</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交接端到端</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写入、权限交接和有序观察</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VI 权限交接</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连续所有权交接</w:t>
            </w:r>
          </w:p>
        </w:tc>
      </w:tr>
      <w:tr>
        <w:trPr>
          <w:cantSplit/>
        </w:trPr>
        <w:tc>
          <w:tcPr>
            <w:tcW w:w="1131" w:type="dxa"/>
          </w:tcPr>
          <w:p>
            <w:pPr>
              <w:pStyle w:val="TableText"/>
              <w:jc w:val="left"/>
              <w:wordWrap w:val="0"/>
              <w:spacing w:before="0" w:after="0" w:line="320" w:lineRule="exact"/>
            </w:pPr>
            <w:r>
              <w:rPr>
                <w:rFonts w:ascii="Calibri" w:hAnsi="Calibri" w:eastAsia="Microsoft YaHei" w:cs="Calibri"/>
                <w:sz w:val="18"/>
                <w:szCs w:val="18"/>
              </w:rPr>
              <w:t xml:space="preserve">235</w:t>
            </w:r>
          </w:p>
        </w:tc>
        <w:tc>
          <w:tcPr>
            <w:tcW w:w="2095" w:type="dxa"/>
          </w:tcPr>
          <w:p>
            <w:pPr>
              <w:pStyle w:val="TableText"/>
              <w:jc w:val="left"/>
              <w:wordWrap w:val="0"/>
              <w:spacing w:before="0" w:after="0" w:line="320" w:lineRule="exact"/>
            </w:pPr>
            <w:r>
              <w:rPr>
                <w:rFonts w:ascii="Calibri" w:hAnsi="Calibri" w:eastAsia="Microsoft YaHei" w:cs="Calibri"/>
                <w:sz w:val="18"/>
                <w:szCs w:val="18"/>
              </w:rPr>
              <w:t xml:space="preserve">catalog 查询与稀疏更新</w:t>
            </w:r>
          </w:p>
        </w:tc>
        <w:tc>
          <w:tcPr>
            <w:tcW w:w="1934" w:type="dxa"/>
          </w:tcPr>
          <w:p>
            <w:pPr>
              <w:pStyle w:val="TableText"/>
              <w:jc w:val="left"/>
              <w:wordWrap w:val="0"/>
              <w:spacing w:before="0" w:after="0" w:line="320" w:lineRule="exact"/>
            </w:pPr>
            <w:r>
              <w:rPr>
                <w:rFonts w:ascii="Calibri" w:hAnsi="Calibri" w:eastAsia="Microsoft YaHei" w:cs="Calibri"/>
                <w:sz w:val="18"/>
                <w:szCs w:val="18"/>
              </w:rPr>
              <w:t xml:space="preserve">批处理端到端</w:t>
            </w:r>
          </w:p>
        </w:tc>
        <w:tc>
          <w:tcPr>
            <w:tcW w:w="1613" w:type="dxa"/>
          </w:tcPr>
          <w:p>
            <w:pPr>
              <w:pStyle w:val="TableText"/>
              <w:jc w:val="left"/>
              <w:wordWrap w:val="0"/>
              <w:spacing w:before="0" w:after="0" w:line="320" w:lineRule="exact"/>
            </w:pPr>
            <w:r>
              <w:rPr>
                <w:rFonts w:ascii="Calibri" w:hAnsi="Calibri" w:eastAsia="Microsoft YaHei" w:cs="Calibri"/>
                <w:sz w:val="18"/>
                <w:szCs w:val="18"/>
              </w:rPr>
              <w:t xml:space="preserve">查询、更新和批次同步</w:t>
            </w:r>
          </w:p>
        </w:tc>
        <w:tc>
          <w:tcPr>
            <w:tcW w:w="1452" w:type="dxa"/>
          </w:tcPr>
          <w:p>
            <w:pPr>
              <w:pStyle w:val="TableText"/>
              <w:jc w:val="left"/>
              <w:wordWrap w:val="0"/>
              <w:spacing w:before="0" w:after="0" w:line="320" w:lineRule="exact"/>
            </w:pPr>
            <w:r>
              <w:rPr>
                <w:rFonts w:ascii="Calibri" w:hAnsi="Calibri" w:eastAsia="Microsoft YaHei" w:cs="Calibri"/>
                <w:sz w:val="18"/>
                <w:szCs w:val="18"/>
              </w:rPr>
              <w:t xml:space="preserve">相同序列及同步边界</w:t>
            </w:r>
          </w:p>
        </w:tc>
        <w:tc>
          <w:tcPr>
            <w:tcW w:w="1372" w:type="dxa"/>
          </w:tcPr>
          <w:p>
            <w:pPr>
              <w:pStyle w:val="TableText"/>
              <w:jc w:val="left"/>
              <w:wordWrap w:val="0"/>
              <w:spacing w:before="0" w:after="0" w:line="320" w:lineRule="exact"/>
            </w:pPr>
            <w:r>
              <w:rPr>
                <w:rFonts w:ascii="Calibri" w:hAnsi="Calibri" w:eastAsia="Microsoft YaHei" w:cs="Calibri"/>
                <w:sz w:val="18"/>
                <w:szCs w:val="18"/>
              </w:rPr>
              <w:t xml:space="preserve">读为主的完整批处理</w:t>
            </w:r>
          </w:p>
        </w:tc>
      </w:tr>
    </w:tbl>
    <w:p>
      <w:pPr>
        <w:ind w:left="0" w:firstLine="420"/>
      </w:pPr>
      <w:r>
        <w:rPr>
          <w:rFonts w:ascii="Calibri" w:hAnsi="Calibri" w:eastAsia="Microsoft YaHei" w:cs="Calibri"/>
        </w:rPr>
        <w:t xml:space="preserve">五个 testcase 各贡献一个主值，并按 1/5 等权形成代表场景组均值。</w:t>
      </w:r>
    </w:p>
    <w:p>
      <w:pPr>
        <w:pStyle w:val="Heading3"/>
        <w:keepNext/>
      </w:pPr>
      <w:r>
        <w:rPr>
          <w:rFonts w:ascii="Calibri" w:hAnsi="Calibri" w:eastAsia="SimHei" w:cs="Calibri"/>
        </w:rPr>
        <w:t xml:space="preserve">5.1.3 主值与辅助事件</w:t>
      </w:r>
    </w:p>
    <w:tbl>
      <w:tblPr>
        <w:tblStyle w:val="TableGrid"/>
        <w:tblW w:w="5000" w:type="pct"/>
        <w:tblLayout w:type="fixed"/>
        <w:tblCellMar>
          <w:top w:w="60" w:type="dxa"/>
          <w:left w:w="90" w:type="dxa"/>
          <w:bottom w:w="60" w:type="dxa"/>
          <w:right w:w="90" w:type="dxa"/>
        </w:tblCellMar>
      </w:tblPr>
      <w:tblGrid>
        <w:gridCol w:w="1687"/>
        <w:gridCol w:w="3891"/>
        <w:gridCol w:w="4021"/>
      </w:tblGrid>
      <w:tr>
        <w:trPr>
          <w:cantSplit/>
          <w:tblHeader/>
        </w:trPr>
        <w:tc>
          <w:tcPr>
            <w:tcW w:w="168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389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进入聚合的主值</w:t>
            </w:r>
          </w:p>
        </w:tc>
        <w:tc>
          <w:tcPr>
            <w:tcW w:w="402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辅助事件</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TC231</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clean shared read service</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TC232</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2/3 read + 1/3 write</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hot-key read、hot-key write</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TC233</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producer-consumer service</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consumer load</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TC234</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queued-token end-to-end</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token store</w:t>
            </w:r>
          </w:p>
        </w:tc>
      </w:tr>
      <w:tr>
        <w:trPr>
          <w:cantSplit/>
        </w:trPr>
        <w:tc>
          <w:tcPr>
            <w:tcW w:w="1687" w:type="dxa"/>
          </w:tcPr>
          <w:p>
            <w:pPr>
              <w:pStyle w:val="TableText"/>
              <w:jc w:val="left"/>
              <w:wordWrap w:val="0"/>
              <w:spacing w:before="0" w:after="0" w:line="320" w:lineRule="exact"/>
            </w:pPr>
            <w:r>
              <w:rPr>
                <w:rFonts w:ascii="Calibri" w:hAnsi="Calibri" w:eastAsia="Microsoft YaHei" w:cs="Calibri"/>
                <w:sz w:val="18"/>
                <w:szCs w:val="18"/>
              </w:rPr>
              <w:t xml:space="preserve">TC235</w:t>
            </w:r>
          </w:p>
        </w:tc>
        <w:tc>
          <w:tcPr>
            <w:tcW w:w="3891" w:type="dxa"/>
          </w:tcPr>
          <w:p>
            <w:pPr>
              <w:pStyle w:val="TableText"/>
              <w:jc w:val="left"/>
              <w:wordWrap w:val="0"/>
              <w:spacing w:before="0" w:after="0" w:line="320" w:lineRule="exact"/>
            </w:pPr>
            <w:r>
              <w:rPr>
                <w:rFonts w:ascii="Calibri" w:hAnsi="Calibri" w:eastAsia="Microsoft YaHei" w:cs="Calibri"/>
                <w:sz w:val="18"/>
                <w:szCs w:val="18"/>
              </w:rPr>
              <w:t xml:space="preserve">catalog-KV end-to-end</w:t>
            </w:r>
          </w:p>
        </w:tc>
        <w:tc>
          <w:tcPr>
            <w:tcW w:w="4021" w:type="dxa"/>
          </w:tcPr>
          <w:p>
            <w:pPr>
              <w:pStyle w:val="TableText"/>
              <w:jc w:val="left"/>
              <w:wordWrap w:val="0"/>
              <w:spacing w:before="0" w:after="0" w:line="320" w:lineRule="exact"/>
            </w:pPr>
            <w:r>
              <w:rPr>
                <w:rFonts w:ascii="Calibri" w:hAnsi="Calibri" w:eastAsia="Microsoft YaHei" w:cs="Calibri"/>
                <w:sz w:val="18"/>
                <w:szCs w:val="18"/>
              </w:rPr>
              <w:t xml:space="preserve">catalog-KV service</w:t>
            </w:r>
          </w:p>
        </w:tc>
      </w:tr>
    </w:tbl>
    <w:p>
      <w:pPr>
        <w:ind w:left="0" w:firstLine="420"/>
      </w:pPr>
      <w:r>
        <w:rPr>
          <w:rFonts w:ascii="Calibri" w:hAnsi="Calibri" w:eastAsia="Microsoft YaHei" w:cs="Calibri"/>
        </w:rPr>
        <w:t xml:space="preserve">辅助事件用于解释主值构成和关键路径，每个 testcase 在代表场景组中保持一次权重。</w:t>
      </w:r>
    </w:p>
    <w:p>
      <w:pPr>
        <w:pStyle w:val="Heading3"/>
        <w:keepNext/>
      </w:pPr>
      <w:r>
        <w:rPr>
          <w:rFonts w:ascii="Calibri" w:hAnsi="Calibri" w:eastAsia="SimHei" w:cs="Calibri"/>
        </w:rPr>
        <w:t xml:space="preserve">5.2 假设与公平性边界</w:t>
      </w:r>
    </w:p>
    <w:tbl>
      <w:tblPr>
        <w:tblStyle w:val="TableGrid"/>
        <w:tblW w:w="5000" w:type="pct"/>
        <w:tblLayout w:type="fixed"/>
        <w:tblCellMar>
          <w:top w:w="60" w:type="dxa"/>
          <w:left w:w="90" w:type="dxa"/>
          <w:bottom w:w="60" w:type="dxa"/>
          <w:right w:w="90" w:type="dxa"/>
        </w:tblCellMar>
      </w:tblPr>
      <w:tblGrid>
        <w:gridCol w:w="1500"/>
        <w:gridCol w:w="4050"/>
        <w:gridCol w:w="4050"/>
      </w:tblGrid>
      <w:tr>
        <w:trPr>
          <w:cantSplit/>
          <w:tblHeader/>
        </w:trPr>
        <w:tc>
          <w:tcPr>
            <w:tcW w:w="15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维度</w:t>
            </w:r>
          </w:p>
        </w:tc>
        <w:tc>
          <w:tcPr>
            <w:tcW w:w="40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统一参考条件</w:t>
            </w:r>
          </w:p>
        </w:tc>
        <w:tc>
          <w:tcPr>
            <w:tcW w:w="40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建模范围与结论适用范围</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系统与处理器</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五拓扑、O3；配对两侧使用相同处理器与缓存条件</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协议级仿真，非目标芯片物理测量</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workload</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相同 testcase、输入及对应的 P0/P50/P100 压力</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结论适用于表列流量、系统规模和 L3 配置</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完成与计量</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相同根操作完成边界和单向完成语义</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计量对象为根操作主值；内部阶段与物理链路握手未纳入主值</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HA 对照</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既定的 HA-VI 可执行参考参数与行为</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采用既定参考行为；额外 HA 优化、缓冲、队列、预测及扩展状态未建模</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通信</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相同可执行比较环境</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采用可执行传输抽象；端口级 Switch 排队、仲裁、拥塞和链路误码未建模</w:t>
            </w:r>
          </w:p>
        </w:tc>
      </w:tr>
      <w:tr>
        <w:trPr>
          <w:cantSplit/>
        </w:trPr>
        <w:tc>
          <w:tcPr>
            <w:tcW w:w="1500" w:type="dxa"/>
          </w:tcPr>
          <w:p>
            <w:pPr>
              <w:pStyle w:val="TableText"/>
              <w:jc w:val="left"/>
              <w:wordWrap w:val="0"/>
              <w:spacing w:before="0" w:after="0" w:line="320" w:lineRule="exact"/>
            </w:pPr>
            <w:r>
              <w:rPr>
                <w:rFonts w:ascii="Calibri" w:hAnsi="Calibri" w:eastAsia="Microsoft YaHei" w:cs="Calibri"/>
                <w:sz w:val="18"/>
                <w:szCs w:val="18"/>
              </w:rPr>
              <w:t xml:space="preserve">聚合</w:t>
            </w:r>
          </w:p>
        </w:tc>
        <w:tc>
          <w:tcPr>
            <w:tcW w:w="4050" w:type="dxa"/>
          </w:tcPr>
          <w:p>
            <w:pPr>
              <w:pStyle w:val="TableText"/>
              <w:jc w:val="left"/>
              <w:wordWrap w:val="0"/>
              <w:spacing w:before="0" w:after="0" w:line="320" w:lineRule="exact"/>
            </w:pPr>
            <w:r>
              <w:rPr>
                <w:rFonts w:ascii="Calibri" w:hAnsi="Calibri" w:eastAsia="Microsoft YaHei" w:cs="Calibri"/>
                <w:sz w:val="18"/>
                <w:szCs w:val="18"/>
              </w:rPr>
              <w:t xml:space="preserve">核心、代表场景组按正式主值等权聚合</w:t>
            </w:r>
          </w:p>
        </w:tc>
        <w:tc>
          <w:tcPr>
            <w:tcW w:w="4050" w:type="dxa"/>
          </w:tcPr>
          <w:p>
            <w:pPr>
              <w:pStyle w:val="TableText"/>
              <w:jc w:val="left"/>
              <w:wordWrap w:val="0"/>
              <w:spacing w:before="0" w:after="0" w:line="320" w:lineRule="exact"/>
            </w:pPr>
            <w:r>
              <w:rPr>
                <w:rFonts w:ascii="Calibri" w:hAnsi="Calibri" w:eastAsia="Microsoft YaHei" w:cs="Calibri"/>
                <w:sz w:val="18"/>
                <w:szCs w:val="18"/>
              </w:rPr>
              <w:t xml:space="preserve">结论适用于组均值；各 testcase 与子操作的收益分别报告</w:t>
            </w:r>
          </w:p>
        </w:tc>
      </w:tr>
    </w:tbl>
    <w:p>
      <w:pPr>
        <w:ind w:left="0" w:firstLine="420"/>
      </w:pPr>
      <w:r>
        <w:rPr>
          <w:rFonts w:ascii="Calibri" w:hAnsi="Calibri" w:eastAsia="Microsoft YaHei" w:cs="Calibri"/>
        </w:rPr>
        <w:t xml:space="preserve">该比较在共同输入、共同完成边界和统一参考假设下保持公平。</w:t>
      </w:r>
    </w:p>
    <w:p>
      <w:pPr>
        <w:pStyle w:val="Heading3"/>
        <w:keepNext/>
      </w:pPr>
      <w:r>
        <w:rPr>
          <w:rFonts w:ascii="Calibri" w:hAnsi="Calibri" w:eastAsia="SimHei" w:cs="Calibri"/>
        </w:rPr>
        <w:t xml:space="preserve">5.3 聚合结果</w:t>
      </w:r>
    </w:p>
    <w:tbl>
      <w:tblPr>
        <w:tblStyle w:val="TableGrid"/>
        <w:tblW w:w="5000" w:type="pct"/>
        <w:tblLayout w:type="fixed"/>
        <w:tblCellMar>
          <w:top w:w="60" w:type="dxa"/>
          <w:left w:w="90" w:type="dxa"/>
          <w:bottom w:w="60" w:type="dxa"/>
          <w:right w:w="90" w:type="dxa"/>
        </w:tblCellMar>
      </w:tblPr>
      <w:tblGrid>
        <w:gridCol w:w="1138"/>
        <w:gridCol w:w="1138"/>
        <w:gridCol w:w="2441"/>
        <w:gridCol w:w="1220"/>
        <w:gridCol w:w="2441"/>
        <w:gridCol w:w="1220"/>
      </w:tblGrid>
      <w:tr>
        <w:trPr>
          <w:cantSplit/>
          <w:tblHeader/>
        </w:trPr>
        <w:tc>
          <w:tcPr>
            <w:tcW w:w="113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拓扑</w:t>
            </w:r>
          </w:p>
        </w:tc>
        <w:tc>
          <w:tcPr>
            <w:tcW w:w="113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L3 压力</w:t>
            </w:r>
          </w:p>
        </w:tc>
        <w:tc>
          <w:tcPr>
            <w:tcW w:w="244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核心 UBCC / HA-VI（ns/op）</w:t>
            </w:r>
          </w:p>
        </w:tc>
        <w:tc>
          <w:tcPr>
            <w:tcW w:w="12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核心降幅</w:t>
            </w:r>
          </w:p>
        </w:tc>
        <w:tc>
          <w:tcPr>
            <w:tcW w:w="244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代表 UBCC / HA-VI（ns/op）</w:t>
            </w:r>
          </w:p>
        </w:tc>
        <w:tc>
          <w:tcPr>
            <w:tcW w:w="12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代表降幅</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1278.188 / 1648.234</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22.451%</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3357.105 / 3676.168</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8.679%</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1588.353 / 2092.785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24.103%</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3398.175 / 3731.263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8.927%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1601.047 / 2197.093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27.129%</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3404.864 / 3740.707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8.978%</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1420.163 / 1803.316</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21.247%</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3847.436 / 4356.486</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11.685%</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1417.266 / 1789.795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20.814%</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3574.500 / 4088.425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12.570%</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1420.991 / 1796.694</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20.911%</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3889.101 / 4407.862</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11.769%</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1274.463 / 1643.267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22.443%</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3610.607 / 4237.749</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14.799%</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1603.841 / 2105.720</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23.834%</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3906.993 / 4317.252</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9.503%</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1605.186 / 2201.957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27.102%</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3912.372 / 4328.663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9.617%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1419.956 / 1802.213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21.210%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4491.990 / 5355.071</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16.117%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1418.611 / 1792.227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20.846%</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3788.442 / 4423.263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14.352%</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1425.337 / 1882.513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24.285%</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3784.061 / 4420.988</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14.407%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1270.841 / 1644.509</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22.722%</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3713.657 / 4952.297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25.011%</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1601.150 / 2104.013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23.900%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4513.340 / 5064.395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10.881%</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1607.877 / 2204.699</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27.070%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4514.435 / 5076.485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11.072%</w:t>
            </w:r>
          </w:p>
        </w:tc>
      </w:tr>
    </w:tbl>
    <w:p>
      <w:pPr>
        <w:ind w:left="0" w:firstLine="420"/>
      </w:pPr>
      <w:r>
        <w:rPr>
          <w:rFonts w:ascii="Calibri" w:hAnsi="Calibri" w:eastAsia="Microsoft YaHei" w:cs="Calibri"/>
        </w:rPr>
        <w:t xml:space="preserve">服务主值合并各参与者计时与操作数后归一化；TC232 固定采用 2/3 读与 1/3 写，独立于运行中的参与者数量。端到端主值使用各参与者归一化时延的最大值，TC234 的一次操作为一次 token 交接，TC235 为业务访问。计数器频率为 25,165,824 Hz，统一换算为 ns/op，不将 guest counter tick 当作 2 GHz CPU 周期或 gem5 tick。</w:t>
      </w:r>
    </w:p>
    <w:p>
      <w:pPr>
        <w:ind w:left="0" w:firstLine="420"/>
      </w:pPr>
      <w:r>
        <w:rPr>
          <w:rFonts w:ascii="Calibri" w:hAnsi="Calibri" w:eastAsia="Microsoft YaHei" w:cs="Calibri"/>
        </w:rPr>
        <w:t xml:space="preserve">核心组在全部 15 个坐标的降幅为 20.814%–27.129%，代表组为 8.679%–25.011%。组判据针对时延算术均值，不是各 TC speedup 的几何平均，也不是逐 TC 均须改善。</w:t>
      </w:r>
    </w:p>
    <w:p>
      <w:pPr>
        <w:ind w:left="0" w:firstLine="420"/>
      </w:pPr>
      <w:r>
        <w:rPr>
          <w:rFonts w:ascii="Calibri" w:hAnsi="Calibri" w:eastAsia="Microsoft YaHei" w:cs="Calibri"/>
        </w:rPr>
        <w:t xml:space="preserve">若进一步对五拓扑、三压力的绝对组均值等权汇总，再计算两方案均值之比，核心组降幅为 23.532%，代表组为 12.799%。这是辅助总览，不替代逐坐标判据。120 对逐 TC 结果中有 7 对出现负降幅，范围为 −0.107% 至 −3.370%，主要位于共享控制与共享转写者路径；这些结果均保留在图中和数值源中。</w:t>
      </w:r>
    </w:p>
    <w:p>
      <w:pPr>
        <w:pStyle w:val="Heading3"/>
        <w:keepNext/>
      </w:pPr>
      <w:r>
        <w:rPr>
          <w:rFonts w:ascii="Calibri" w:hAnsi="Calibri" w:eastAsia="SimHei" w:cs="Calibri"/>
        </w:rPr>
        <w:t xml:space="preserve">5.4 理论路径解释</w:t>
      </w:r>
    </w:p>
    <w:p>
      <w:pPr>
        <w:ind w:left="0" w:firstLine="420"/>
      </w:pPr>
      <w:r>
        <w:rPr>
          <w:rFonts w:ascii="Calibri" w:hAnsi="Calibri" w:eastAsia="Microsoft YaHei" w:cs="Calibri"/>
        </w:rPr>
        <w:t xml:space="preserve">使用统一表达：</w:t>
      </w:r>
    </w:p>
    <w:p>
      <w:pPr>
        <w:pStyle w:val="Code"/>
      </w:pPr>
      <w:r>
        <w:rPr>
          <w:rFonts w:ascii="Consolas" w:hAnsi="Consolas" w:eastAsia="Microsoft YaHei" w:cs="Consolas"/>
        </w:rPr>
        <w:t xml:space="preserve">T = K_crossnode * tau + P</w:t>
      </w:r>
    </w:p>
    <w:p>
      <w:pPr>
        <w:ind w:left="0" w:firstLine="420"/>
      </w:pPr>
      <w:r>
        <w:rPr>
          <w:rFonts w:ascii="Calibri" w:hAnsi="Calibri" w:eastAsia="Microsoft YaHei" w:cs="Calibri"/>
        </w:rPr>
        <w:t xml:space="preserve">其中 K_crossnode 表示跨节点串行消息段，τ 表示单段传输时延，P 表示目录查询、 节点内一致性和完成处理。</w:t>
      </w:r>
    </w:p>
    <w:p>
      <w:pPr>
        <w:pStyle w:val="Heading3"/>
        <w:keepNext/>
      </w:pPr>
      <w:r>
        <w:rPr>
          <w:rFonts w:ascii="Calibri" w:hAnsi="Calibri" w:eastAsia="SimHei" w:cs="Calibri"/>
        </w:rPr>
        <w:t xml:space="preserve">5.4.1 TC228 Remote Read</w:t>
      </w:r>
    </w:p>
    <w:p>
      <w:pPr>
        <w:ind w:left="0" w:firstLine="420"/>
      </w:pPr>
      <w:r>
        <w:rPr>
          <w:rFonts w:ascii="Calibri" w:hAnsi="Calibri" w:eastAsia="Microsoft YaHei" w:cs="Calibri"/>
        </w:rPr>
        <w:t xml:space="preserve">数据和权限路径为 requester → Home → 数据源 → Home → requester。UBCC 依据 owner 状态选择权威数据源，并在数据返回后更新共享关系。该场景中 UBCC 与 HA-VI 均保持紧凑路径， UBCC 的优势较小但稳定。</w:t>
      </w:r>
    </w:p>
    <w:p>
      <w:pPr>
        <w:pStyle w:val="Heading3"/>
        <w:keepNext/>
      </w:pPr>
      <w:r>
        <w:rPr>
          <w:rFonts w:ascii="Calibri" w:hAnsi="Calibri" w:eastAsia="SimHei" w:cs="Calibri"/>
        </w:rPr>
        <w:t xml:space="preserve">5.4.2 TC229 Ownership Handoff</w:t>
      </w:r>
    </w:p>
    <w:p>
      <w:pPr>
        <w:ind w:left="0" w:firstLine="420"/>
      </w:pPr>
      <w:r>
        <w:rPr>
          <w:rFonts w:ascii="Calibri" w:hAnsi="Calibri" w:eastAsia="Microsoft YaHei" w:cs="Calibri"/>
        </w:rPr>
        <w:t xml:space="preserve">UBCC 首先定位 latest-data owner，再组织旧 owner 释放数据和权限，最后向新 owner 授权。 该场景是核心场景组的主要优势来源，说明独立全局目录能够联合判断数据位置与写权限归属， 缩短两个问题的决策路径。</w:t>
      </w:r>
    </w:p>
    <w:p>
      <w:pPr>
        <w:pStyle w:val="Heading3"/>
        <w:keepNext/>
      </w:pPr>
      <w:r>
        <w:rPr>
          <w:rFonts w:ascii="Calibri" w:hAnsi="Calibri" w:eastAsia="SimHei" w:cs="Calibri"/>
        </w:rPr>
        <w:t xml:space="preserve">5.4.3 TC230 Shared-to-Writer</w:t>
      </w:r>
    </w:p>
    <w:p>
      <w:pPr>
        <w:ind w:left="0" w:firstLine="420"/>
      </w:pPr>
      <w:r>
        <w:rPr>
          <w:rFonts w:ascii="Calibri" w:hAnsi="Calibri" w:eastAsia="Microsoft YaHei" w:cs="Calibri"/>
        </w:rPr>
        <w:t xml:space="preserve">UBCC 确定并保持当前 sharer 目标集合，发出 Invalidate，等待 Ack 收敛后向 requester 授予单写者权限。核心收益来自精确目标选择和统一 completion/grant 链。</w:t>
      </w:r>
    </w:p>
    <w:p>
      <w:pPr>
        <w:pStyle w:val="Heading3"/>
        <w:keepNext/>
      </w:pPr>
      <w:r>
        <w:rPr>
          <w:rFonts w:ascii="Calibri" w:hAnsi="Calibri" w:eastAsia="SimHei" w:cs="Calibri"/>
        </w:rPr>
        <w:t xml:space="preserve">5.4.4 TC232 Hot-Key 组合</w:t>
      </w:r>
    </w:p>
    <w:p>
      <w:pPr>
        <w:ind w:left="0" w:firstLine="420"/>
      </w:pPr>
      <w:r>
        <w:rPr>
          <w:rFonts w:ascii="Calibri" w:hAnsi="Calibri" w:eastAsia="Microsoft YaHei" w:cs="Calibri"/>
        </w:rPr>
        <w:t xml:space="preserve">TC232 主值采用固定 2/3 read + 1/3 write。多参与者运行的实际采样数随拓扑分工变化，但不据此改变场景权重。read 和 write 先分别计量，再合成为一个 testcase 主值，避免同一 workload 重复计权。</w:t>
      </w:r>
    </w:p>
    <w:p>
      <w:pPr>
        <w:pStyle w:val="Heading3"/>
        <w:keepNext/>
      </w:pPr>
      <w:r>
        <w:rPr>
          <w:rFonts w:ascii="Calibri" w:hAnsi="Calibri" w:eastAsia="SimHei" w:cs="Calibri"/>
        </w:rPr>
        <w:t xml:space="preserve">5.5 每 testcase 主值</w:t>
      </w:r>
    </w:p>
    <w:p>
      <w:pPr>
        <w:ind w:left="0" w:firstLine="420"/>
      </w:pPr>
      <w:r>
        <w:rPr>
          <w:rFonts w:ascii="Calibri" w:hAnsi="Calibri" w:eastAsia="Microsoft YaHei" w:cs="Calibri"/>
        </w:rPr>
        <w:t xml:space="preserve">图 5-1、5-2 展示所有配对坐标的逐 TC 降幅，正值表示 UBCC 时延更低；负值保留。绝对时延与每个参与者计时源随本册数值数据一并保留。</w:t>
      </w:r>
    </w:p>
    <w:p>
      <w:pPr>
        <w:jc w:val="center"/>
        <w:keepNext/>
        <w:spacing w:before="100" w:after="40" w:line="240" w:lineRule="auto"/>
      </w:pPr>
      <w:r>
        <w:drawing>
          <wp:inline distT="0" distB="0" distL="0" distR="0">
            <wp:extent cx="4752000" cy="4985704"/>
            <wp:effectExtent l="0" t="0" r="0" b="0"/>
            <wp:docPr id="3" name="图 5-1 核心场景逐坐标降幅" descr="图 5-1 核心场景逐坐标降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核心场景逐坐标降幅"/>
                    <pic:cNvPicPr/>
                  </pic:nvPicPr>
                  <pic:blipFill>
                    <a:blip xmlns:r="http://schemas.openxmlformats.org/officeDocument/2006/relationships" r:embed="rIdImage3"/>
                    <a:stretch>
                      <a:fillRect/>
                    </a:stretch>
                  </pic:blipFill>
                  <pic:spPr>
                    <a:xfrm>
                      <a:off x="0" y="0"/>
                      <a:ext cx="4752000" cy="4985704"/>
                    </a:xfrm>
                    <a:prstGeom prst="rect">
                      <a:avLst/>
                    </a:prstGeom>
                  </pic:spPr>
                </pic:pic>
              </a:graphicData>
            </a:graphic>
          </wp:inline>
        </w:drawing>
      </w:r>
    </w:p>
    <w:p>
      <w:pPr>
        <w:pStyle w:val="FigureCaption"/>
        <w:jc w:val="center"/>
      </w:pPr>
      <w:r>
        <w:rPr>
          <w:rFonts w:ascii="Calibri" w:hAnsi="Calibri" w:eastAsia="Microsoft YaHei" w:cs="Calibri"/>
        </w:rPr>
        <w:t xml:space="preserve">图 5-1　核心场景逐坐标降幅；颜色对应拓扑，三个分面分别为 P0、P50、P100。</w:t>
      </w:r>
    </w:p>
    <w:p>
      <w:pPr>
        <w:jc w:val="center"/>
        <w:keepNext/>
        <w:spacing w:before="100" w:after="40" w:line="240" w:lineRule="auto"/>
      </w:pPr>
      <w:r>
        <w:drawing>
          <wp:inline distT="0" distB="0" distL="0" distR="0">
            <wp:extent cx="4752000" cy="4985704"/>
            <wp:effectExtent l="0" t="0" r="0" b="0"/>
            <wp:docPr id="4" name="图 5-2 代表场景逐坐标降幅" descr="图 5-2 代表场景逐坐标降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 5-2 代表场景逐坐标降幅"/>
                    <pic:cNvPicPr/>
                  </pic:nvPicPr>
                  <pic:blipFill>
                    <a:blip xmlns:r="http://schemas.openxmlformats.org/officeDocument/2006/relationships" r:embed="rIdImage4"/>
                    <a:stretch>
                      <a:fillRect/>
                    </a:stretch>
                  </pic:blipFill>
                  <pic:spPr>
                    <a:xfrm>
                      <a:off x="0" y="0"/>
                      <a:ext cx="4752000" cy="4985704"/>
                    </a:xfrm>
                    <a:prstGeom prst="rect">
                      <a:avLst/>
                    </a:prstGeom>
                  </pic:spPr>
                </pic:pic>
              </a:graphicData>
            </a:graphic>
          </wp:inline>
        </w:drawing>
      </w:r>
    </w:p>
    <w:p>
      <w:pPr>
        <w:pStyle w:val="FigureCaption"/>
        <w:jc w:val="center"/>
      </w:pPr>
      <w:r>
        <w:rPr>
          <w:rFonts w:ascii="Calibri" w:hAnsi="Calibri" w:eastAsia="Microsoft YaHei" w:cs="Calibri"/>
        </w:rPr>
        <w:t xml:space="preserve">图 5-2　代表场景逐坐标降幅；保持 TC232 固定权重与 TC235 完整端到端边界。</w:t>
      </w:r>
    </w:p>
    <w:p>
      <w:pPr>
        <w:pStyle w:val="Heading3"/>
        <w:keepNext/>
      </w:pPr>
      <w:r>
        <w:rPr>
          <w:rFonts w:ascii="Calibri" w:hAnsi="Calibri" w:eastAsia="SimHei" w:cs="Calibri"/>
        </w:rPr>
        <w:t xml:space="preserve">5.6 复合项与辅助发布事件</w:t>
      </w:r>
    </w:p>
    <w:p>
      <w:pPr>
        <w:ind w:left="0" w:firstLine="420"/>
      </w:pPr>
      <w:r>
        <w:rPr>
          <w:rFonts w:ascii="Calibri" w:hAnsi="Calibri" w:eastAsia="Microsoft YaHei" w:cs="Calibri"/>
        </w:rPr>
        <w:t xml:space="preserve">TC232 的读写辅助事件用于解释组合成本；TC233 的 consumer load、TC234 的 token store、TC235 的服务阶段只用于路径解释，不额外参与组均值。尤其是批次同步或排队位于服务计时之外时，不以服务阶段值替代完整端到端值。</w:t>
      </w:r>
    </w:p>
    <w:p>
      <w:pPr>
        <w:pStyle w:val="Heading3"/>
        <w:keepNext/>
      </w:pPr>
      <w:r>
        <w:rPr>
          <w:rFonts w:ascii="Calibri" w:hAnsi="Calibri" w:eastAsia="SimHei" w:cs="Calibri"/>
        </w:rPr>
        <w:t xml:space="preserve">5.7 结论</w:t>
      </w:r>
    </w:p>
    <w:p>
      <w:pPr>
        <w:ind w:left="0" w:firstLine="420"/>
      </w:pPr>
      <w:r>
        <w:rPr>
          <w:rFonts w:ascii="Calibri" w:hAnsi="Calibri" w:eastAsia="Microsoft YaHei" w:cs="Calibri"/>
        </w:rPr>
        <w:t xml:space="preserve">在 TC228–235 × 五拓扑 × P0/P50/P100 的完整测试集合内，共 120 对、240 次运行。固定 L3 和既定 HA-VI 参考条件下，全部 15 个坐标的核心组（TC228–230）及代表组（TC231–235）均满足 UBCC 平均时延更低，指标 3 按组判据通过。7 对逐 TC 负降幅仍保留，不以组通过表述为逐 TC 全部改善。</w:t>
      </w:r>
    </w:p>
    <w:p>
      <w:pPr>
        <w:pStyle w:val="Heading2"/>
        <w:keepNext/>
      </w:pPr>
      <w:r>
        <w:rPr>
          <w:rFonts w:ascii="Calibri" w:hAnsi="Calibri" w:eastAsia="SimHei" w:cs="Calibri"/>
        </w:rPr>
        <w:t xml:space="preserve">6. 正确性与回归结果</w:t>
      </w:r>
    </w:p>
    <w:p>
      <w:pPr>
        <w:pStyle w:val="Heading3"/>
        <w:keepNext/>
      </w:pPr>
      <w:r>
        <w:rPr>
          <w:rFonts w:ascii="Calibri" w:hAnsi="Calibri" w:eastAsia="SimHei" w:cs="Calibri"/>
        </w:rPr>
        <w:t xml:space="preserve">6.1 基础正确性：TC1–TC119</w:t>
      </w:r>
    </w:p>
    <w:p>
      <w:pPr>
        <w:ind w:left="0" w:firstLine="420"/>
      </w:pPr>
      <w:r>
        <w:rPr>
          <w:rFonts w:ascii="Calibri" w:hAnsi="Calibri" w:eastAsia="Microsoft YaHei" w:cs="Calibri"/>
        </w:rPr>
        <w:t xml:space="preserve">基础正确性由 TC1–TC119（TC1~119）范围内的测试集合验证，已执行集合为 84 项，84/84 通过。这里的 TC1–TC119 是编号范围，并非声称连续 119 个编号均执行；矩阵选择见 §7 的 BASIC、ADVANCED 和 FAULT_INJECTION。基础正确性不能由性能测试通过替代。</w:t>
      </w:r>
    </w:p>
    <w:p>
      <w:pPr>
        <w:pStyle w:val="Heading3"/>
        <w:keepNext/>
      </w:pPr>
      <w:r>
        <w:rPr>
          <w:rFonts w:ascii="Calibri" w:hAnsi="Calibri" w:eastAsia="SimHei" w:cs="Calibri"/>
        </w:rPr>
        <w:t xml:space="preserve">6.2 性能运行门禁与重型回归</w:t>
      </w:r>
    </w:p>
    <w:tbl>
      <w:tblPr>
        <w:tblStyle w:val="TableGrid"/>
        <w:tblW w:w="5000" w:type="pct"/>
        <w:tblLayout w:type="fixed"/>
        <w:tblCellMar>
          <w:top w:w="60" w:type="dxa"/>
          <w:left w:w="90" w:type="dxa"/>
          <w:bottom w:w="60" w:type="dxa"/>
          <w:right w:w="90" w:type="dxa"/>
        </w:tblCellMar>
      </w:tblPr>
      <w:tblGrid>
        <w:gridCol w:w="4262"/>
        <w:gridCol w:w="2562"/>
        <w:gridCol w:w="2775"/>
      </w:tblGrid>
      <w:tr>
        <w:trPr>
          <w:cantSplit/>
          <w:tblHeader/>
        </w:trPr>
        <w:tc>
          <w:tcPr>
            <w:tcW w:w="42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验证矩阵</w:t>
            </w:r>
          </w:p>
        </w:tc>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规模</w:t>
            </w:r>
          </w:p>
        </w:tc>
        <w:tc>
          <w:tcPr>
            <w:tcW w:w="27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1/2 profile 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78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78/78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3 配对矩阵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240 次仿真运行</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240/240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正确性测试(TC1~119)</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84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84/84 通过</w:t>
            </w:r>
          </w:p>
        </w:tc>
      </w:tr>
      <w:tr>
        <w:trPr>
          <w:cantSplit/>
        </w:trPr>
        <w:tc>
          <w:tcPr>
            <w:tcW w:w="4262" w:type="dxa"/>
          </w:tcPr>
          <w:p>
            <w:pPr>
              <w:pStyle w:val="TableText"/>
              <w:jc w:val="left"/>
              <w:wordWrap w:val="0"/>
              <w:spacing w:before="0" w:after="0" w:line="320" w:lineRule="exact"/>
            </w:pPr>
            <w:r>
              <w:rPr>
                <w:rFonts w:ascii="Calibri" w:hAnsi="Calibri" w:eastAsia="Microsoft YaHei" w:cs="Calibri"/>
                <w:sz w:val="18"/>
                <w:szCs w:val="18"/>
              </w:rPr>
              <w:t xml:space="preserve">Q1-Q5 故障测试</w:t>
            </w:r>
          </w:p>
        </w:tc>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52 项</w:t>
            </w:r>
          </w:p>
        </w:tc>
        <w:tc>
          <w:tcPr>
            <w:tcW w:w="2775"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指标 1/2 的 78 项沿用原门禁口径，包含原报告的 72 项 profile 运行及 6 次指标 1 时延角色运行，不再次累加。性能运行检查数据读回、目标阶段、受管模块退出及 profile 身份。第 3、4 章的扩展容量和 service 结果按各自集合、角色及参考资格报告，不能与门禁规模混算。</w:t>
      </w:r>
    </w:p>
    <w:p>
      <w:pPr>
        <w:ind w:left="0" w:firstLine="420"/>
      </w:pPr>
      <w:r>
        <w:rPr>
          <w:rFonts w:ascii="Calibri" w:hAnsi="Calibri" w:eastAsia="Microsoft YaHei" w:cs="Calibri"/>
        </w:rPr>
        <w:t xml:space="preserve">重型回归覆盖热点竞争、大拓扑、目录容量和长路径事务，共 6 项，全部通过；不将其作为 TC1–TC119 基础正确性集合的替代。</w:t>
      </w:r>
    </w:p>
    <w:p>
      <w:pPr>
        <w:pStyle w:val="Heading3"/>
        <w:keepNext/>
      </w:pPr>
      <w:r>
        <w:rPr>
          <w:rFonts w:ascii="Calibri" w:hAnsi="Calibri" w:eastAsia="SimHei" w:cs="Calibri"/>
        </w:rPr>
        <w:t xml:space="preserve">6.3 故障资格的引用范围</w:t>
      </w:r>
    </w:p>
    <w:p>
      <w:pPr>
        <w:ind w:left="0" w:firstLine="420"/>
      </w:pPr>
      <w:r>
        <w:rPr>
          <w:rFonts w:ascii="Calibri" w:hAnsi="Calibri" w:eastAsia="Microsoft YaHei" w:cs="Calibri"/>
        </w:rPr>
        <w:t xml:space="preserve">Q1-Q5 共 52 项、52/52 通过，覆盖消息丢失、重复、延迟、乱序、组合故障与多拓扑。其结果和适用实现版本由正确性分册统一报告，不计为指标 3 配对矩阵新增运行。</w:t>
      </w:r>
    </w:p>
    <w:p>
      <w:pPr>
        <w:pStyle w:val="Heading2"/>
        <w:keepNext/>
      </w:pPr>
      <w:r>
        <w:rPr>
          <w:rFonts w:ascii="Calibri" w:hAnsi="Calibri" w:eastAsia="SimHei" w:cs="Calibri"/>
        </w:rPr>
        <w:t xml:space="preserve">7. 测试脚本使用指南</w:t>
      </w:r>
    </w:p>
    <w:p>
      <w:pPr>
        <w:pStyle w:val="Heading3"/>
        <w:keepNext/>
      </w:pPr>
      <w:r>
        <w:rPr>
          <w:rFonts w:ascii="Calibri" w:hAnsi="Calibri" w:eastAsia="SimHei" w:cs="Calibri"/>
        </w:rPr>
        <w:t xml:space="preserve">7.1 脚本参数</w:t>
      </w:r>
    </w:p>
    <w:p>
      <w:pPr>
        <w:ind w:left="0" w:firstLine="420"/>
      </w:pPr>
      <w:r>
        <w:rPr>
          <w:rFonts w:ascii="Calibri" w:hAnsi="Calibri" w:eastAsia="Microsoft YaHei" w:cs="Calibri"/>
        </w:rPr>
        <w:t xml:space="preserve">UBSIM 仓库根目录下的 parallel_test_v2.py 用于在单台宿主机的计算资源上并行运行相互隔离的测试。实际编译与仿真须在项目 Docker 环境内执行；以下命令是容器内、UBSIM 仓库根目录下的调用示例。</w:t>
      </w:r>
    </w:p>
    <w:tbl>
      <w:tblPr>
        <w:tblStyle w:val="TableGrid"/>
        <w:tblW w:w="5000" w:type="pct"/>
        <w:tblLayout w:type="fixed"/>
        <w:tblCellMar>
          <w:top w:w="60" w:type="dxa"/>
          <w:left w:w="90" w:type="dxa"/>
          <w:bottom w:w="60" w:type="dxa"/>
          <w:right w:w="90" w:type="dxa"/>
        </w:tblCellMar>
      </w:tblPr>
      <w:tblGrid>
        <w:gridCol w:w="3416"/>
        <w:gridCol w:w="6183"/>
      </w:tblGrid>
      <w:tr>
        <w:trPr>
          <w:cantSplit/>
          <w:tblHeader/>
        </w:trPr>
        <w:tc>
          <w:tcPr>
            <w:tcW w:w="341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参数</w:t>
            </w:r>
          </w:p>
        </w:tc>
        <w:tc>
          <w:tcPr>
            <w:tcW w:w="61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含义</w:t>
            </w:r>
          </w:p>
        </w:tc>
      </w:tr>
      <w:tr>
        <w:trPr>
          <w:cantSplit/>
        </w:trPr>
        <w:tc>
          <w:tcPr>
            <w:tcW w:w="3416" w:type="dxa"/>
          </w:tcPr>
          <w:p>
            <w:pPr>
              <w:pStyle w:val="TableText"/>
              <w:jc w:val="left"/>
              <w:wordWrap w:val="0"/>
              <w:keepNext/>
              <w:spacing w:before="0" w:after="0" w:line="320" w:lineRule="exact"/>
            </w:pPr>
            <w:r>
              <w:rPr>
                <w:rFonts w:ascii="Calibri" w:hAnsi="Calibri" w:eastAsia="Microsoft YaHei" w:cs="Calibri"/>
                <w:sz w:val="18"/>
                <w:szCs w:val="18"/>
              </w:rPr>
              <w:t xml:space="preserve">--test=&lt;expr&gt;</w:t>
            </w:r>
          </w:p>
        </w:tc>
        <w:tc>
          <w:tcPr>
            <w:tcW w:w="6183" w:type="dxa"/>
          </w:tcPr>
          <w:p>
            <w:pPr>
              <w:pStyle w:val="TableText"/>
              <w:jc w:val="left"/>
              <w:wordWrap w:val="0"/>
              <w:keepNext/>
              <w:spacing w:before="0" w:after="0" w:line="320" w:lineRule="exact"/>
            </w:pPr>
            <w:r>
              <w:rPr>
                <w:rFonts w:ascii="Calibri" w:hAnsi="Calibri" w:eastAsia="Microsoft YaHei" w:cs="Calibri"/>
                <w:sz w:val="18"/>
                <w:szCs w:val="18"/>
              </w:rPr>
              <w:t xml:space="preserve">测试集合；接受 Python 表达式，可预处理测试矩阵</w:t>
            </w:r>
          </w:p>
        </w:tc>
      </w:tr>
      <w:tr>
        <w:trPr>
          <w:cantSplit/>
        </w:trPr>
        <w:tc>
          <w:tcPr>
            <w:tcW w:w="3416" w:type="dxa"/>
          </w:tcPr>
          <w:p>
            <w:pPr>
              <w:pStyle w:val="TableText"/>
              <w:jc w:val="left"/>
              <w:wordWrap w:val="0"/>
              <w:keepNext/>
              <w:spacing w:before="0" w:after="0" w:line="320" w:lineRule="exact"/>
            </w:pPr>
            <w:r>
              <w:rPr>
                <w:rFonts w:ascii="Calibri" w:hAnsi="Calibri" w:eastAsia="Microsoft YaHei" w:cs="Calibri"/>
                <w:sz w:val="18"/>
                <w:szCs w:val="18"/>
              </w:rPr>
              <w:t xml:space="preserve">--affinity</w:t>
            </w:r>
          </w:p>
        </w:tc>
        <w:tc>
          <w:tcPr>
            <w:tcW w:w="6183" w:type="dxa"/>
          </w:tcPr>
          <w:p>
            <w:pPr>
              <w:pStyle w:val="TableText"/>
              <w:jc w:val="left"/>
              <w:wordWrap w:val="0"/>
              <w:keepNext/>
              <w:spacing w:before="0" w:after="0" w:line="320" w:lineRule="exact"/>
            </w:pPr>
            <w:r>
              <w:rPr>
                <w:rFonts w:ascii="Calibri" w:hAnsi="Calibri" w:eastAsia="Microsoft YaHei" w:cs="Calibri"/>
                <w:sz w:val="18"/>
                <w:szCs w:val="18"/>
              </w:rPr>
              <w:t xml:space="preserve">启用测试亲和性，将线程绑定固定核心；同一测试的仿真器线程不跨 NUMA</w:t>
            </w:r>
          </w:p>
        </w:tc>
      </w:tr>
      <w:tr>
        <w:trPr>
          <w:cantSplit/>
        </w:trPr>
        <w:tc>
          <w:tcPr>
            <w:tcW w:w="3416" w:type="dxa"/>
          </w:tcPr>
          <w:p>
            <w:pPr>
              <w:pStyle w:val="TableText"/>
              <w:jc w:val="left"/>
              <w:wordWrap w:val="0"/>
              <w:spacing w:before="0" w:after="0" w:line="320" w:lineRule="exact"/>
            </w:pPr>
            <w:r>
              <w:rPr>
                <w:rFonts w:ascii="Calibri" w:hAnsi="Calibri" w:eastAsia="Microsoft YaHei" w:cs="Calibri"/>
                <w:sz w:val="18"/>
                <w:szCs w:val="18"/>
              </w:rPr>
              <w:t xml:space="preserve">--nprocs=&lt;count&gt;</w:t>
            </w:r>
          </w:p>
        </w:tc>
        <w:tc>
          <w:tcPr>
            <w:tcW w:w="6183" w:type="dxa"/>
          </w:tcPr>
          <w:p>
            <w:pPr>
              <w:pStyle w:val="TableText"/>
              <w:jc w:val="left"/>
              <w:wordWrap w:val="0"/>
              <w:spacing w:before="0" w:after="0" w:line="320" w:lineRule="exact"/>
            </w:pPr>
            <w:r>
              <w:rPr>
                <w:rFonts w:ascii="Calibri" w:hAnsi="Calibri" w:eastAsia="Microsoft YaHei" w:cs="Calibri"/>
                <w:sz w:val="18"/>
                <w:szCs w:val="18"/>
              </w:rPr>
              <w:t xml:space="preserve">最多使用 count 个线程</w:t>
            </w:r>
          </w:p>
        </w:tc>
      </w:tr>
    </w:tbl>
    <w:p>
      <w:pPr>
        <w:ind w:left="0" w:firstLine="420"/>
      </w:pPr>
      <w:r>
        <w:rPr>
          <w:rFonts w:ascii="Calibri" w:hAnsi="Calibri" w:eastAsia="Microsoft YaHei" w:cs="Calibri"/>
        </w:rPr>
        <w:t xml:space="preserve">测试矩阵类型 TestcaseMatrix 支持 +、*、filter、map 等运算，并预定义测试矩阵及其生成函数。</w:t>
      </w:r>
    </w:p>
    <w:p>
      <w:pPr>
        <w:ind w:left="0" w:firstLine="420"/>
      </w:pPr>
      <w:r>
        <w:rPr>
          <w:rFonts w:ascii="Calibri" w:hAnsi="Calibri" w:eastAsia="Microsoft YaHei" w:cs="Calibri"/>
        </w:rPr>
        <w:t xml:space="preserve">启动 BASIC 矩阵，最多使用 252 个核心，并启用 CPU 核心亲和性：</w:t>
      </w:r>
    </w:p>
    <w:p>
      <w:pPr>
        <w:pStyle w:val="Code"/>
      </w:pPr>
      <w:r>
        <w:rPr>
          <w:rFonts w:ascii="Consolas" w:hAnsi="Consolas" w:eastAsia="Microsoft YaHei" w:cs="Consolas"/>
        </w:rPr>
        <w:t xml:space="preserve">python3 parallel_test_v2.py --test="BASIC" --affinity --nprocs=252</w:t>
      </w:r>
    </w:p>
    <w:p>
      <w:pPr>
        <w:ind w:left="0" w:firstLine="420"/>
      </w:pPr>
      <w:r>
        <w:rPr>
          <w:rFonts w:ascii="Calibri" w:hAnsi="Calibri" w:eastAsia="Microsoft YaHei" w:cs="Calibri"/>
        </w:rPr>
        <w:t xml:space="preserve">执行一遍 BASIC、两遍 ADVANCED，且只测试 TC 编号不大于 90 的测试（原示例条件为 &lt;= 90）：</w:t>
      </w:r>
    </w:p>
    <w:p>
      <w:pPr>
        <w:pStyle w:val="Code"/>
      </w:pPr>
      <w:r>
        <w:rPr>
          <w:rFonts w:ascii="Consolas" w:hAnsi="Consolas" w:eastAsia="Microsoft YaHei" w:cs="Consolas"/>
        </w:rPr>
        <w:t xml:space="preserve">python3 parallel_test_v2.py \</w:t>
      </w:r>
    </w:p>
    <w:p>
      <w:pPr>
        <w:pStyle w:val="Code"/>
      </w:pPr>
      <w:r>
        <w:rPr>
          <w:rFonts w:ascii="Consolas" w:hAnsi="Consolas" w:eastAsia="Microsoft YaHei" w:cs="Consolas"/>
        </w:rPr>
        <w:t xml:space="preserve">  --test="(BASIC+ADVANCED*2).filter(lambda t: t.tc_id &lt;= 90)"</w:t>
      </w:r>
    </w:p>
    <w:p>
      <w:pPr>
        <w:pStyle w:val="Heading3"/>
        <w:keepNext/>
      </w:pPr>
      <w:r>
        <w:rPr>
          <w:rFonts w:ascii="Calibri" w:hAnsi="Calibri" w:eastAsia="SimHei" w:cs="Calibri"/>
        </w:rPr>
        <w:t xml:space="preserve">7.2 测试集合</w:t>
      </w:r>
    </w:p>
    <w:tbl>
      <w:tblPr>
        <w:tblStyle w:val="TableGrid"/>
        <w:tblW w:w="5000" w:type="pct"/>
        <w:tblLayout w:type="fixed"/>
        <w:tblCellMar>
          <w:top w:w="60" w:type="dxa"/>
          <w:left w:w="90" w:type="dxa"/>
          <w:bottom w:w="60" w:type="dxa"/>
          <w:right w:w="90" w:type="dxa"/>
        </w:tblCellMar>
      </w:tblPr>
      <w:tblGrid>
        <w:gridCol w:w="2815"/>
        <w:gridCol w:w="3825"/>
        <w:gridCol w:w="2959"/>
      </w:tblGrid>
      <w:tr>
        <w:trPr>
          <w:cantSplit/>
          <w:tblHeader/>
        </w:trPr>
        <w:tc>
          <w:tcPr>
            <w:tcW w:w="281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矩阵名称</w:t>
            </w:r>
          </w:p>
        </w:tc>
        <w:tc>
          <w:tcPr>
            <w:tcW w:w="382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测试编号</w:t>
            </w:r>
          </w:p>
        </w:tc>
        <w:tc>
          <w:tcPr>
            <w:tcW w:w="295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概述</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BASIC</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TC1~64</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基本正确性测试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ADVANCED</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TC80~116</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更多正确性测试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FAULT_INJECTION</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TC47~49,117~119</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故障注入矩阵</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FAULT_Q</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TC151~159</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故障注入矩阵（增强）</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PERF_A</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TC120~129</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性能测试1</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PERF_B</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TC130~134</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性能测试2</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PERF_G</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TC135~140</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性能测试3</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PERF_R</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TC142~147</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仿应用访存模式的testcase</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PERF_M1</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TC131,142~147</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指标1测试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PERF_M2</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TC135~140,217, 142~147</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指标2测试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HA_EXT</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TC228~235</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指标3仿真测试</w:t>
            </w:r>
          </w:p>
        </w:tc>
      </w:tr>
    </w:tbl>
    <w:p>
      <w:pPr>
        <w:pStyle w:val="Heading2"/>
        <w:keepNext/>
      </w:pPr>
      <w:r>
        <w:rPr>
          <w:rFonts w:ascii="Calibri" w:hAnsi="Calibri" w:eastAsia="SimHei" w:cs="Calibri"/>
        </w:rPr>
        <w:t xml:space="preserve">8. 总结</w:t>
      </w:r>
    </w:p>
    <w:p>
      <w:pPr>
        <w:ind w:left="0" w:firstLine="420"/>
      </w:pPr>
      <w:r>
        <w:rPr>
          <w:rFonts w:ascii="Calibri" w:hAnsi="Calibri" w:eastAsia="Microsoft YaHei" w:cs="Calibri"/>
        </w:rPr>
        <w:t xml:space="preserve">在固定 256 KiB L3、五拓扑与三种压力的条件下，UBCC 的核心场景组和代表场景组在全部 15 个坐标均满足组均值低于 HA-VI。指标 1 包含 TC131 与 TC142–147 × 五拓扑 × P175/P200，合并容量及时延达到参考门槛，但 TC143/TC145 时延超限且扩展参考含估计来源，不作逐项全通过声明。指标 2 包含 TC135–140、TC217 与 TC142–147（service），两组分别报告。指标 3 包含 TC228–235。三项指标的完整范围及限定分别见第 3、4、5 章。</w:t>
      </w:r>
    </w:p>
    <w:p>
      <w:pPr>
        <w:pStyle w:val="Heading2"/>
        <w:keepNext/>
      </w:pPr>
      <w:r>
        <w:rPr>
          <w:rFonts w:ascii="Calibri" w:hAnsi="Calibri" w:eastAsia="SimHei" w:cs="Calibri"/>
        </w:rPr>
        <w:t xml:space="preserve">附录 A 指标口径</w:t>
      </w:r>
    </w:p>
    <w:p>
      <w:pPr>
        <w:ind w:left="0" w:firstLine="420"/>
      </w:pPr>
      <w:r>
        <w:rPr>
          <w:rFonts w:ascii="Calibri" w:hAnsi="Calibri" w:eastAsia="Microsoft YaHei" w:cs="Calibri"/>
        </w:rPr>
        <w:t xml:space="preserve">所有展示时延统一为 ns 或 ns/op。guest CNTVCT 计数按 counter_ticks × 10⁹ / 25,165,824 换算为 ns；业务路径再除以其操作数。2 GHz 处理器周期对应 0.5 ns；以 ps 记录的 gem5/Outer 时间除以 1,000 换算为 ns。</w:t>
      </w:r>
    </w:p>
    <w:tbl>
      <w:tblPr>
        <w:tblStyle w:val="TableGrid"/>
        <w:tblW w:w="5000" w:type="pct"/>
        <w:tblLayout w:type="fixed"/>
        <w:tblCellMar>
          <w:top w:w="60" w:type="dxa"/>
          <w:left w:w="90" w:type="dxa"/>
          <w:bottom w:w="60" w:type="dxa"/>
          <w:right w:w="90" w:type="dxa"/>
        </w:tblCellMar>
      </w:tblPr>
      <w:tblGrid>
        <w:gridCol w:w="2913"/>
        <w:gridCol w:w="6686"/>
      </w:tblGrid>
      <w:tr>
        <w:trPr>
          <w:cantSplit/>
          <w:tblHeader/>
        </w:trPr>
        <w:tc>
          <w:tcPr>
            <w:tcW w:w="291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指标</w:t>
            </w:r>
          </w:p>
        </w:tc>
        <w:tc>
          <w:tcPr>
            <w:tcW w:w="668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计算方式</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1 容量比</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spill 等效追踪容量 / naive 等效追踪容量（spill 为 512K 容量约束角色）</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1 时延差</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已完成 Outer 事件的 spill-512K 均值 - spill-IdealDir 均值</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2 case 降幅</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(naive - compared) / naive × 100%；TC135–140/TC217 的 compared 为 optimized，TC142–147 service 为 spill-noopt</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2 聚合</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适用 case 降幅的等权平均</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3 delta</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HA-VI 平均时延 - UBCC 平均时延</w:t>
            </w:r>
          </w:p>
        </w:tc>
      </w:tr>
      <w:tr>
        <w:trPr>
          <w:cantSplit/>
        </w:trPr>
        <w:tc>
          <w:tcPr>
            <w:tcW w:w="2913" w:type="dxa"/>
          </w:tcPr>
          <w:p>
            <w:pPr>
              <w:pStyle w:val="TableText"/>
              <w:jc w:val="left"/>
              <w:wordWrap w:val="0"/>
              <w:spacing w:before="0" w:after="0" w:line="320" w:lineRule="exact"/>
            </w:pPr>
            <w:r>
              <w:rPr>
                <w:rFonts w:ascii="Calibri" w:hAnsi="Calibri" w:eastAsia="Microsoft YaHei" w:cs="Calibri"/>
                <w:sz w:val="18"/>
                <w:szCs w:val="18"/>
              </w:rPr>
              <w:t xml:space="preserve">指标 3 通过</w:t>
            </w:r>
          </w:p>
        </w:tc>
        <w:tc>
          <w:tcPr>
            <w:tcW w:w="6686" w:type="dxa"/>
          </w:tcPr>
          <w:p>
            <w:pPr>
              <w:pStyle w:val="TableText"/>
              <w:jc w:val="left"/>
              <w:wordWrap w:val="0"/>
              <w:spacing w:before="0" w:after="0" w:line="320" w:lineRule="exact"/>
            </w:pPr>
            <w:r>
              <w:rPr>
                <w:rFonts w:ascii="Calibri" w:hAnsi="Calibri" w:eastAsia="Microsoft YaHei" w:cs="Calibri"/>
                <w:sz w:val="18"/>
                <w:szCs w:val="18"/>
              </w:rPr>
              <w:t xml:space="preserve">核心场景组和代表场景组的 delta 均严格大于 0</w:t>
            </w:r>
          </w:p>
        </w:tc>
      </w:tr>
    </w:tbl>
    <w:p>
      <w:pPr>
        <w:pStyle w:val="Heading2"/>
        <w:keepNext/>
      </w:pPr>
      <w:r>
        <w:rPr>
          <w:rFonts w:ascii="Calibri" w:hAnsi="Calibri" w:eastAsia="SimHei" w:cs="Calibri"/>
        </w:rPr>
        <w:t xml:space="preserve">附录 B TC120-TC140、TC142-TC147 与 TC217 场景明细</w:t>
      </w:r>
    </w:p>
    <w:p>
      <w:pPr>
        <w:pStyle w:val="Heading3"/>
        <w:keepNext/>
      </w:pPr>
      <w:r>
        <w:rPr>
          <w:rFonts w:ascii="Calibri" w:hAnsi="Calibri" w:eastAsia="SimHei" w:cs="Calibri"/>
        </w:rPr>
        <w:t xml:space="preserve">B.1 TC120-TC129</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初始化，node1 读热点，node2 更新；12 lines，6 hot</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12-line populate → 24 shared reads → owner migration → reread</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写流，node1 抽样读；64 条低复用线</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64-line cold stream → 每 4 条抽样 → 完成</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施压，node1 首读，node2 重用；24 hot + 128 cold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24 hot share → 128 cold pressure → 24 hot reread</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3N1S；node1/node2 共享，node1 升级，node2 验证；16 hot + 96 cold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init → share → 96-line pressure → periodic upgrades → verify</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3N1S；owner=node2、Home=node1、requester=node0；32 lines，三方分离</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owner 写 32 lines → requester 读 32 lines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seed，node1/node2 share，node1 onload；目标行 + 2 conflict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V0 → share → spill → read onload → V1 write → final read</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在 fill 后升级，node2 终读；目标行 + 2 conflict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share → spill → waiter/fill → Upgrade replay → verify</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dirty owner，node1/node2 读取；dirty target + conflict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dirty seed → pressure → flush/writeback → onload → reads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4147" w:type="dxa"/>
          </w:tcPr>
          <w:p>
            <w:pPr>
              <w:pStyle w:val="TableText"/>
              <w:jc w:val="left"/>
              <w:wordWrap w:val="0"/>
              <w:spacing w:before="0" w:after="0" w:line="320" w:lineRule="exact"/>
            </w:pPr>
            <w:r>
              <w:rPr>
                <w:rFonts w:ascii="Calibri" w:hAnsi="Calibri" w:eastAsia="Microsoft YaHei" w:cs="Calibri"/>
                <w:sz w:val="16"/>
                <w:szCs w:val="16"/>
              </w:rPr>
              <w:t xml:space="preserve">3N1S；三节点共享，node1 clean evict 后重访；shared target + conflict lines</w:t>
            </w:r>
          </w:p>
        </w:tc>
        <w:tc>
          <w:tcPr>
            <w:tcW w:w="4147" w:type="dxa"/>
          </w:tcPr>
          <w:p>
            <w:pPr>
              <w:pStyle w:val="TableText"/>
              <w:jc w:val="left"/>
              <w:wordWrap w:val="0"/>
              <w:spacing w:before="0" w:after="0" w:line="320" w:lineRule="exact"/>
            </w:pPr>
            <w:r>
              <w:rPr>
                <w:rFonts w:ascii="Calibri" w:hAnsi="Calibri" w:eastAsia="Microsoft YaHei" w:cs="Calibri"/>
                <w:sz w:val="16"/>
                <w:szCs w:val="16"/>
              </w:rPr>
              <w:t xml:space="preserve">share → drain → pressure → clean evict → onload/revisit</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更新，node2 二次 onload，node0 终读；同一行两轮生命周期</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V0 → spill/fill 1 → V1 ownership → spill/fill 2 → read</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1367"/>
        <w:gridCol w:w="3996"/>
        <w:gridCol w:w="4235"/>
      </w:tblGrid>
      <w:tr>
        <w:trPr>
          <w:cantSplit/>
          <w:tblHeader/>
        </w:trPr>
        <w:tc>
          <w:tcPr>
            <w:tcW w:w="136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399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423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24-op shared-hot timer及场景完成</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mixed read/write、共享读和所有权迁移</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workload_total</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冷流溢出下三 profile 完成</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hot reuse 完成及 workload_total</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压力后共享热点保持</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verify_upgrade 后发布</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shared-to-writer 升级收敛</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32 次读取完成</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数据源、Home、请求者分离时收敛</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fill 完成且 node0 读回 V1</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shared metadata offload/onload</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Upgrade 单次提交且终值匹配</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waiter 保持 Upgrade 语义</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WB 持久化、fill、两次读完成</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dirty writeback 与元数据恢复</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fill 后 node1 重读正确</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clean/shared 元数据恢复</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两轮 fill 且 node2/node0 读回 V1</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重复 spill/fill 与所有权迁移</w:t>
            </w:r>
          </w:p>
        </w:tc>
      </w:tr>
    </w:tbl>
    <w:p>
      <w:pPr>
        <w:ind w:left="0" w:firstLine="420"/>
      </w:pPr>
      <w:r>
        <w:rPr>
          <w:rFonts w:ascii="Calibri" w:hAnsi="Calibri" w:eastAsia="Microsoft YaHei" w:cs="Calibri"/>
        </w:rPr>
        <w:t xml:space="preserve">TC120 仅保留完整场景相对值；TC125-TC129 的绝对计时对应 spill 路径，不构造缺少语义匹配对照的降幅。计时明细见 B.4、B.5。</w:t>
      </w:r>
    </w:p>
    <w:p>
      <w:pPr>
        <w:pStyle w:val="Heading3"/>
        <w:keepNext/>
      </w:pPr>
      <w:r>
        <w:rPr>
          <w:rFonts w:ascii="Calibri" w:hAnsi="Calibri" w:eastAsia="SimHei" w:cs="Calibri"/>
        </w:rPr>
        <w:t xml:space="preserve">B.2 TC130-TC140</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TC130</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seed/pressure，其他节点复用；24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24 hot → 192 pressure → 4×24 reuse</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8N1S；node0 Home，node1/2 scan/reuse，node1 upgrade；102,400 目标线；512K/IdealDir 角色</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4096 hot → 98304 pressure → 8192 reuse → 256 upgrades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TC132</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dirty seed，node0 pressure，node2 recover；8192 active + 65536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8192 seed → 65536 writes → 8192 reads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8N1S；node0 seed/pressure，7 个 reader；4096 hot + 65536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4096 share → 65536 pressure → 4096 reuse</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8N2S；16 planes，socket0 pressure、socket1 reuse；16-plane sliding window</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 → 每 socket0 8192 writes → window reuse</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TC135</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preserved sharer；24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 → pressure → 24 first loads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TC136</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dirty owner，node2 验证；24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dirty seed → pressure → 24 owner stores → reads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TC137</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先 share，node2 新 requester；24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 → pressure → 24 new loads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TC138</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dirty owner，node2 新 writer；24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dirty seed → pressure → 24 handoff stores → verify</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TC139</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mixed executor，node2 验证；16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seed/share/owner → pressure → 16×16 mixed ops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TC140</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两个 L2 cluster，node2 verifier；24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setup → 24 cross-L2 stores → verify</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1325"/>
        <w:gridCol w:w="4250"/>
        <w:gridCol w:w="4025"/>
      </w:tblGrid>
      <w:tr>
        <w:trPr>
          <w:cantSplit/>
          <w:tblHeader/>
        </w:trPr>
        <w:tc>
          <w:tcPr>
            <w:tcW w:w="132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2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402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TC130</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96-op hot reuse；另报 scenario total</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溢出后保留热点副本</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去重容量、已完成 Outer、guest phases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1.515× 容量及 spill 成本隔离</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TC132</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checkpoint-recover 8192 ops；scenario total</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dirty metadata/data 恢复</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4250" w:type="dxa"/>
          </w:tcPr>
          <w:p>
            <w:pPr>
              <w:pStyle w:val="TableText"/>
              <w:jc w:val="left"/>
              <w:wordWrap w:val="0"/>
              <w:spacing w:before="0" w:after="0" w:line="320" w:lineRule="exact"/>
            </w:pPr>
            <w:r>
              <w:rPr>
                <w:rFonts w:ascii="Calibri" w:hAnsi="Calibri" w:eastAsia="Microsoft YaHei" w:cs="Calibri"/>
                <w:sz w:val="16"/>
                <w:szCs w:val="16"/>
              </w:rPr>
              <w:t xml:space="preserve">frontier-reuse 4096 ops；scenario total</w:t>
            </w:r>
          </w:p>
        </w:tc>
        <w:tc>
          <w:tcPr>
            <w:tcW w:w="4025" w:type="dxa"/>
          </w:tcPr>
          <w:p>
            <w:pPr>
              <w:pStyle w:val="TableText"/>
              <w:jc w:val="left"/>
              <w:wordWrap w:val="0"/>
              <w:spacing w:before="0" w:after="0" w:line="320" w:lineRule="exact"/>
            </w:pPr>
            <w:r>
              <w:rPr>
                <w:rFonts w:ascii="Calibri" w:hAnsi="Calibri" w:eastAsia="Microsoft YaHei" w:cs="Calibri"/>
                <w:sz w:val="16"/>
                <w:szCs w:val="16"/>
              </w:rPr>
              <w:t xml:space="preserve">8 节点共享 frontier 复用</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window-reuse 4096 ops；scenario total</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8N2S 容量与跨 socket 复用</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TC135</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first-revisit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preserved sharer 快速重访</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TC136</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store-complete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preserved owner 重复写入</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TC137</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first-load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spilled shared metadata 服务新请求者</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TC138</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handoff store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dirty owner handoff 及其成本</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TC139</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16 个 16-op batch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shared/owner 状态批量复用</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TC140</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store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低时延 cross-L2 控制场景</w:t>
            </w:r>
          </w:p>
        </w:tc>
      </w:tr>
    </w:tbl>
    <w:p>
      <w:pPr>
        <w:pStyle w:val="Heading3"/>
        <w:keepNext/>
      </w:pPr>
      <w:r>
        <w:rPr>
          <w:rFonts w:ascii="Calibri" w:hAnsi="Calibri" w:eastAsia="SimHei" w:cs="Calibri"/>
        </w:rPr>
        <w:t xml:space="preserve">B.3 TC142-TC147 与 TC217</w:t>
      </w:r>
    </w:p>
    <w:p>
      <w:pPr>
        <w:ind w:left="0" w:firstLine="420"/>
      </w:pPr>
      <w:r>
        <w:rPr>
          <w:rFonts w:ascii="Calibri" w:hAnsi="Calibri" w:eastAsia="Microsoft YaHei" w:cs="Calibri"/>
        </w:rPr>
        <w:t xml:space="preserve">以下保留原 DOCX 的 16N1S 应用场景定义和完整完成边界；指标 1 的五拓扑、两压力实例按 §2.3/§3.6 展开，指标 2 则取 §2.4/§4.6 定义的 service 阶段，不将表中 end-to-end 直接作为 service。</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OLTP plane，Home0；每 plane 32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seed → pressure → 32×(28 reads+4 updates)</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B-tree shard；每 plane 137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root/internal/leaf/record traversal + sparse update</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WAL/data plane；每 plane 192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WAL store → data store → checkpoint verify</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FaaS plane；每 plane 136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warm runtime/tenant → package pressure → invocations</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graph plane；每 plane 192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6"/>
                <w:szCs w:val="16"/>
              </w:rPr>
              <w:t xml:space="preserve">frontier/adjacency/property expansion + sparse writes</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TC147</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feature-store plane；每 plane 136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embedding lookup → pressure → accumulator updates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TC217</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2N1S；node0 catalog，node1 batch executor；16 keys + 640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 → 每批 80 pressure + 14 reads + 2 updates，共 8 批</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1390"/>
        <w:gridCol w:w="4598"/>
        <w:gridCol w:w="3611"/>
      </w:tblGrid>
      <w:tr>
        <w:trPr>
          <w:cantSplit/>
          <w:tblHeader/>
        </w:trPr>
        <w:tc>
          <w:tcPr>
            <w:tcW w:w="139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59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361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1,024-op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OLTP buffer-pool 读写混合扩展</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层次共享读取与写升级</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1,024 stores，WAL/data 成对完成</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有序脏写与 checkpoint 语义</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warm-container 热状态复用</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图共享前沿与属性更新</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TC147</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高偏斜 lookup 与稀疏更新</w:t>
            </w:r>
          </w:p>
        </w:tc>
      </w:tr>
      <w:tr>
        <w:trPr>
          <w:cantSplit/>
        </w:trPr>
        <w:tc>
          <w:tcPr>
            <w:tcW w:w="1390" w:type="dxa"/>
          </w:tcPr>
          <w:p>
            <w:pPr>
              <w:pStyle w:val="TableText"/>
              <w:jc w:val="left"/>
              <w:wordWrap w:val="0"/>
              <w:spacing w:before="0" w:after="0" w:line="320" w:lineRule="exact"/>
            </w:pPr>
            <w:r>
              <w:rPr>
                <w:rFonts w:ascii="Calibri" w:hAnsi="Calibri" w:eastAsia="Microsoft YaHei" w:cs="Calibri"/>
                <w:sz w:val="18"/>
                <w:szCs w:val="18"/>
              </w:rPr>
              <w:t xml:space="preserve">TC217</w:t>
            </w:r>
          </w:p>
        </w:tc>
        <w:tc>
          <w:tcPr>
            <w:tcW w:w="4598" w:type="dxa"/>
          </w:tcPr>
          <w:p>
            <w:pPr>
              <w:pStyle w:val="TableText"/>
              <w:jc w:val="left"/>
              <w:wordWrap w:val="0"/>
              <w:spacing w:before="0" w:after="0" w:line="320" w:lineRule="exact"/>
            </w:pPr>
            <w:r>
              <w:rPr>
                <w:rFonts w:ascii="Calibri" w:hAnsi="Calibri" w:eastAsia="Microsoft YaHei" w:cs="Calibri"/>
                <w:sz w:val="18"/>
                <w:szCs w:val="18"/>
              </w:rPr>
              <w:t xml:space="preserve">16-op catalog batch</w:t>
            </w:r>
          </w:p>
        </w:tc>
        <w:tc>
          <w:tcPr>
            <w:tcW w:w="3611" w:type="dxa"/>
          </w:tcPr>
          <w:p>
            <w:pPr>
              <w:pStyle w:val="TableText"/>
              <w:jc w:val="left"/>
              <w:wordWrap w:val="0"/>
              <w:spacing w:before="0" w:after="0" w:line="320" w:lineRule="exact"/>
            </w:pPr>
            <w:r>
              <w:rPr>
                <w:rFonts w:ascii="Calibri" w:hAnsi="Calibri" w:eastAsia="Microsoft YaHei" w:cs="Calibri"/>
                <w:sz w:val="18"/>
                <w:szCs w:val="18"/>
              </w:rPr>
              <w:t xml:space="preserve">read-mostly catalog 容量收益</w:t>
            </w:r>
          </w:p>
        </w:tc>
      </w:tr>
    </w:tbl>
    <w:p>
      <w:pPr>
        <w:pStyle w:val="Heading3"/>
        <w:keepNext/>
      </w:pPr>
      <w:r>
        <w:rPr>
          <w:rFonts w:ascii="Calibri" w:hAnsi="Calibri" w:eastAsia="SimHei" w:cs="Calibri"/>
        </w:rPr>
        <w:t xml:space="preserve">B.4 完整场景总耗时</w:t>
      </w:r>
    </w:p>
    <w:p>
      <w:pPr>
        <w:ind w:left="0" w:firstLine="420"/>
      </w:pPr>
      <w:r>
        <w:rPr>
          <w:rFonts w:ascii="Calibri" w:hAnsi="Calibri" w:eastAsia="Microsoft YaHei" w:cs="Calibri"/>
        </w:rPr>
        <w:t xml:space="preserve">以下为完整场景的平均总耗时，单位为 ns/场景。</w:t>
      </w:r>
    </w:p>
    <w:tbl>
      <w:tblPr>
        <w:tblStyle w:val="TableGrid"/>
        <w:tblW w:w="5000" w:type="pct"/>
        <w:tblLayout w:type="fixed"/>
        <w:tblCellMar>
          <w:top w:w="60" w:type="dxa"/>
          <w:left w:w="90" w:type="dxa"/>
          <w:bottom w:w="60" w:type="dxa"/>
          <w:right w:w="90" w:type="dxa"/>
        </w:tblCellMar>
      </w:tblPr>
      <w:tblGrid>
        <w:gridCol w:w="1427"/>
        <w:gridCol w:w="2464"/>
        <w:gridCol w:w="2983"/>
        <w:gridCol w:w="2724"/>
      </w:tblGrid>
      <w:tr>
        <w:trPr>
          <w:cantSplit/>
          <w:tblHeader/>
        </w:trPr>
        <w:tc>
          <w:tcPr>
            <w:tcW w:w="142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246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naive（ns/场景）</w:t>
            </w:r>
          </w:p>
        </w:tc>
        <w:tc>
          <w:tcPr>
            <w:tcW w:w="29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spill-noopt（ns/场景）</w:t>
            </w:r>
          </w:p>
        </w:tc>
        <w:tc>
          <w:tcPr>
            <w:tcW w:w="272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optimized（ns/场景）</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1,158,210.834</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1,148,290.237</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1,148,329.973</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1,003,954.013</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1,004,152.695</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1,004,007.260</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1,157,296.896</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1,157,323.519</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1,157,389.879</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597,304.900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597,569.545</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597,331.127</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TC130</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1,534,488.599</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1,284,745.137</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1,284,665.664</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95,411,181.450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96,129,920.880</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96,135,099.729</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TC132</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55,368,489.822</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56,854,658.524</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56,854,724.884</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28,827,483.654</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29,251,605.272</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29,247,760.773</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37,054,702.838</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29,517,439.604</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29,507,932.663</w:t>
            </w:r>
          </w:p>
        </w:tc>
      </w:tr>
    </w:tbl>
    <w:p>
      <w:pPr>
        <w:pStyle w:val="Heading3"/>
        <w:keepNext/>
      </w:pPr>
      <w:r>
        <w:rPr>
          <w:rFonts w:ascii="Calibri" w:hAnsi="Calibri" w:eastAsia="SimHei" w:cs="Calibri"/>
        </w:rPr>
        <w:t xml:space="preserve">B.5 容量机制路径绝对计时</w:t>
      </w:r>
    </w:p>
    <w:p>
      <w:pPr>
        <w:ind w:left="0" w:firstLine="420"/>
      </w:pPr>
      <w:r>
        <w:rPr>
          <w:rFonts w:ascii="Calibri" w:hAnsi="Calibri" w:eastAsia="Microsoft YaHei" w:cs="Calibri"/>
        </w:rPr>
        <w:t xml:space="preserve">以下路径计时不与完整场景总耗时混合。未标明 profile 配对的保留路径值仅用于说明绝对服务成本。</w:t>
      </w:r>
    </w:p>
    <w:tbl>
      <w:tblPr>
        <w:tblStyle w:val="TableGrid"/>
        <w:tblW w:w="5000" w:type="pct"/>
        <w:tblLayout w:type="fixed"/>
        <w:tblCellMar>
          <w:top w:w="60" w:type="dxa"/>
          <w:left w:w="90" w:type="dxa"/>
          <w:bottom w:w="60" w:type="dxa"/>
          <w:right w:w="90" w:type="dxa"/>
        </w:tblCellMar>
      </w:tblPr>
      <w:tblGrid>
        <w:gridCol w:w="2130"/>
        <w:gridCol w:w="4351"/>
        <w:gridCol w:w="3117"/>
      </w:tblGrid>
      <w:tr>
        <w:trPr>
          <w:cantSplit/>
          <w:tblHeader/>
        </w:trPr>
        <w:tc>
          <w:tcPr>
            <w:tcW w:w="213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435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路径</w:t>
            </w:r>
          </w:p>
        </w:tc>
        <w:tc>
          <w:tcPr>
            <w:tcW w:w="311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时延（ns/op）</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共享热点读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1,389.119</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冷流读取</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13,853.113</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热点重用</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2,905.726</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热点共享</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2,963.675</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节点 1 共享读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3,012.518</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节点 2 共享读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3,064.672</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两节点等权均值</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3,038.595</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请求者读取</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3,781.170</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读换入</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317.891</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升级写入</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2,026.558</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写回刷新（按 16K 行折算）</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150.360</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验证读取</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2,543.132</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V0 换入读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2,423.922</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V1 换入读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3,139.178</w:t>
            </w:r>
          </w:p>
        </w:tc>
      </w:tr>
    </w:tbl>
    <w:p>
      <w:pPr>
        <w:ind w:left="0" w:firstLine="420"/>
      </w:pPr>
      <w:r>
        <w:rPr>
          <w:rFonts w:ascii="Calibri" w:hAnsi="Calibri" w:eastAsia="Microsoft YaHei" w:cs="Calibri"/>
        </w:rPr>
        <w:t xml:space="preserve">TC127 的写回刷新按行折算为 </w:t>
      </w:r>
      <w:r>
        <w:rPr>
          <w:rFonts w:ascii="Calibri" w:hAnsi="Calibri" w:eastAsia="Microsoft YaHei" w:cs="Calibri"/>
          <w:b/>
        </w:rPr>
        <w:t xml:space="preserve">150.360 ns/op</w:t>
      </w:r>
      <w:r>
        <w:rPr>
          <w:rFonts w:ascii="Calibri" w:hAnsi="Calibri" w:eastAsia="Microsoft YaHei" w:cs="Calibri"/>
        </w:rPr>
        <w:t xml:space="preserve">。该 flush 覆盖 16K = 16,384 行，按 2,463,499.705 / 16,384 = 150.359601... ns/op 换算；此处一次 op 指刷新一行，而非一次完整 flush。</w:t>
      </w:r>
    </w:p>
    <w:p>
      <w:pPr>
        <w:pStyle w:val="Heading2"/>
        <w:keepNext/>
      </w:pPr>
      <w:r>
        <w:rPr>
          <w:rFonts w:ascii="Calibri" w:hAnsi="Calibri" w:eastAsia="SimHei" w:cs="Calibri"/>
        </w:rPr>
        <w:t xml:space="preserve">附录 C TC228-TC235 场景明细</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441"/>
        <w:gridCol w:w="4870"/>
        <w:gridCol w:w="3287"/>
      </w:tblGrid>
      <w:tr>
        <w:trPr>
          <w:cantSplit/>
          <w:tblHeader/>
        </w:trPr>
        <w:tc>
          <w:tcPr>
            <w:tcW w:w="144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87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328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TC228</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五拓扑；请求者、Home、数据源；256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请求 → 数据源回收 → 返回 → 授权</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TC229</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五拓扑；旧 owner 与新 owner；256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回收 → 最新数据 → 新权限</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TC230</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五拓扑；共享者与新写者；256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失效 → Ack 收敛 → 授权</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TC231</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五拓扑；干净共享者；256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建立共享 → 压力 → 重读</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TC232</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五拓扑；热点读写参与者；256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读写分别计时，固定 2:1 合成</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TC233</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五拓扑；生产者与消费者；256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发布 → 读取 → 服务完成</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TC234</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五拓扑；token 参与者；256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排队 → 写入 → 有序观察</w:t>
            </w:r>
          </w:p>
        </w:tc>
      </w:tr>
      <w:tr>
        <w:trPr>
          <w:cantSplit/>
        </w:trPr>
        <w:tc>
          <w:tcPr>
            <w:tcW w:w="1441" w:type="dxa"/>
          </w:tcPr>
          <w:p>
            <w:pPr>
              <w:pStyle w:val="TableText"/>
              <w:jc w:val="left"/>
              <w:wordWrap w:val="0"/>
              <w:spacing w:before="0" w:after="0" w:line="320" w:lineRule="exact"/>
            </w:pPr>
            <w:r>
              <w:rPr>
                <w:rFonts w:ascii="Calibri" w:hAnsi="Calibri" w:eastAsia="Microsoft YaHei" w:cs="Calibri"/>
                <w:sz w:val="18"/>
                <w:szCs w:val="18"/>
              </w:rPr>
              <w:t xml:space="preserve">TC235</w:t>
            </w:r>
          </w:p>
        </w:tc>
        <w:tc>
          <w:tcPr>
            <w:tcW w:w="4870" w:type="dxa"/>
          </w:tcPr>
          <w:p>
            <w:pPr>
              <w:pStyle w:val="TableText"/>
              <w:jc w:val="left"/>
              <w:wordWrap w:val="0"/>
              <w:spacing w:before="0" w:after="0" w:line="320" w:lineRule="exact"/>
            </w:pPr>
            <w:r>
              <w:rPr>
                <w:rFonts w:ascii="Calibri" w:hAnsi="Calibri" w:eastAsia="Microsoft YaHei" w:cs="Calibri"/>
                <w:sz w:val="18"/>
                <w:szCs w:val="18"/>
              </w:rPr>
              <w:t xml:space="preserve">五拓扑；catalog／KV 参与者；256 KiB；三压力</w:t>
            </w:r>
          </w:p>
        </w:tc>
        <w:tc>
          <w:tcPr>
            <w:tcW w:w="3287" w:type="dxa"/>
          </w:tcPr>
          <w:p>
            <w:pPr>
              <w:pStyle w:val="TableText"/>
              <w:jc w:val="left"/>
              <w:wordWrap w:val="0"/>
              <w:spacing w:before="0" w:after="0" w:line="320" w:lineRule="exact"/>
            </w:pPr>
            <w:r>
              <w:rPr>
                <w:rFonts w:ascii="Calibri" w:hAnsi="Calibri" w:eastAsia="Microsoft YaHei" w:cs="Calibri"/>
                <w:sz w:val="18"/>
                <w:szCs w:val="18"/>
              </w:rPr>
              <w:t xml:space="preserve">查询更新 → 批次同步 → 完成</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2562"/>
        <w:gridCol w:w="4475"/>
        <w:gridCol w:w="2562"/>
      </w:tblGrid>
      <w:tr>
        <w:trPr>
          <w:cantSplit/>
          <w:tblHeader/>
        </w:trPr>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4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TC228</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数据与共享授权可见</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共享读</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TC229</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数据与独占权限可见</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所有权迁移</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TC230</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全部目标确认且建立单写者</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共享转写者</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TC231</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共享读服务</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共享控制路径</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TC232</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复合主值计一次权重</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热点读写</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TC233</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服务主值；load 辅助</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发布—消费</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TC234</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端到端／交接次数</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有序交接</w:t>
            </w:r>
          </w:p>
        </w:tc>
      </w:tr>
      <w:tr>
        <w:trPr>
          <w:cantSplit/>
        </w:trPr>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TC235</w:t>
            </w:r>
          </w:p>
        </w:tc>
        <w:tc>
          <w:tcPr>
            <w:tcW w:w="4475" w:type="dxa"/>
          </w:tcPr>
          <w:p>
            <w:pPr>
              <w:pStyle w:val="TableText"/>
              <w:jc w:val="left"/>
              <w:wordWrap w:val="0"/>
              <w:spacing w:before="0" w:after="0" w:line="320" w:lineRule="exact"/>
            </w:pPr>
            <w:r>
              <w:rPr>
                <w:rFonts w:ascii="Calibri" w:hAnsi="Calibri" w:eastAsia="Microsoft YaHei" w:cs="Calibri"/>
                <w:sz w:val="18"/>
                <w:szCs w:val="18"/>
              </w:rPr>
              <w:t xml:space="preserve">最大归一化端到端时延</w:t>
            </w:r>
          </w:p>
        </w:tc>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批处理</w:t>
            </w:r>
          </w:p>
        </w:tc>
      </w:tr>
    </w:tbl>
    <w:p>
      <w:pPr>
        <w:pStyle w:val="Heading2"/>
        <w:keepNext/>
      </w:pPr>
      <w:r>
        <w:rPr>
          <w:rFonts w:ascii="Calibri" w:hAnsi="Calibri" w:eastAsia="SimHei" w:cs="Calibri"/>
        </w:rPr>
        <w:t xml:space="preserve">附录 D 四拓扑扩展性数据</w:t>
      </w:r>
    </w:p>
    <w:p>
      <w:pPr>
        <w:ind w:left="0" w:firstLine="420"/>
      </w:pPr>
      <w:r>
        <w:rPr>
          <w:rFonts w:ascii="Calibri" w:hAnsi="Calibri" w:eastAsia="Microsoft YaHei" w:cs="Calibri"/>
        </w:rPr>
        <w:t xml:space="preserve">TC142-TC147 的独立 spill-noopt 扩展矩阵覆盖 3N1S、3N2S、8N1S、8N2S，24/24 场景完成。服务阶段与完整端到端时延分别列示，均为 ns/op。</w:t>
      </w:r>
    </w:p>
    <w:p>
      <w:pPr>
        <w:pStyle w:val="Heading3"/>
        <w:keepNext/>
      </w:pPr>
      <w:r>
        <w:rPr>
          <w:rFonts w:ascii="Calibri" w:hAnsi="Calibri" w:eastAsia="SimHei" w:cs="Calibri"/>
        </w:rPr>
        <w:t xml:space="preserve">D.1 服务阶段</w:t>
      </w:r>
    </w:p>
    <w:tbl>
      <w:tblPr>
        <w:tblStyle w:val="TableGrid"/>
        <w:tblW w:w="5000" w:type="pct"/>
        <w:tblLayout w:type="fixed"/>
        <w:tblCellMar>
          <w:top w:w="60" w:type="dxa"/>
          <w:left w:w="90" w:type="dxa"/>
          <w:bottom w:w="60" w:type="dxa"/>
          <w:right w:w="90" w:type="dxa"/>
        </w:tblCellMar>
      </w:tblPr>
      <w:tblGrid>
        <w:gridCol w:w="1920"/>
        <w:gridCol w:w="1920"/>
        <w:gridCol w:w="1920"/>
        <w:gridCol w:w="1920"/>
        <w:gridCol w:w="1920"/>
      </w:tblGrid>
      <w:tr>
        <w:trPr>
          <w:cantSplit/>
          <w:tblHeader/>
        </w:trPr>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3N1S</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3N2S</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8N1S</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8N2S</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269.27</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271.75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271.70</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271.61</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185.98</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188.43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188.45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188.42</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248.07</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249.31</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249.58</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248.88</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259.93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262.31</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262.35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262.29</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198.25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200.73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200.30</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200.50</w:t>
            </w:r>
          </w:p>
        </w:tc>
      </w:tr>
      <w:tr>
        <w:trPr>
          <w:cantSplit/>
        </w:trPr>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TC147</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243.70</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246.14</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246.18</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246.13</w:t>
            </w:r>
          </w:p>
        </w:tc>
      </w:tr>
    </w:tbl>
    <w:p>
      <w:pPr>
        <w:pStyle w:val="Heading3"/>
        <w:keepNext/>
      </w:pPr>
      <w:r>
        <w:rPr>
          <w:rFonts w:ascii="Calibri" w:hAnsi="Calibri" w:eastAsia="SimHei" w:cs="Calibri"/>
        </w:rPr>
        <w:t xml:space="preserve">D.2 完整端到端</w:t>
      </w:r>
    </w:p>
    <w:tbl>
      <w:tblPr>
        <w:tblStyle w:val="TableGrid"/>
        <w:tblW w:w="5000" w:type="pct"/>
        <w:tblLayout w:type="fixed"/>
        <w:tblCellMar>
          <w:top w:w="60" w:type="dxa"/>
          <w:left w:w="90" w:type="dxa"/>
          <w:bottom w:w="60" w:type="dxa"/>
          <w:right w:w="90" w:type="dxa"/>
        </w:tblCellMar>
      </w:tblPr>
      <w:tblGrid>
        <w:gridCol w:w="1557"/>
        <w:gridCol w:w="2010"/>
        <w:gridCol w:w="2010"/>
        <w:gridCol w:w="2010"/>
        <w:gridCol w:w="2010"/>
      </w:tblGrid>
      <w:tr>
        <w:trPr>
          <w:cantSplit/>
          <w:tblHeader/>
        </w:trPr>
        <w:tc>
          <w:tcPr>
            <w:tcW w:w="155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3N1S</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3N2S</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8N1S</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8N2S</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13,476.17</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13,240.20</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13,164.08</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13,112.36</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6,795.73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6,675.43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6,635.93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6,609.07</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13,471.54</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13,224.06</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13,144.61</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13,091.06</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6,869.90</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6,749.21</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6,709.87</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6,682.98</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6,809.79</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6,688.11</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6,647.99</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6,621.61</w:t>
            </w:r>
          </w:p>
        </w:tc>
      </w:tr>
      <w:tr>
        <w:trPr>
          <w:cantSplit/>
        </w:trPr>
        <w:tc>
          <w:tcPr>
            <w:tcW w:w="1557" w:type="dxa"/>
          </w:tcPr>
          <w:p>
            <w:pPr>
              <w:pStyle w:val="TableText"/>
              <w:jc w:val="left"/>
              <w:wordWrap w:val="0"/>
              <w:spacing w:before="0" w:after="0" w:line="320" w:lineRule="exact"/>
            </w:pPr>
            <w:r>
              <w:rPr>
                <w:rFonts w:ascii="Calibri" w:hAnsi="Calibri" w:eastAsia="Microsoft YaHei" w:cs="Calibri"/>
                <w:sz w:val="18"/>
                <w:szCs w:val="18"/>
              </w:rPr>
              <w:t xml:space="preserve">TC147</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6,853.80</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6,733.15</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6,693.94</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6,666.93</w:t>
            </w:r>
          </w:p>
        </w:tc>
      </w:tr>
    </w:tbl>
    <w:p>
      <w:pPr>
        <w:ind w:left="0" w:firstLine="420"/>
      </w:pPr>
      <w:r>
        <w:rPr>
          <w:rFonts w:ascii="Calibri" w:hAnsi="Calibri" w:eastAsia="Microsoft YaHei" w:cs="Calibri"/>
        </w:rPr>
        <w:t xml:space="preserve">从 3 个 active planes 扩展到 16 个 active planes 时，各 testcase 的 mean plane service 时延保持在相近范围；该表报告绝对扩展性，不与 16N1S profile 对照表混合计算百分比。</w:t>
      </w:r>
    </w:p>
    <w:p>
      <w:pPr>
        <w:ind w:left="0" w:firstLine="420"/>
      </w:pPr>
      <w:r>
        <w:rPr>
          <w:rFonts w:ascii="Calibri" w:hAnsi="Calibri" w:eastAsia="Microsoft YaHei" w:cs="Calibri"/>
        </w:rPr>
        <w:t xml:space="preserve">完整 episode 降幅（naive 与 spill-noopt，3N1S/8N1S/16N1S 等权、两档压力等权）为：TC142 6.336%、TC143 12.206%、TC144 8.063%、TC145 7.565%、TC146 12.092%、TC147 8.032%。该量包含逐批压力写入与屏障，反映容量压力与业务共同推进的整体成本；正文指标 2 采用服务阶段时延。</w:t>
      </w:r>
    </w:p>
    <w:p>
      <w:pPr>
        <w:pStyle w:val="Heading2"/>
        <w:keepNext/>
      </w:pPr>
      <w:r>
        <w:rPr>
          <w:rFonts w:ascii="Calibri" w:hAnsi="Calibri" w:eastAsia="SimHei" w:cs="Calibri"/>
        </w:rPr>
        <w:t xml:space="preserve">附录 E 接口速查表</w:t>
      </w:r>
    </w:p>
    <w:tbl>
      <w:tblPr>
        <w:tblStyle w:val="TableGrid"/>
        <w:tblW w:w="5000" w:type="pct"/>
        <w:tblLayout w:type="fixed"/>
        <w:tblCellMar>
          <w:top w:w="60" w:type="dxa"/>
          <w:left w:w="90" w:type="dxa"/>
          <w:bottom w:w="60" w:type="dxa"/>
          <w:right w:w="90" w:type="dxa"/>
        </w:tblCellMar>
      </w:tblPr>
      <w:tblGrid>
        <w:gridCol w:w="2040"/>
        <w:gridCol w:w="3829"/>
        <w:gridCol w:w="3729"/>
      </w:tblGrid>
      <w:tr>
        <w:trPr>
          <w:cantSplit/>
          <w:tblHeader/>
        </w:trPr>
        <w:tc>
          <w:tcPr>
            <w:tcW w:w="204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模块</w:t>
            </w:r>
          </w:p>
        </w:tc>
        <w:tc>
          <w:tcPr>
            <w:tcW w:w="382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主要入口</w:t>
            </w:r>
          </w:p>
        </w:tc>
        <w:tc>
          <w:tcPr>
            <w:tcW w:w="372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主要输出</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UBCCController</w:t>
            </w:r>
          </w:p>
        </w:tc>
        <w:tc>
          <w:tcPr>
            <w:tcW w:w="3829" w:type="dxa"/>
          </w:tcPr>
          <w:p>
            <w:pPr>
              <w:pStyle w:val="TableText"/>
              <w:jc w:val="left"/>
              <w:wordWrap w:val="0"/>
              <w:keepNext/>
              <w:spacing w:before="0" w:after="0" w:line="320" w:lineRule="exact"/>
            </w:pPr>
            <w:r>
              <w:rPr>
                <w:rFonts w:ascii="Calibri" w:hAnsi="Calibri" w:eastAsia="Microsoft YaHei" w:cs="Calibri"/>
                <w:sz w:val="16"/>
                <w:szCs w:val="16"/>
              </w:rPr>
              <w:t xml:space="preserve">read、upgrade、clear、writeback、evict</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grant、target set、commit result</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ResidentDir</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lookup、insert、erase、waiter</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directory entry、capacity status</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H64 Backstore</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lookup、upsert、erase</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persisted directory metadata</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EP-RNF</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read shared/unique、clean unique、snoop</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data、snoop response、completion</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EP-SNF</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request service</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CHI data/response</w:t>
            </w:r>
          </w:p>
        </w:tc>
      </w:tr>
      <w:tr>
        <w:trPr>
          <w:cantSplit/>
        </w:trPr>
        <w:tc>
          <w:tcPr>
            <w:tcW w:w="2040" w:type="dxa"/>
          </w:tcPr>
          <w:p>
            <w:pPr>
              <w:pStyle w:val="TableText"/>
              <w:jc w:val="left"/>
              <w:wordWrap w:val="0"/>
              <w:spacing w:before="0" w:after="0" w:line="320" w:lineRule="exact"/>
            </w:pPr>
            <w:r>
              <w:rPr>
                <w:rFonts w:ascii="Calibri" w:hAnsi="Calibri" w:eastAsia="Microsoft YaHei" w:cs="Calibri"/>
                <w:sz w:val="18"/>
                <w:szCs w:val="18"/>
              </w:rPr>
              <w:t xml:space="preserve">UBAdapter</w:t>
            </w:r>
          </w:p>
        </w:tc>
        <w:tc>
          <w:tcPr>
            <w:tcW w:w="3829" w:type="dxa"/>
          </w:tcPr>
          <w:p>
            <w:pPr>
              <w:pStyle w:val="TableText"/>
              <w:jc w:val="left"/>
              <w:wordWrap w:val="0"/>
              <w:spacing w:before="0" w:after="0" w:line="320" w:lineRule="exact"/>
            </w:pPr>
            <w:r>
              <w:rPr>
                <w:rFonts w:ascii="Calibri" w:hAnsi="Calibri" w:eastAsia="Microsoft YaHei" w:cs="Calibri"/>
                <w:sz w:val="18"/>
                <w:szCs w:val="18"/>
              </w:rPr>
              <w:t xml:space="preserve">send、receive、retry、callback</w:t>
            </w:r>
          </w:p>
        </w:tc>
        <w:tc>
          <w:tcPr>
            <w:tcW w:w="3729" w:type="dxa"/>
          </w:tcPr>
          <w:p>
            <w:pPr>
              <w:pStyle w:val="TableText"/>
              <w:jc w:val="left"/>
              <w:wordWrap w:val="0"/>
              <w:spacing w:before="0" w:after="0" w:line="320" w:lineRule="exact"/>
            </w:pPr>
            <w:r>
              <w:rPr>
                <w:rFonts w:ascii="Calibri" w:hAnsi="Calibri" w:eastAsia="Microsoft YaHei" w:cs="Calibri"/>
                <w:sz w:val="18"/>
                <w:szCs w:val="18"/>
              </w:rPr>
              <w:t xml:space="preserve">Outer message、local completion</w:t>
            </w:r>
          </w:p>
        </w:tc>
      </w:tr>
    </w:tbl>
    <w:p>
      <w:pPr>
        <w:pStyle w:val="Heading2"/>
        <w:keepNext/>
      </w:pPr>
      <w:r>
        <w:rPr>
          <w:rFonts w:ascii="Calibri" w:hAnsi="Calibri" w:eastAsia="SimHei" w:cs="Calibri"/>
        </w:rPr>
        <w:t xml:space="preserve">附录 F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 Outer 一致性层、Home UBCC 控制器、分层目录和 EP 边界组成的跨节点一致性体系结构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spill-noopt</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使用 H64 Backstore 且关闭时延优化</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维护全局目录、串行化同址事务并执行权限仲裁的控制器组件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optimized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使用 Backstore 并启用时延优化的 profile</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由地址映射选定、负责该地址全局目录和事务提交的 UBCC 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核心场景组</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TC228-TC230 等权聚合</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HA-VI</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指标 3 使用的 VI 协议可执行参考模型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代表场景组</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TC231-TC235 按正式主值等权聚合</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可执行参考模型</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使用相同 workload、完成边界和统一参数运行的协议对照模型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单向完成语义</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根操作不以同步 ClearResp 作为完成条件的语义</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Profile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一组固定的目录策略与协议优化配置</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配对运行</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UBCC 与 HA-VI 使用相同输入和统一条件的成对运行</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完成边界</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根操作开始和结束时刻的共同定义</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组织仿真模块装载、运行与集成的框架</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等效追踪容量</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 与持久化 Backstore 元数据的去重覆盖量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naive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不使用 Backstore 容量扩展和时延优化的基线 profile</w:t>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性能验收与集成接口说明</dc:title>
  <dc:creator>CC-EP project</dc:creator>
  <dc:description>source_sha256=66103babb1b32a525b16ab47db9a821c45153bf72d8f6eab52ff94df2018bcba</dc:description>
  <dcterms:created xsi:type="dcterms:W3CDTF">2026-09-24T08:23:07Z</dcterms:created>
  <dcterms:modified xsi:type="dcterms:W3CDTF">2026-09-24T08:23:07Z</dcterms:modified>
</cp:coreProperties>
</file>