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项物理运行</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当前实现及冻结可执行场景</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参考范围内聚合结果支持 U⁠B⁠C⁠C 优势</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范围外</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不作本次交付能力主张</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1922"/>
        <w:gridCol w:w="2912"/>
        <w:gridCol w:w="2912"/>
        <w:gridCol w:w="1852"/>
      </w:tblGrid>
      <w:tr>
        <w:trPr>
          <w:cantSplit/>
          <w:tblHeader/>
        </w:trPr>
        <w:tc>
          <w:tcPr>
            <w:tcW w:w="192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29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可支持的结论</w:t>
            </w:r>
          </w:p>
        </w:tc>
        <w:tc>
          <w:tcPr>
            <w:tcW w:w="185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不应外推为</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解释机制差异和实验结果来源</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tcW w:w="1922" w:type="dxa"/>
          </w:tcPr>
          <w:p>
            <w:pPr>
              <w:pStyle w:val="TableText"/>
              <w:jc w:val="left"/>
              <w:wordWrap w:val="0"/>
              <w:spacing w:before="0" w:after="0" w:line="320" w:lineRule="exact"/>
            </w:pPr>
            <w:r>
              <w:rPr>
                <w:rFonts w:ascii="Calibri" w:hAnsi="Calibri" w:eastAsia="Microsoft YaHei" w:cs="Calibri"/>
                <w:sz w:val="18"/>
                <w:szCs w:val="18"/>
              </w:rPr>
              <w:t xml:space="preserve">本次范围外</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永久 H⁠o⁠m⁠e 失效恢复、目标物理 H⁠A 和端口级 S⁠w⁠i⁠t⁠c⁠h 微体系结构</w:t>
            </w:r>
          </w:p>
        </w:tc>
        <w:tc>
          <w:tcPr>
            <w:tcW w:w="2912" w:type="dxa"/>
          </w:tcPr>
          <w:p>
            <w:pPr>
              <w:pStyle w:val="TableText"/>
              <w:jc w:val="left"/>
              <w:wordWrap w:val="0"/>
              <w:spacing w:before="0" w:after="0" w:line="320" w:lineRule="exact"/>
            </w:pPr>
            <w:r>
              <w:rPr>
                <w:rFonts w:ascii="Calibri" w:hAnsi="Calibri" w:eastAsia="Microsoft YaHei" w:cs="Calibri"/>
                <w:sz w:val="18"/>
                <w:szCs w:val="18"/>
              </w:rPr>
              <w:t xml:space="preserve">明确交付边界</w:t>
            </w:r>
          </w:p>
        </w:tc>
        <w:tc>
          <w:tcPr>
            <w:tcW w:w="1852" w:type="dxa"/>
          </w:tcPr>
          <w:p>
            <w:pPr>
              <w:pStyle w:val="TableText"/>
              <w:jc w:val="left"/>
              <w:wordWrap w:val="0"/>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目标集合冻结、I⁠n⁠v⁠a⁠l⁠i⁠d⁠a⁠t⁠e⁠R⁠e⁠q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92"/>
        <w:gridCol w:w="2650"/>
        <w:gridCol w:w="1507"/>
        <w:gridCol w:w="2650"/>
      </w:tblGrid>
      <w:tr>
        <w:trPr>
          <w:cantSplit/>
          <w:tblHeader/>
        </w:trPr>
        <w:tc>
          <w:tcPr>
            <w:tcW w:w="279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50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r>
        <w:trPr>
          <w:cantSplit/>
        </w:trPr>
        <w:tc>
          <w:tcPr>
            <w:tcW w:w="2792"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507"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650" w:type="dxa"/>
          </w:tcPr>
          <w:p>
            <w:pPr>
              <w:pStyle w:val="TableText"/>
              <w:jc w:val="left"/>
              <w:wordWrap w:val="0"/>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fixed"/>
        <w:tblCellMar>
          <w:top w:w="60" w:type="dxa"/>
          <w:left w:w="90" w:type="dxa"/>
          <w:bottom w:w="60" w:type="dxa"/>
          <w:right w:w="90" w:type="dxa"/>
        </w:tblCellMar>
      </w:tblPr>
      <w:tblGrid>
        <w:gridCol w:w="1831"/>
        <w:gridCol w:w="3377"/>
        <w:gridCol w:w="3013"/>
        <w:gridCol w:w="1377"/>
      </w:tblGrid>
      <w:tr>
        <w:trPr>
          <w:cantSplit/>
          <w:tblHeader/>
        </w:trPr>
        <w:tc>
          <w:tcPr>
            <w:tcW w:w="18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01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37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本次证据边界</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Q⁠4</w:t>
            </w:r>
          </w:p>
        </w:tc>
      </w:tr>
      <w:tr>
        <w:trPr>
          <w:cantSplit/>
        </w:trPr>
        <w:tc>
          <w:tcPr>
            <w:tcW w:w="1831" w:type="dxa"/>
          </w:tcPr>
          <w:p>
            <w:pPr>
              <w:pStyle w:val="TableText"/>
              <w:jc w:val="left"/>
              <w:wordWrap w:val="0"/>
              <w:spacing w:before="0" w:after="0" w:line="320" w:lineRule="exact"/>
            </w:pPr>
            <w:r>
              <w:rPr>
                <w:rFonts w:ascii="Calibri" w:hAnsi="Calibri" w:eastAsia="Microsoft YaHei" w:cs="Calibri"/>
                <w:sz w:val="18"/>
                <w:szCs w:val="18"/>
              </w:rPr>
              <w:t xml:space="preserve">永久节点或 H⁠o⁠m⁠e 故障</w:t>
            </w:r>
          </w:p>
        </w:tc>
        <w:tc>
          <w:tcPr>
            <w:tcW w:w="3377" w:type="dxa"/>
          </w:tcPr>
          <w:p>
            <w:pPr>
              <w:pStyle w:val="TableText"/>
              <w:jc w:val="left"/>
              <w:wordWrap w:val="0"/>
              <w:spacing w:before="0" w:after="0" w:line="320" w:lineRule="exact"/>
            </w:pPr>
            <w:r>
              <w:rPr>
                <w:rFonts w:ascii="Calibri" w:hAnsi="Calibri" w:eastAsia="Microsoft YaHei" w:cs="Calibri"/>
                <w:sz w:val="18"/>
                <w:szCs w:val="18"/>
              </w:rPr>
              <w:t xml:space="preserve">节点不再恢复服务</w:t>
            </w:r>
          </w:p>
        </w:tc>
        <w:tc>
          <w:tcPr>
            <w:tcW w:w="3013" w:type="dxa"/>
          </w:tcPr>
          <w:p>
            <w:pPr>
              <w:pStyle w:val="TableText"/>
              <w:jc w:val="left"/>
              <w:wordWrap w:val="0"/>
              <w:spacing w:before="0" w:after="0" w:line="320" w:lineRule="exact"/>
            </w:pPr>
            <w:r>
              <w:rPr>
                <w:rFonts w:ascii="Calibri" w:hAnsi="Calibri" w:eastAsia="Microsoft YaHei" w:cs="Calibri"/>
                <w:sz w:val="18"/>
                <w:szCs w:val="18"/>
              </w:rPr>
              <w:t xml:space="preserve">需要冗余 H⁠o⁠m⁠e、数据副本与在线重配置</w:t>
            </w:r>
          </w:p>
        </w:tc>
        <w:tc>
          <w:tcPr>
            <w:tcW w:w="1377" w:type="dxa"/>
          </w:tcPr>
          <w:p>
            <w:pPr>
              <w:pStyle w:val="TableText"/>
              <w:jc w:val="left"/>
              <w:wordWrap w:val="0"/>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项物理运行，最终结果为 52/5⁠2⁠ ⁠通⁠过⁠。</w:t>
      </w:r>
    </w:p>
    <w:p>
      <w:pPr>
        <w:jc w:val="center"/>
        <w:spacing w:before="100" w:after="40" w:line="240" w:lineRule="auto"/>
      </w:pPr>
      <w:r>
        <w:drawing>
          <wp:inline distT="0" distB="0" distL="0" distR="0">
            <wp:extent cx="5579999" cy="303465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79999" cy="303465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fixed"/>
        <w:tblCellMar>
          <w:top w:w="60" w:type="dxa"/>
          <w:left w:w="90" w:type="dxa"/>
          <w:bottom w:w="60" w:type="dxa"/>
          <w:right w:w="90" w:type="dxa"/>
        </w:tblCellMar>
      </w:tblPr>
      <w:tblGrid>
        <w:gridCol w:w="1961"/>
        <w:gridCol w:w="4147"/>
        <w:gridCol w:w="3491"/>
      </w:tblGrid>
      <w:tr>
        <w:trPr>
          <w:cantSplit/>
          <w:tblHeader/>
        </w:trPr>
        <w:tc>
          <w:tcPr>
            <w:tcW w:w="196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14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冻结参考条件</w:t>
            </w:r>
          </w:p>
        </w:tc>
        <w:tc>
          <w:tcPr>
            <w:tcW w:w="349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未建模硬件或禁止外推项</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目标物理芯片的核、缓存和 H⁠o⁠m⁠e 微体系结构</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未冻结 w⁠o⁠r⁠k⁠l⁠o⁠a⁠d、流量分布和其他 L⁠3 配置</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冻结 H⁠A⁠-⁠V⁠I 可执行参考模型及其目录、状态和时延参数</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未建模 H⁠A 的优化、缓冲、队列、预测和一致性扩展</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tcW w:w="1961"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按冻结主值形成核心场景组和代表场景组的等权聚合</w:t>
            </w:r>
          </w:p>
        </w:tc>
        <w:tc>
          <w:tcPr>
            <w:tcW w:w="3491" w:type="dxa"/>
          </w:tcPr>
          <w:p>
            <w:pPr>
              <w:pStyle w:val="TableText"/>
              <w:jc w:val="left"/>
              <w:wordWrap w:val="0"/>
              <w:spacing w:before="0" w:after="0" w:line="320" w:lineRule="exact"/>
            </w:pPr>
            <w:r>
              <w:rPr>
                <w:rFonts w:ascii="Calibri" w:hAnsi="Calibri" w:eastAsia="Microsoft YaHei" w:cs="Calibri"/>
                <w:sz w:val="18"/>
                <w:szCs w:val="18"/>
              </w:rPr>
              <w:t xml:space="preserve">将参考模型结果外推为目标物理实现结果</w:t>
            </w:r>
          </w:p>
        </w:tc>
      </w:tr>
    </w:tbl>
    <w:p>
      <w:pPr>
        <w:ind w:left="0" w:firstLine="420"/>
      </w:pPr>
      <w:r>
        <w:rPr>
          <w:rFonts w:ascii="Calibri" w:hAnsi="Calibri" w:eastAsia="Microsoft YaHei" w:cs="Calibri"/>
        </w:rPr>
        <w:t xml:space="preserve">这些条件保证配对比较在冻结参考范围内使用共同输入和共同完成边界。聚合优⁠势⁠表⁠示⁠冻⁠结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81"/>
        <w:gridCol w:w="2953"/>
        <w:gridCol w:w="1979"/>
        <w:gridCol w:w="3485"/>
      </w:tblGrid>
      <w:tr>
        <w:trPr>
          <w:cantSplit/>
          <w:tblHeader/>
        </w:trPr>
        <w:tc>
          <w:tcPr>
            <w:tcW w:w="118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295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冻结参考</w:t>
            </w:r>
          </w:p>
        </w:tc>
        <w:tc>
          <w:tcPr>
            <w:tcW w:w="34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独立 R⁠e⁠s⁠i⁠d⁠e⁠n⁠t⁠D⁠i⁠r + B⁠a⁠c⁠k⁠s⁠t⁠o⁠r⁠e</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冻结参考目录组织</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81"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2953"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79"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485"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机制或目标⁠物⁠理⁠实⁠现⁠。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跨节点缓存一致性方案及全局目录控制器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冷目录元数据的后备存储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故障资格验证</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对可恢复消息传输故障的可执行验证矩阵</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支持乱序执行的处理器模型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在公平和最终可达条件下事务最终完成的性质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source_sha256=5e5a1dcbab8d4158f9ffa5cc50f3fc63f8d02ec0d1c30eab4e0cb646c5afb77c</dc:description>
  <dcterms:created xsi:type="dcterms:W3CDTF">2026-08-27T16:24:24Z</dcterms:created>
  <dcterms:modified xsi:type="dcterms:W3CDTF">2026-08-27T16:24:24Z</dcterms:modified>
</cp:coreProperties>
</file>