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⁠执⁠行⁠摘⁠要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2.⁠ ⁠验⁠收⁠方⁠法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1：等效追踪容量⁠与⁠附⁠加⁠时⁠延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2：适用场景⁠端⁠到⁠端⁠时⁠延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HA-VI⁠ ⁠配⁠对⁠比⁠较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正确性⁠与⁠回⁠归⁠结⁠果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7.⁠ ⁠集⁠成⁠接⁠口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集成流程⁠与⁠验⁠证⁠模⁠板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A⁠ ⁠指⁠标⁠口⁠径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TC120-TC147 与 TC217⁠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TC228-TC235⁠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四拓扑⁠扩⁠展⁠性⁠数⁠据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E ⁠接⁠口⁠速⁠查⁠表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⁠F⁠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配对比较三项⁠指⁠标⁠。⁠三⁠项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指标均达到冻结⁠验⁠收⁠口⁠径⁠。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30"/>
        <w:gridCol w:w="2635"/>
        <w:gridCol w:w="2426"/>
        <w:gridCol w:w="2008"/>
      </w:tblGrid>
      <w:tr>
        <w:trPr>
          <w:cantSplit/>
          <w:tblHeader/>
        </w:trPr>
        <w:tc>
          <w:tcPr>
            <w:tcW w:w="25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26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tcW w:w="242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20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3：U⁠B⁠C⁠C 相对 H⁠A⁠-⁠V⁠I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U⁠B⁠C⁠C 平均时延更低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配置下两场景组全部满足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90"/>
        <w:gridCol w:w="4598"/>
        <w:gridCol w:w="3611"/>
      </w:tblGrid>
      <w:tr>
        <w:trPr>
          <w:cantSplit/>
          <w:tblHeader/>
        </w:trPr>
        <w:tc>
          <w:tcPr>
            <w:tcW w:w="13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 1.515×；附加时延 10.535 n⁠s / 21.069 c⁠y⁠c⁠l⁠e⁠s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当前两个合格证据集按各自冻结职责组合计分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适用场景等权平均降幅 64.759%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冻结计分 t⁠e⁠s⁠t⁠c⁠a⁠s⁠e 与适用门槛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配置下两个场景组均满足 U⁠B⁠C⁠C 聚合均值更低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H⁠A⁠-⁠V⁠I 可执行参考模型，不代表物理芯片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不作本次交付能力或性能主张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未建模目标硬件和端口级 S⁠w⁠i⁠t⁠c⁠h 微体系结构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性能结论以正确性验⁠证⁠为⁠前⁠提⁠：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714"/>
        <w:gridCol w:w="2323"/>
        <w:gridCol w:w="2562"/>
      </w:tblGrid>
      <w:tr>
        <w:trPr>
          <w:cantSplit/>
          <w:tblHeader/>
        </w:trPr>
        <w:tc>
          <w:tcPr>
            <w:tcW w:w="471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tcW w:w="23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tcW w:w="256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3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 项</w:t>
            </w:r>
          </w:p>
        </w:tc>
        <w:tc>
          <w:tcPr>
            <w:tcW w:w="25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72/72 通过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3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a⁠r⁠m⁠s</w:t>
            </w:r>
          </w:p>
        </w:tc>
        <w:tc>
          <w:tcPr>
            <w:tcW w:w="25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>
            <w:tcW w:w="23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a⁠r⁠m⁠s</w:t>
            </w:r>
          </w:p>
        </w:tc>
        <w:tc>
          <w:tcPr>
            <w:tcW w:w="25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80/80 通过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>
            <w:tcW w:w="23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>
            <w:tcW w:w="25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Q⁠1⁠-⁠Q⁠5 故障资格</w:t>
            </w:r>
          </w:p>
        </w:tc>
        <w:tc>
          <w:tcPr>
            <w:tcW w:w="23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>
            <w:tcW w:w="25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1.4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数值，支撑⁠结⁠果⁠集⁠验⁠证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生命周期、真实容量压力和代表应用的⁠可⁠迁⁠移⁠性⁠。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3"/>
        <w:gridCol w:w="3487"/>
        <w:gridCol w:w="4598"/>
      </w:tblGrid>
      <w:tr>
        <w:trPr>
          <w:cantSplit/>
          <w:tblHeader/>
        </w:trPr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tcW w:w="34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T⁠C⁠1⁠3⁠1、T⁠C⁠1⁠3⁠5⁠-⁠T⁠C⁠1⁠4⁠0、T⁠C⁠2⁠1⁠7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T⁠C⁠1⁠2⁠0⁠-⁠T⁠C⁠1⁠2⁠9、T⁠C⁠1⁠4⁠1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验证访问模式、o⁠f⁠f⁠l⁠o⁠a⁠d/o⁠n⁠l⁠o⁠a⁠d、w⁠r⁠i⁠t⁠e⁠b⁠a⁠c⁠k、r⁠e⁠p⁠l⁠a⁠y 和 s⁠h⁠a⁠r⁠e⁠d⁠-⁠w⁠r⁠i⁠t⁠e⁠r r⁠e⁠c⁠o⁠v⁠e⁠r⁠y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T⁠C⁠1⁠3⁠0⁠-⁠T⁠C⁠1⁠3⁠4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验证热点复用、c⁠a⁠t⁠a⁠l⁠o⁠g、c⁠h⁠e⁠c⁠k⁠p⁠o⁠i⁠n⁠t、f⁠r⁠o⁠n⁠t⁠i⁠e⁠r 和 s⁠l⁠i⁠d⁠i⁠n⁠g w⁠i⁠n⁠d⁠o⁠w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验证数据库、F⁠a⁠a⁠S、图计算和 f⁠e⁠a⁠t⁠u⁠r⁠e s⁠t⁠o⁠r⁠e 在 16N1S L⁠e⁠v⁠e⁠l⁠-⁠A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的收益来源和适用场景，⁠并⁠排⁠除⁠合⁠同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结果由单一 workload 产生的⁠替⁠代⁠解⁠释⁠。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1.5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 HA-VI 可执行参考模型为对照，冻结条件为 2N1S、O3、单向完成语义、256 KiB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L3 和 100% L3 压力。该比较用于评估 UBCC 与冻结参考模型在相同 workload 和完⁠成⁠边⁠界⁠下⁠的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协议时延，不等同于目标物理芯片实测；其他 L3 配置不进入⁠正⁠式⁠结⁠果⁠。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的基础配置使用三个 profile：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75"/>
        <w:gridCol w:w="3631"/>
        <w:gridCol w:w="1427"/>
        <w:gridCol w:w="2464"/>
      </w:tblGrid>
      <w:tr>
        <w:trPr>
          <w:cantSplit/>
          <w:tblHeader/>
        </w:trPr>
        <w:tc>
          <w:tcPr>
            <w:tcW w:w="207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P⁠r⁠o⁠f⁠i⁠l⁠e</w:t>
            </w:r>
          </w:p>
        </w:tc>
        <w:tc>
          <w:tcPr>
            <w:tcW w:w="363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目录策略</w:t>
            </w:r>
          </w:p>
        </w:tc>
        <w:tc>
          <w:tcPr>
            <w:tcW w:w="142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时延优化</w:t>
            </w:r>
          </w:p>
        </w:tc>
        <w:tc>
          <w:tcPr>
            <w:tcW w:w="246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36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满时直接替换</w:t>
            </w:r>
          </w:p>
        </w:tc>
        <w:tc>
          <w:tcPr>
            <w:tcW w:w="142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246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S⁠R⁠A⁠M 基线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</w:t>
            </w:r>
          </w:p>
        </w:tc>
        <w:tc>
          <w:tcPr>
            <w:tcW w:w="36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>
            <w:tcW w:w="142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246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证明容量扩展本身的收益与成本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</w:t>
            </w:r>
          </w:p>
        </w:tc>
        <w:tc>
          <w:tcPr>
            <w:tcW w:w="36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>
            <w:tcW w:w="142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  <w:tc>
          <w:tcPr>
            <w:tcW w:w="246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证明协议优化后的应用场景价值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Metric1 在此基础上把 spill-noopt 分成两个显式实验角色：spill-5⁠1⁠2⁠K⁠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spill-IdealDir；naive 仅用于⁠容⁠量⁠分⁠母⁠。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包含⁠两⁠个⁠子⁠项⁠：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spill / naive 等效追踪容量比不低于 1.5，其中 spill 为 512K 容量⁠约⁠束⁠角⁠色⁠；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spill-512K - spill-IdealDir 的已完成 Outer 事件平均时延增量低于 50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 ResidentDir 与已持久化 Backstore 元数据的去重覆⁠盖⁠量⁠计⁠算⁠。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当前保留证据不是一个已经完成的三角色 3×3 九运行矩阵。容量值来自 72-run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profile 矩阵中 naive 与 spill-noopt 的三次重复；optimized 仅提供支撑证⁠据⁠，⁠不⁠进⁠入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容量分母或分子。修正时延来自另一组独立矩阵，即三次重复分别执行 spill-5⁠1⁠2⁠K⁠ 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spill-IdealDir，共 6 个物理 arms。两个合格证据集按各自冻结职责组合形成当前接⁠受⁠值⁠，⁠既⁠不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把 optimized 混入容量计算，也不对跨证据集运行⁠重⁠复⁠加⁠权⁠。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验收后若需要统一复现，可选用每轮 naive、spill-512K、spill-IdealDir 三角色的 3×⁠3⁠ ⁠裸⁠启⁠动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矩阵。该方案不是本轮验收 Gate，不影响当前冻结接受值；未经合同变更不据此要求⁠新⁠增⁠实⁠验⁠。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naive。冻⁠结⁠规⁠则⁠为⁠：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采用固定 256 KiB L3、100% 压力下的五对 UBCC/HA-VI ⁠配⁠对⁠运⁠行⁠：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只贡献⁠一⁠个⁠主⁠值⁠：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⁠平⁠均⁠时⁠延⁠。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确定性重复仿真用于证明结果可复现，不等同于对总体分布建立统⁠计⁠置⁠信⁠度⁠。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所有比较遵循发布事件原则：只统计满足冻结完成条件并已经发布完成事件的根操作⁠。⁠开⁠始⁠点⁠为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的可观察完成条件。未⁠完⁠成⁠事⁠件⁠、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内部服务计时和诊断子阶段不⁠进⁠入⁠聚⁠合⁠。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testcase、权重和门槛在评审前冻结。支撑集按各自明确职责报告，⁠不⁠将⁠未⁠冻⁠结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权重的场景混合成⁠额⁠外⁠总⁠分⁠：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Level-A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4"/>
        <w:gridCol w:w="3415"/>
        <w:gridCol w:w="2724"/>
        <w:gridCol w:w="1946"/>
      </w:tblGrid>
      <w:tr>
        <w:trPr>
          <w:cantSplit/>
          <w:tblHeader/>
        </w:trPr>
        <w:tc>
          <w:tcPr>
            <w:tcW w:w="151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tcW w:w="34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tcW w:w="27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19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/ n⁠a⁠i⁠v⁠e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m⁠e⁠a⁠n - s⁠p⁠i⁠l⁠l⁠-⁠I⁠d⁠e⁠a⁠l⁠D⁠i⁠r m⁠e⁠a⁠n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10.535 n⁠s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按未舍入增量换算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容量按 spill/naive 计算，其中 spill 为 512K 容量约束角色；时延按已完成 Oute⁠r⁠ ⁠事⁠件⁠的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均值计算。表中数值均由未舍入结果独立计⁠算⁠后⁠显⁠示⁠至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最多 3⁠ ⁠位⁠小⁠数⁠。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545821"/>
            <wp:effectExtent l="0" t="0" r="0" b="0"/>
            <wp:docPr id="1" name="图 3-1 Metric1 容量与 Outer 附加时延" descr="图 3-1 Metric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Metric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4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Metric1 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51⁠2⁠K⁠ ⁠容⁠量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约束。⁠容⁠量⁠扩⁠展⁠由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路径，冷⁠元⁠数⁠据⁠进⁠入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使用⁠ ⁠5⁠1⁠2⁠K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作为无溢出的反事实基线。三⁠次⁠重⁠复⁠中⁠，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10.535⁠ ⁠n⁠s⁠，⁠即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TC131 两个时延角色的全部可用发布事件统计如下；每个角色均有三次相同配置重⁠复⁠，⁠表⁠中⁠为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每轮已完成 Outer 事件⁠的⁠统⁠计⁠值⁠：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7"/>
        <w:gridCol w:w="1207"/>
        <w:gridCol w:w="1083"/>
        <w:gridCol w:w="1021"/>
        <w:gridCol w:w="1145"/>
        <w:gridCol w:w="1145"/>
        <w:gridCol w:w="1145"/>
        <w:gridCol w:w="1331"/>
      </w:tblGrid>
      <w:tr>
        <w:trPr>
          <w:cantSplit/>
          <w:tblHeader/>
        </w:trPr>
        <w:tc>
          <w:tcPr>
            <w:tcW w:w="15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角色</w:t>
            </w:r>
          </w:p>
        </w:tc>
        <w:tc>
          <w:tcPr>
            <w:tcW w:w="120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s⁠a⁠m⁠p⁠l⁠e⁠s/轮</w:t>
            </w:r>
          </w:p>
        </w:tc>
        <w:tc>
          <w:tcPr>
            <w:tcW w:w="10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m⁠e⁠a⁠n n⁠s</w:t>
            </w:r>
          </w:p>
        </w:tc>
        <w:tc>
          <w:tcPr>
            <w:tcW w:w="10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P⁠5⁠0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P⁠9⁠5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P⁠9⁠9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m⁠a⁠x n⁠s</w:t>
            </w:r>
          </w:p>
        </w:tc>
        <w:tc>
          <w:tcPr>
            <w:tcW w:w="133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111,182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169.769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1732.500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2617.000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s⁠p⁠i⁠l⁠l⁠-⁠I⁠d⁠e⁠a⁠l⁠D⁠i⁠r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111,184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159.235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2601.500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131,072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spill-512K 每轮观察到 186 次 Backstore found fill，最大精确 live 覆盖为 99,291；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不发生 Backstore fill。两角色的均值差为 10.535 ns。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的容量和时延两个子⁠项⁠均⁠通⁠过⁠：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运行核算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Metric1 接受值组合两个彼此独立、均完成正确性门禁⁠的⁠证⁠据⁠集⁠：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容量证据取自 72-run 指标 1/2 profile 矩阵中的三次 naive 和三次 spill-noopt；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提供容量分母，spill-noopt 提供容量分子，optimized 只作支持，不参与⁠容⁠量⁠计⁠分⁠；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修正时延证据由三次 spill-512K 和三次 spill-IdealDir 构成，共 6 个物理 arms⁠；⁠每⁠轮⁠先⁠按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两个角色的已完成 Outer 事件均值作差，再对三轮⁠等⁠权⁠平⁠均⁠。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当前结果没有把两个证据集拼成一个原生三角色九运行矩阵，也没有让任何运行跨职责⁠重⁠复⁠计⁠权⁠。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该可选复现方案不改变当前 1.515× 与 10.535 ns / 21.069 cycles ⁠的⁠接⁠受⁠值⁠。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生命周期⁠提⁠供⁠支⁠撑⁠：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24"/>
        <w:gridCol w:w="3928"/>
        <w:gridCol w:w="4147"/>
      </w:tblGrid>
      <w:tr>
        <w:trPr>
          <w:cantSplit/>
          <w:tblHeader/>
        </w:trPr>
        <w:tc>
          <w:tcPr>
            <w:tcW w:w="15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392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b⁠a⁠s⁠e⁠l⁠i⁠n⁠e p⁠e⁠r⁠f⁠o⁠r⁠m⁠a⁠n⁠c⁠e m⁠i⁠x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m⁠i⁠x⁠e⁠d r⁠e⁠a⁠d/w⁠r⁠i⁠t⁠e 下三 p⁠r⁠o⁠f⁠i⁠l⁠e 正确执行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 s⁠t⁠r⁠e⁠a⁠m⁠i⁠n⁠g o⁠v⁠e⁠r⁠f⁠l⁠o⁠w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a⁠f⁠t⁠e⁠r p⁠r⁠e⁠s⁠s⁠u⁠r⁠e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h⁠o⁠t⁠s⁠e⁠t p⁠e⁠r⁠i⁠o⁠d⁠i⁠c u⁠p⁠g⁠r⁠a⁠d⁠e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o⁠w⁠n⁠e⁠r/h⁠o⁠m⁠e/r⁠e⁠q⁠u⁠e⁠s⁠t⁠e⁠r s⁠p⁠l⁠i⁠t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 u⁠p⁠g⁠r⁠a⁠d⁠e r⁠e⁠p⁠l⁠a⁠y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w⁠a⁠i⁠t⁠e⁠r 与升级重放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c⁠l⁠e⁠a⁠n e⁠v⁠i⁠c⁠t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l⁠o⁠n⁠g m⁠i⁠x⁠e⁠d i⁠n⁠t⁠e⁠g⁠r⁠a⁠t⁠i⁠o⁠n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s⁠p⁠i⁠l⁠l/f⁠i⁠l⁠l 与所有权迁移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s⁠h⁠a⁠r⁠e⁠d⁠-⁠w⁠r⁠i⁠t⁠e⁠r r⁠e⁠c⁠o⁠v⁠e⁠r⁠y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s⁠p⁠i⁠l⁠l 后共享转写者恢复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路径均通过。该⁠组⁠结⁠果⁠说⁠明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正式容量收益建立在完整的元数据生命周期之上，而不是单一⁠容⁠量⁠计⁠数⁠。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完整场景与当前保留的路径级绝对计时如下。路径级单臂值只说明对应发布事件的⁠绝⁠对⁠成⁠本⁠，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不与不同配置或不同完成边界的数值混合⁠计⁠算⁠降⁠幅⁠。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05"/>
        <w:gridCol w:w="4147"/>
        <w:gridCol w:w="4147"/>
      </w:tblGrid>
      <w:tr>
        <w:trPr>
          <w:cantSplit/>
          <w:tblHeader/>
        </w:trPr>
        <w:tc>
          <w:tcPr>
            <w:tcW w:w="13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三 p⁠r⁠o⁠f⁠i⁠l⁠e s⁠c⁠e⁠n⁠a⁠r⁠i⁠o t⁠o⁠t⁠a⁠l（n⁠a⁠i⁠v⁠e / s⁠p⁠i⁠l⁠l⁠-⁠n⁠o⁠o⁠p⁠t / o⁠p⁠t⁠i⁠m⁠i⁠z⁠e⁠d t⁠i⁠c⁠k⁠s）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保留路径计时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N/A；相对降幅 5.37% / 5.34%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s⁠h⁠a⁠r⁠e⁠d⁠-⁠h⁠o⁠t 34.958 t⁠i⁠c⁠k⁠s/o⁠p，1389.119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29,147.33 / 28,897.67 / 28,898.67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c⁠o⁠l⁠d⁠-⁠s⁠t⁠r⁠e⁠a⁠m 348.625 t⁠i⁠c⁠k⁠s/o⁠p，13,853.113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25,265.33 / 25,270.33 / 25,266.67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h⁠o⁠t⁠-⁠r⁠e⁠u⁠s⁠e 73.125 t⁠i⁠c⁠k⁠s/o⁠p，2905.726 n⁠s/o⁠p；h⁠o⁠t⁠-⁠s⁠h⁠a⁠r⁠e 74.583 t⁠i⁠c⁠k⁠s/o⁠p，2963.675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29,124.33 / 29,125.00 / 29,126.67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s⁠h⁠a⁠r⁠e⁠d⁠-⁠r⁠e⁠a⁠d n⁠o⁠d⁠e⁠1/n⁠o⁠d⁠e⁠2 75.813 / 77.125 t⁠i⁠c⁠k⁠s/o⁠p，均值 76.469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15,031.67 / 15,038.33 / 15,032.33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r⁠e⁠a⁠d 95.156 t⁠i⁠c⁠k⁠s/o⁠p，3781.170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r⁠e⁠a⁠d⁠-⁠o⁠n⁠l⁠o⁠a⁠d 8 t⁠i⁠c⁠k⁠s/o⁠p，317.891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u⁠p⁠g⁠r⁠a⁠d⁠e⁠-⁠s⁠t⁠o⁠r⁠e 51 t⁠i⁠c⁠k⁠s/o⁠p，2026.558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w⁠r⁠i⁠t⁠e⁠b⁠a⁠c⁠k⁠-⁠f⁠l⁠u⁠s⁠h 61,996 t⁠i⁠c⁠k⁠s，2,463,499.705 n⁠s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v⁠e⁠r⁠i⁠f⁠y⁠-⁠r⁠e⁠a⁠d 64 t⁠i⁠c⁠k⁠s/o⁠p，2543.132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o⁠n⁠l⁠o⁠a⁠d 61 t⁠i⁠c⁠k⁠s/o⁠p，2423.922 n⁠s/o⁠p；V⁠1 o⁠n⁠l⁠o⁠a⁠d 79 t⁠i⁠c⁠k⁠s/o⁠p，3139.178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N/A；s⁠p⁠i⁠l⁠l⁠-⁠n⁠o⁠o⁠p⁠t/o⁠p⁠t⁠i⁠m⁠i⁠z⁠e⁠d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 t⁠o⁠t⁠a⁠l n⁠o⁠d⁠e⁠0/n⁠o⁠d⁠e⁠1/n⁠o⁠d⁠e⁠2 = 36,814 / 36,825 / 36,825 t⁠i⁠c⁠k⁠s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599999" cy="1805624"/>
            <wp:effectExtent l="0" t="0" r="0" b="0"/>
            <wp:docPr id="2" name="图 3-2 TC120-TC124 完整场景降幅" descr="图 3-2 TC120-TC124 完整场景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2 TC120-TC124 完整场景降幅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3599999" cy="18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3-2　TC120-TC124 完整场景降幅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91"/>
        <w:gridCol w:w="1471"/>
        <w:gridCol w:w="1920"/>
        <w:gridCol w:w="1770"/>
        <w:gridCol w:w="1546"/>
      </w:tblGrid>
      <w:tr>
        <w:trPr>
          <w:cantSplit/>
          <w:tblHeader/>
        </w:trPr>
        <w:tc>
          <w:tcPr>
            <w:tcW w:w="28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14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92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7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5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 p⁠r⁠e⁠s⁠e⁠r⁠v⁠e⁠d s⁠h⁠a⁠r⁠e⁠r r⁠e⁠v⁠i⁠s⁠i⁠t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2344.449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98.305%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 p⁠r⁠e⁠s⁠e⁠r⁠v⁠e⁠d o⁠w⁠n⁠e⁠r s⁠t⁠o⁠r⁠e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96.667%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 n⁠e⁠w r⁠e⁠q⁠u⁠e⁠s⁠t⁠e⁠r l⁠o⁠a⁠d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25.000%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 d⁠i⁠r⁠t⁠y o⁠w⁠n⁠e⁠r h⁠a⁠n⁠d⁠o⁠f⁠f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-13.333%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 m⁠i⁠x⁠e⁠d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23563.703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97.302%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 c⁠a⁠t⁠a⁠l⁠o⁠g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4132.589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84.615%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naive、spill-noopt 和 optimized 均值均为 119.209 ns，低于 500 ns ⁠适⁠用⁠门⁠槛⁠，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因此作为低时延中性控制项，不进入指标 ⁠2⁠ ⁠聚⁠合⁠。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六个适用场景按 case 等权聚合，TC140 保留为中⁠性⁠控⁠制⁠项⁠。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789090"/>
            <wp:effectExtent l="0" t="0" r="0" b="0"/>
            <wp:docPr id="3" name="图 4-1 Metric2 适用场景端到端时延" descr="图 4-1 Metric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4-1 Metric2 适用场景端到端时延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8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Metric2 场景时延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 case-level 等权平⁠均⁠降⁠幅⁠为⁠ </w:t>
      </w:r>
      <w:r>
        <w:rPr>
          <w:rFonts w:ascii="Calibri" w:hAnsi="Calibri" w:eastAsia="Microsoft YaHei" w:cs="Calibri"/>
          <w:b/>
        </w:rPr>
        <w:t xml:space="preserve">64.759%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场景下数据回收与权限迁移的机制权衡，其结⁠果⁠完⁠整⁠纳⁠入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在适用场景⁠集⁠合⁠中⁠形⁠成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稳定的⁠总⁠体⁠收⁠益⁠。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的主要⁠收⁠益⁠来⁠自⁠：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的适用场景等权平均降幅为 64.759%，超过 10% ⁠合⁠同⁠门⁠槛⁠。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使用更大工作集和多节点拓扑，展示目录压力后状态复用的⁠场⁠景⁠价⁠值⁠：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22"/>
        <w:gridCol w:w="1513"/>
        <w:gridCol w:w="1883"/>
        <w:gridCol w:w="1759"/>
        <w:gridCol w:w="1821"/>
      </w:tblGrid>
      <w:tr>
        <w:trPr>
          <w:cantSplit/>
          <w:tblHeader/>
        </w:trPr>
        <w:tc>
          <w:tcPr>
            <w:tcW w:w="26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T⁠C/发布事件</w:t>
            </w:r>
          </w:p>
        </w:tc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t⁠i⁠c⁠k⁠s/o⁠p</w:t>
            </w:r>
          </w:p>
        </w:tc>
        <w:tc>
          <w:tcPr>
            <w:tcW w:w="18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t⁠i⁠c⁠k⁠s/o⁠p</w:t>
            </w:r>
          </w:p>
        </w:tc>
        <w:tc>
          <w:tcPr>
            <w:tcW w:w="175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t⁠i⁠c⁠k⁠s/o⁠p</w:t>
            </w:r>
          </w:p>
        </w:tc>
        <w:tc>
          <w:tcPr>
            <w:tcW w:w="18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38,616.67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32,331.67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32,329.67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16.28%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h⁠o⁠t r⁠e⁠u⁠s⁠e（96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110.64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57.68%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2,401,101.00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2,419,188.67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2,419,319.00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c⁠a⁠t⁠a⁠l⁠o⁠g r⁠e⁠u⁠s⁠e（8,192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1.84%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e⁠x⁠c⁠l⁠u⁠s⁠i⁠v⁠e u⁠p⁠g⁠r⁠a⁠d⁠e（256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9,358.80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9,429.41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9,429.93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增加 0.76%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1,393,393.67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1,430,794.33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1,430,796.00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c⁠h⁠e⁠c⁠k⁠p⁠o⁠i⁠n⁠t r⁠e⁠c⁠o⁠v⁠e⁠r（8,192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48.73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r⁠e⁠c⁠o⁠v⁠e⁠r⁠y 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725,467.38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736,140.75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736,044.00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T⁠C⁠1⁠3⁠3 f⁠r⁠o⁠n⁠t⁠i⁠e⁠r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7.09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6.60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7.17%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932,512.13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742,830.69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742,591.44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20.37%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w⁠i⁠n⁠d⁠o⁠w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9.78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9.83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在目录压力后仍能保留有价值的热点元数据，⁠收⁠益⁠在⁠滑⁠动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负责验证脏数据恢复路径，不进入指标 2 ⁠合⁠同⁠聚⁠合⁠。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766972"/>
            <wp:effectExtent l="0" t="0" r="0" b="0"/>
            <wp:docPr id="4" name="图 4-2 TC130-TC134 压力后主路径变化" descr="图 4-2 TC130-TC134 压力后主路径变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4-2 TC130-TC134 压力后主路径变化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6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4-2　TC130-TC134 压力后主路径变化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16N1S Level-A 代表应用结果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覆盖数据库、FaaS、图计算和 feature store。每个 testcase 均运行 naive、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spill-noopt 和 optimized 三个 profile，共 18/1⁠8⁠ ⁠通⁠过⁠。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99"/>
        <w:gridCol w:w="2023"/>
        <w:gridCol w:w="1405"/>
        <w:gridCol w:w="1817"/>
        <w:gridCol w:w="1680"/>
        <w:gridCol w:w="1474"/>
      </w:tblGrid>
      <w:tr>
        <w:trPr>
          <w:cantSplit/>
          <w:tblHeader/>
        </w:trPr>
        <w:tc>
          <w:tcPr>
            <w:tcW w:w="11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20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</w:t>
            </w:r>
          </w:p>
        </w:tc>
        <w:tc>
          <w:tcPr>
            <w:tcW w:w="14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8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68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47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 p⁠o⁠o⁠l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5200.314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4437.245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14.674%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B⁠-⁠t⁠r⁠e⁠e t⁠r⁠a⁠v⁠e⁠r⁠s⁠a⁠l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3051.768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2267.770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25.690%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W⁠A⁠L/c⁠h⁠e⁠c⁠k⁠p⁠o⁠i⁠n⁠t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5294.067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4400.848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16.872%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F⁠a⁠a⁠S w⁠a⁠r⁠m i⁠n⁠v⁠o⁠c⁠a⁠t⁠i⁠o⁠n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2886.169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2291.965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20.588%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G⁠r⁠a⁠p⁠h f⁠r⁠o⁠n⁠t⁠i⁠e⁠r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3184.057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2266.781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28.808%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F⁠e⁠a⁠t⁠u⁠r⁠e s⁠t⁠o⁠r⁠e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2892.318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2321.671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19.730%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该矩阵证明 UBCC 的容量和协议机制可以迁移到真实应用形态与 16N1S Level-A 协议⁠节⁠点⁠规⁠模⁠，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而不局限于协议微场景；该结论不包含端口级 Switch 微⁠体⁠系⁠结⁠构⁠。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59999" cy="1805624"/>
            <wp:effectExtent l="0" t="0" r="0" b="0"/>
            <wp:docPr id="5" name="图 4-3 TC142-TC147 代表应用降幅" descr="图 4-3 TC142-TC147 代表应用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4-3 TC142-TC147 代表应用降幅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3959999" cy="18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4-3　TC142-TC147 代表应用降幅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核心场景组承担协议关键⁠路⁠径⁠比⁠较⁠：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50"/>
        <w:gridCol w:w="3200"/>
        <w:gridCol w:w="4850"/>
      </w:tblGrid>
      <w:tr>
        <w:trPr>
          <w:cantSplit/>
          <w:tblHeader/>
        </w:trPr>
        <w:tc>
          <w:tcPr>
            <w:tcW w:w="15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32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</w:t>
            </w:r>
          </w:p>
        </w:tc>
        <w:tc>
          <w:tcPr>
            <w:tcW w:w="48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主要协议责任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>
            <w:tcW w:w="32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 R⁠e⁠a⁠d</w:t>
            </w:r>
          </w:p>
        </w:tc>
        <w:tc>
          <w:tcPr>
            <w:tcW w:w="48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权威数据定位与共享授权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>
            <w:tcW w:w="32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  <w:tc>
          <w:tcPr>
            <w:tcW w:w="48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旧 o⁠w⁠n⁠e⁠r 释放、最新数据返回、新 o⁠w⁠n⁠e⁠r 获权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>
            <w:tcW w:w="32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</w:t>
            </w:r>
          </w:p>
        </w:tc>
        <w:tc>
          <w:tcPr>
            <w:tcW w:w="48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 失效、A⁠c⁠k 收敛和单写者授权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代表场景组承担应用组合价值比较，包括 clean shared read、hot-key read/write、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producer-consumer、queued token 和 catalog-KV。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假设与公平性边界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91"/>
        <w:gridCol w:w="4298"/>
        <w:gridCol w:w="3710"/>
      </w:tblGrid>
      <w:tr>
        <w:trPr>
          <w:cantSplit/>
          <w:tblHeader/>
        </w:trPr>
        <w:tc>
          <w:tcPr>
            <w:tcW w:w="15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tcW w:w="42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冻结参考条件</w:t>
            </w:r>
          </w:p>
        </w:tc>
        <w:tc>
          <w:tcPr>
            <w:tcW w:w="371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未建模硬件或禁止外推项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系统与处理器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2N1S、O⁠3；两方案使用相同处理器与缓存条件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目标物理核、缓存和 H⁠o⁠m⁠e 微体系结构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 t⁠e⁠s⁠t⁠c⁠a⁠s⁠e、输入、操作配比及 100% L⁠3 压力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未冻结流量、其他规模和其他 L⁠3 配置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完成与计量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相同根操作完成边界和单向完成语义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未纳入主值的内部阶段与物理链路握手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 对照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冻结的 H⁠A⁠-⁠V⁠I 可执行参考参数与行为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未建模的 H⁠A 优化、缓冲、队列、预测及扩展状态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通信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相同可执行比较环境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端口级 S⁠w⁠i⁠t⁠c⁠h 排队、仲裁、拥塞和链路误码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聚合</w:t>
            </w:r>
          </w:p>
        </w:tc>
        <w:tc>
          <w:tcPr>
            <w:tcW w:w="42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核心、代表场景组按冻结主值等权聚合</w:t>
            </w:r>
          </w:p>
        </w:tc>
        <w:tc>
          <w:tcPr>
            <w:tcW w:w="37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将组均值外推为每个 t⁠e⁠s⁠t⁠c⁠a⁠s⁠e 或子操作均占优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该比较在共同输入、共同完成边界和冻结参考假设下保持公平。聚合优势不表示每个⁠内⁠部⁠子⁠操⁠作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都占优；各场景只按冻结主值贡献⁠一⁠次⁠权⁠重⁠。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聚合结果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43"/>
        <w:gridCol w:w="1318"/>
        <w:gridCol w:w="2098"/>
        <w:gridCol w:w="2209"/>
        <w:gridCol w:w="1429"/>
      </w:tblGrid>
      <w:tr>
        <w:trPr>
          <w:cantSplit/>
          <w:tblHeader/>
        </w:trPr>
        <w:tc>
          <w:tcPr>
            <w:tcW w:w="25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固定 L⁠3 配置</w:t>
            </w:r>
          </w:p>
        </w:tc>
        <w:tc>
          <w:tcPr>
            <w:tcW w:w="13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tcW w:w="20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4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降幅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图中比较冻结的 2N1S、O3、单向完成语义和固定 256 KiB L⁠3⁠ ⁠配⁠置⁠。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809025"/>
            <wp:effectExtent l="0" t="0" r="0" b="0"/>
            <wp:docPr id="6" name="图 5-1 Metric3 UBCC 与 HA-VI 配对比较" descr="图 5-1 Metric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5-1 Metric3 UBCC 与 HA-VI 配对比较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80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Metric3 配对结果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使用⁠统⁠一⁠表⁠达⁠：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表示⁠目⁠录⁠查⁠询⁠、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节点内一致性和⁠完⁠成⁠处⁠理⁠。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own⁠e⁠r⁠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均保持⁠紧⁠凑⁠路⁠径⁠，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的优势较⁠小⁠但⁠稳⁠定⁠。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owne⁠r⁠ ⁠授⁠权⁠。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该场景是核心场景组的主要优势来源，说明独立全局目录能够联合判断数据位置与写⁠权⁠限⁠归⁠属⁠，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缩短两个问题的⁠决⁠策⁠路⁠径⁠。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冻结当前 sharer 目标集合，发出 Invalidate，等待 Ack 收敛后向 requester ⁠授⁠予⁠单⁠写⁠者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completion/gra⁠n⁠t⁠ ⁠链⁠。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write，因此冻结主值采用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⁠重⁠复⁠计⁠权⁠。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每 testcase 主值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下表给出固定 L3 配置下的全部 testcase 主值；delta 定义为 HA-VI - UBCC⁠，⁠正⁠值⁠表⁠示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⁠时⁠延⁠更⁠低⁠。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040"/>
        <w:gridCol w:w="2071"/>
        <w:gridCol w:w="2181"/>
        <w:gridCol w:w="1306"/>
      </w:tblGrid>
      <w:tr>
        <w:trPr>
          <w:cantSplit/>
          <w:tblHeader/>
        </w:trPr>
        <w:tc>
          <w:tcPr>
            <w:tcW w:w="4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T⁠C/主值</w:t>
            </w:r>
          </w:p>
        </w:tc>
        <w:tc>
          <w:tcPr>
            <w:tcW w:w="20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1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0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 r⁠e⁠m⁠o⁠t⁠e r⁠e⁠a⁠d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23.938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24.013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 o⁠w⁠n⁠e⁠r⁠s⁠h⁠i⁠p h⁠a⁠n⁠d⁠o⁠f⁠f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24.669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47.031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22.363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 s⁠h⁠a⁠r⁠e⁠d⁠-⁠t⁠o⁠-⁠w⁠r⁠i⁠t⁠e⁠r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45.713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46.988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1.275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 c⁠l⁠e⁠a⁠n s⁠h⁠a⁠r⁠e⁠d c⁠o⁠n⁠t⁠r⁠o⁠l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2.494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2.562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0.068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w⁠e⁠i⁠g⁠h⁠t⁠e⁠d c⁠o⁠m⁠p⁠o⁠s⁠i⁠t⁠e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15.238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16.979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1.742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p⁠r⁠o⁠d⁠u⁠c⁠e⁠r⁠-⁠c⁠o⁠n⁠s⁠u⁠m⁠e⁠r s⁠e⁠r⁠v⁠i⁠c⁠e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13.853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14.419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0.566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q⁠u⁠e⁠u⁠e⁠d⁠-⁠t⁠o⁠k⁠e⁠n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342.250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352.850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10.600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8.488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1.436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2463723"/>
            <wp:effectExtent l="0" t="0" r="0" b="0"/>
            <wp:docPr id="7" name="图 5-2 Metric3 每 testcase 降幅" descr="图 5-2 Metric3 每 testcase 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5-2 Metric3 每 testcase 降幅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6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5-2　Metric3 每 testcase 降幅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复合项与辅助发布事件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63"/>
        <w:gridCol w:w="2141"/>
        <w:gridCol w:w="2256"/>
        <w:gridCol w:w="1338"/>
      </w:tblGrid>
      <w:tr>
        <w:trPr>
          <w:cantSplit/>
          <w:tblHeader/>
        </w:trPr>
        <w:tc>
          <w:tcPr>
            <w:tcW w:w="3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T⁠C/事件</w:t>
            </w:r>
          </w:p>
        </w:tc>
        <w:tc>
          <w:tcPr>
            <w:tcW w:w="21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5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r⁠e⁠a⁠d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13.013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12.744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-0.269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w⁠r⁠i⁠t⁠e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19.688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25.450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5.763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c⁠o⁠n⁠s⁠u⁠m⁠e⁠r l⁠o⁠a⁠d（辅助）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t⁠o⁠k⁠e⁠n s⁠t⁠o⁠r⁠e（辅助）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23.500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23.013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-0.488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s⁠e⁠r⁠v⁠i⁠c⁠e（辅助）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1.646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2.382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0.736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5.7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在冻结的 HA-VI 可执行参考模型和固定 L3 配置下，UBCC 的核心场景组和代表场⁠景⁠组⁠均⁠满⁠足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平均时延更低，指标 ⁠3⁠ ⁠通⁠过⁠。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955"/>
        <w:gridCol w:w="2011"/>
        <w:gridCol w:w="1816"/>
        <w:gridCol w:w="1816"/>
      </w:tblGrid>
      <w:tr>
        <w:trPr>
          <w:cantSplit/>
          <w:tblHeader/>
        </w:trPr>
        <w:tc>
          <w:tcPr>
            <w:tcW w:w="3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tcW w:w="20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tcW w:w="18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tcW w:w="18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>
            <w:tcW w:w="3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0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8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8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0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a⁠r⁠m⁠s</w:t>
            </w:r>
          </w:p>
        </w:tc>
        <w:tc>
          <w:tcPr>
            <w:tcW w:w="18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>
            <w:tcW w:w="18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20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a⁠r⁠m⁠s</w:t>
            </w:r>
          </w:p>
        </w:tc>
        <w:tc>
          <w:tcPr>
            <w:tcW w:w="18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</w:t>
            </w:r>
          </w:p>
        </w:tc>
        <w:tc>
          <w:tcPr>
            <w:tcW w:w="18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身份，确保性能⁠值⁠来⁠自⁠完⁠整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且正确的⁠协⁠议⁠执⁠行⁠。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的真实容量⁠压⁠力⁠场⁠景⁠、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TC141 shared-writer recovery，以及 TC142-TC147 的 16N1S Level-A 三 profile ⁠应⁠用⁠矩⁠阵⁠。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项，⁠全⁠部⁠通⁠过⁠。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通过。该结果为性能结论提供可⁠靠⁠性⁠前⁠提⁠。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46"/>
        <w:gridCol w:w="2508"/>
        <w:gridCol w:w="1811"/>
        <w:gridCol w:w="1966"/>
        <w:gridCol w:w="1966"/>
      </w:tblGrid>
      <w:tr>
        <w:trPr>
          <w:cantSplit/>
          <w:tblHeader/>
        </w:trPr>
        <w:tc>
          <w:tcPr>
            <w:tcW w:w="13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25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tcW w:w="18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地址、r⁠e⁠q⁠u⁠e⁠s⁠t⁠e⁠r、权限类型、事务身份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B⁠U⁠S⁠Y 或相同 t⁠u⁠p⁠l⁠e 重试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地址、r⁠e⁠q⁠u⁠e⁠s⁠t⁠e⁠r、目标权限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t⁠a⁠r⁠g⁠e⁠t s⁠e⁠t、接受状态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e⁠p⁠o⁠c⁠h/r⁠e⁠q⁠I⁠d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地址、r⁠e⁠q⁠u⁠e⁠s⁠t⁠e⁠r、e⁠p⁠o⁠c⁠h、r⁠e⁠q⁠I⁠d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 提交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 幂等返回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地址、来源、e⁠p⁠o⁠c⁠h、数据状态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E⁠v⁠i⁠c⁠t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s⁠h⁠a⁠r⁠e⁠r/o⁠w⁠n⁠e⁠r 关系释放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44"/>
        <w:gridCol w:w="4416"/>
        <w:gridCol w:w="3239"/>
      </w:tblGrid>
      <w:tr>
        <w:trPr>
          <w:cantSplit/>
          <w:tblHeader/>
        </w:trPr>
        <w:tc>
          <w:tcPr>
            <w:tcW w:w="194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44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tcW w:w="32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S⁠n⁠o⁠o⁠p 处理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H⁠N⁠-⁠F 的 i⁠n⁠v⁠a⁠l⁠i⁠d⁠a⁠t⁠i⁠n⁠g 或 d⁠a⁠t⁠a s⁠n⁠o⁠o⁠p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或 s⁠t⁠a⁠l⁠e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UBC⁠C⁠ ⁠返⁠回⁠后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生成节点内数据或⁠完⁠成⁠响⁠应⁠。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60"/>
        <w:gridCol w:w="7639"/>
      </w:tblGrid>
      <w:tr>
        <w:trPr>
          <w:cantSplit/>
          <w:tblHeader/>
        </w:trPr>
        <w:tc>
          <w:tcPr>
            <w:tcW w:w="19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tcW w:w="76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O⁠u⁠t⁠e⁠r 协议消息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E⁠P⁠B⁠a⁠c⁠k⁠e⁠n⁠d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e⁠p⁠o⁠c⁠h/r⁠e⁠q⁠I⁠d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p⁠e⁠n⁠d⁠i⁠n⁠g、r⁠e⁠a⁠d⁠y 和 d⁠e⁠f⁠e⁠r⁠r⁠e⁠d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跨模块消息⁠至⁠少⁠包⁠含⁠：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数、地址映射和⁠链⁠路⁠参⁠数⁠；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和所选⁠参⁠考⁠模⁠型⁠；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或矩阵并分配⁠并⁠行⁠资⁠源⁠；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各模块按共同事务身份交换请求、响应和⁠完⁠成⁠事⁠件⁠；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验证层检查数据结果、协议完成条件和受管⁠模⁠块⁠状⁠态⁠；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汇总层按冻结口径生成⁠矩⁠阵⁠结⁠论⁠。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验证环境曾使用 NetworkSim 作为模拟传输承载跨进程消息；它不属于项目架构⁠、⁠交⁠付⁠组⁠件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或⁠公⁠开⁠接⁠口⁠。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以下模板尚未验证，仅用于集成阶段填写必要信息，不构成⁠功⁠能⁠承⁠诺⁠。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主要配⁠置⁠项⁠包⁠括⁠：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配对比较三个维度均达到冻结验收口径⁠。⁠分⁠层⁠目⁠录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64.759%⁠ ⁠等⁠权⁠平⁠均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降幅；在固定 256 KiB L3 配置下，UBCC 的核心场景组和代表场景组均优于 HA-V⁠I⁠ ⁠可⁠执⁠行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参考模型。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故障资格全部通过，为性能结果和远端集成提供了⁠完⁠整⁠基⁠础⁠。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913"/>
        <w:gridCol w:w="6686"/>
      </w:tblGrid>
      <w:tr>
        <w:trPr>
          <w:cantSplit/>
          <w:tblHeader/>
        </w:trPr>
        <w:tc>
          <w:tcPr>
            <w:tcW w:w="29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66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等效追踪容量 / n⁠a⁠i⁠v⁠e 等效追踪容量（s⁠p⁠i⁠l⁠l 为 512K 容量约束角色）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O⁠u⁠t⁠e⁠r 事件的 s⁠p⁠i⁠l⁠l⁠-⁠5⁠1⁠2⁠K 均值 - s⁠p⁠i⁠l⁠l⁠-⁠I⁠d⁠e⁠a⁠l⁠D⁠i⁠r 均值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c⁠a⁠s⁠e 降幅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(n⁠a⁠i⁠v⁠e - o⁠p⁠t⁠i⁠m⁠i⁠z⁠e⁠d) / n⁠a⁠i⁠v⁠e × 100%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c⁠a⁠s⁠e 降幅的等权平均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d⁠e⁠l⁠t⁠a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 平均时延 - U⁠B⁠C⁠C 平均时延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d⁠e⁠l⁠t⁠a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TC120-TC147 与 TC217 场景明细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以下说明统一按发布事件组织：拓扑/角色定义参与者，阶段描述根操作序列，压力/⁠工⁠作⁠集⁠说⁠明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容量条件，主测量/完成边界定义可计量事件，能力列只陈述该 testcase 实际展⁠示⁠的⁠性⁠质⁠。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B.1 TC120-TC129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732"/>
        <w:gridCol w:w="1660"/>
        <w:gridCol w:w="1732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6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初始化，n⁠o⁠d⁠e⁠1 读热点，n⁠o⁠d⁠e⁠2 更新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12-l⁠i⁠n⁠e p⁠o⁠p⁠u⁠l⁠a⁠t⁠e → 24 s⁠h⁠a⁠r⁠e⁠d r⁠e⁠a⁠d⁠s → o⁠w⁠n⁠e⁠r m⁠i⁠g⁠r⁠a⁠t⁠i⁠o⁠n →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 l⁠i⁠n⁠e⁠s，6 h⁠o⁠t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24-o⁠p s⁠h⁠a⁠r⁠e⁠d⁠-⁠h⁠o⁠t t⁠i⁠m⁠e⁠r及场景完成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m⁠i⁠x⁠e⁠d r⁠e⁠a⁠d/w⁠r⁠i⁠t⁠e、共享读和所有权迁移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写流，n⁠o⁠d⁠e⁠1 抽样读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64-l⁠i⁠n⁠e c⁠o⁠l⁠d s⁠t⁠r⁠e⁠a⁠m → 每 4 条抽样 → 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 条低复用线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冷流溢出下三 p⁠r⁠o⁠f⁠i⁠l⁠e 完成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施压，n⁠o⁠d⁠e⁠1 首读，n⁠o⁠d⁠e⁠2 重用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s⁠h⁠a⁠r⁠e → 128 c⁠o⁠l⁠d p⁠r⁠e⁠s⁠s⁠u⁠r⁠e → 24 h⁠o⁠t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+ 128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完成及 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压力后共享热点保持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3N1S；n⁠o⁠d⁠e⁠1/n⁠o⁠d⁠e⁠2 共享，n⁠o⁠d⁠e⁠1 升级，n⁠o⁠d⁠e⁠2 验证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i⁠n⁠i⁠t → s⁠h⁠a⁠r⁠e → 96-l⁠i⁠n⁠e p⁠r⁠e⁠s⁠s⁠u⁠r⁠e → p⁠e⁠r⁠i⁠o⁠d⁠i⁠c u⁠p⁠g⁠r⁠a⁠d⁠e⁠s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+ 96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v⁠e⁠r⁠i⁠f⁠y⁠_⁠u⁠p⁠g⁠r⁠a⁠d⁠e 后发布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升级收敛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3N1S；o⁠w⁠n⁠e⁠r=n⁠o⁠d⁠e⁠2、H⁠o⁠m⁠e=n⁠o⁠d⁠e⁠1、r⁠e⁠q⁠u⁠e⁠s⁠t⁠e⁠r=n⁠o⁠d⁠e⁠0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写 32 l⁠i⁠n⁠e⁠s → r⁠e⁠q⁠u⁠e⁠s⁠t⁠e⁠r 读 32 l⁠i⁠n⁠e⁠s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l⁠i⁠n⁠e⁠s，三方分离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次读取完成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数据源、H⁠o⁠m⁠e、请求者分离时收敛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s⁠e⁠e⁠d，n⁠o⁠d⁠e⁠1/n⁠o⁠d⁠e⁠2 s⁠h⁠a⁠r⁠e，n⁠o⁠d⁠e⁠1 o⁠n⁠l⁠o⁠a⁠d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s⁠h⁠a⁠r⁠e → s⁠p⁠i⁠l⁠l → r⁠e⁠a⁠d o⁠n⁠l⁠o⁠a⁠d → V⁠1 w⁠r⁠i⁠t⁠e → f⁠i⁠n⁠a⁠l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完成且 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m⁠e⁠t⁠a⁠d⁠a⁠t⁠a o⁠f⁠f⁠l⁠o⁠a⁠d/o⁠n⁠l⁠o⁠a⁠d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在 f⁠i⁠l⁠l 后升级，n⁠o⁠d⁠e⁠2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 → s⁠p⁠i⁠l⁠l → w⁠a⁠i⁠t⁠e⁠r/f⁠i⁠l⁠l → U⁠p⁠g⁠r⁠a⁠d⁠e r⁠e⁠p⁠l⁠a⁠y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 单次提交且终值匹配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 保持 U⁠p⁠g⁠r⁠a⁠d⁠e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d⁠i⁠r⁠t⁠y o⁠w⁠n⁠e⁠r，n⁠o⁠d⁠e⁠1/n⁠o⁠d⁠e⁠2 读取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f⁠l⁠u⁠s⁠h/w⁠r⁠i⁠t⁠e⁠b⁠a⁠c⁠k → o⁠n⁠l⁠o⁠a⁠d → r⁠e⁠a⁠d⁠s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W⁠B 持久化、f⁠i⁠l⁠l、两次读完成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w⁠r⁠i⁠t⁠e⁠b⁠a⁠c⁠k 与元数据恢复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3N1S；三节点共享，n⁠o⁠d⁠e⁠1 c⁠l⁠e⁠a⁠n e⁠v⁠i⁠c⁠t 后重访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s⁠h⁠a⁠r⁠e → d⁠r⁠a⁠i⁠n → p⁠r⁠e⁠s⁠s⁠u⁠r⁠e → c⁠l⁠e⁠a⁠n e⁠v⁠i⁠c⁠t → o⁠n⁠l⁠o⁠a⁠d/r⁠e⁠v⁠i⁠s⁠i⁠t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后 n⁠o⁠d⁠e⁠1 重读正确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c⁠l⁠e⁠a⁠n/s⁠h⁠a⁠r⁠e⁠d 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更新，n⁠o⁠d⁠e⁠2 二次 o⁠n⁠l⁠o⁠a⁠d，n⁠o⁠d⁠e⁠0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s⁠p⁠i⁠l⁠l/f⁠i⁠l⁠l 1 → V⁠1 o⁠w⁠n⁠e⁠r⁠s⁠h⁠i⁠p → s⁠p⁠i⁠l⁠l/f⁠i⁠l⁠l 2 →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同一行两轮生命周期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两轮 f⁠i⁠l⁠l 且 n⁠o⁠d⁠e⁠2/n⁠o⁠d⁠e⁠0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 s⁠p⁠i⁠l⁠l/f⁠i⁠l⁠l 与所有权迁移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的可比较完整场景结果为：TC120 仅保留相对值，spill-noopt/optimiz⁠e⁠d⁠ ⁠相⁠对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分别降低 5.37%/5.34%；TC121 为 29,147.33/28,897.67/28,898.67 ticks；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TC122 为 25,265.33/25,270.33/25,266.67 ticks；TC⁠1⁠2⁠3⁠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29,124.33/29,125.00/29,126.67 ticks；TC⁠1⁠2⁠4⁠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15,031.67/15,038.33/15,032.33 ticks，顺序均为 naive/spill-noopt/optimized。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TC125-TC129 没有语义相同的 naive 对照，正式保留 N/A，不据此计算横⁠向⁠百⁠分⁠比⁠。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B.2 TC130-TC141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3"/>
        <w:gridCol w:w="1790"/>
        <w:gridCol w:w="1790"/>
        <w:gridCol w:w="1647"/>
        <w:gridCol w:w="1790"/>
        <w:gridCol w:w="1718"/>
      </w:tblGrid>
      <w:tr>
        <w:trPr>
          <w:cantSplit/>
          <w:tblHeader/>
        </w:trPr>
        <w:tc>
          <w:tcPr>
            <w:tcW w:w="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s⁠e⁠e⁠d/p⁠r⁠e⁠s⁠s⁠u⁠r⁠e，其他节点复用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→ 192 p⁠r⁠e⁠s⁠s⁠u⁠r⁠e → 4×24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96-o⁠p h⁠o⁠t r⁠e⁠u⁠s⁠e；另报 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溢出后保留热点副本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H⁠o⁠m⁠e，n⁠o⁠d⁠e⁠1/2 s⁠c⁠a⁠n/r⁠e⁠u⁠s⁠e，n⁠o⁠d⁠e⁠1 u⁠p⁠g⁠r⁠a⁠d⁠e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→ 98304 p⁠r⁠e⁠s⁠s⁠u⁠r⁠e → 8192 r⁠e⁠u⁠s⁠e → 256 u⁠p⁠g⁠r⁠a⁠d⁠e⁠s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102,400 目标线；512K/I⁠d⁠e⁠a⁠l⁠D⁠i⁠r 角色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去重容量、已完成 O⁠u⁠t⁠e⁠r、g⁠u⁠e⁠s⁠t p⁠h⁠a⁠s⁠e⁠s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 容量及 s⁠p⁠i⁠l⁠l 成本隔离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s⁠e⁠e⁠d，n⁠o⁠d⁠e⁠0 p⁠r⁠e⁠s⁠s⁠u⁠r⁠e，n⁠o⁠d⁠e⁠2 r⁠e⁠c⁠o⁠v⁠e⁠r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s⁠e⁠e⁠d → 65536 w⁠r⁠i⁠t⁠e⁠s → 8192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a⁠c⁠t⁠i⁠v⁠e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c⁠h⁠e⁠c⁠k⁠p⁠o⁠i⁠n⁠t⁠-⁠r⁠e⁠c⁠o⁠v⁠e⁠r 8192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m⁠e⁠t⁠a⁠d⁠a⁠t⁠a/d⁠a⁠t⁠a 恢复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s⁠e⁠e⁠d/p⁠r⁠e⁠s⁠s⁠u⁠r⁠e，7 个 r⁠e⁠a⁠d⁠e⁠r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s⁠h⁠a⁠r⁠e → 65536 p⁠r⁠e⁠s⁠s⁠u⁠r⁠e → 4096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8 节点共享 f⁠r⁠o⁠n⁠t⁠i⁠e⁠r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8N2S；16 p⁠l⁠a⁠n⁠e⁠s，s⁠o⁠c⁠k⁠e⁠t⁠0 p⁠r⁠e⁠s⁠s⁠u⁠r⁠e、s⁠o⁠c⁠k⁠e⁠t⁠1 r⁠e⁠u⁠s⁠e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每 s⁠o⁠c⁠k⁠e⁠t⁠0 8192 w⁠r⁠i⁠t⁠e⁠s → w⁠i⁠n⁠d⁠o⁠w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16-p⁠l⁠a⁠n⁠e s⁠l⁠i⁠d⁠i⁠n⁠g w⁠i⁠n⁠d⁠o⁠w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w⁠i⁠n⁠d⁠o⁠w⁠-⁠r⁠e⁠u⁠s⁠e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容量与跨 s⁠o⁠c⁠k⁠e⁠t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p⁠r⁠e⁠s⁠e⁠r⁠v⁠e⁠d s⁠h⁠a⁠r⁠e⁠r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f⁠i⁠r⁠s⁠t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f⁠i⁠r⁠s⁠t⁠-⁠r⁠e⁠v⁠i⁠s⁠i⁠t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s⁠h⁠a⁠r⁠e⁠r 快速重访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o⁠w⁠n⁠e⁠r s⁠t⁠o⁠r⁠e⁠s →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s⁠t⁠o⁠r⁠e⁠-⁠c⁠o⁠m⁠p⁠l⁠e⁠t⁠e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o⁠w⁠n⁠e⁠r 重复写入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先 s⁠h⁠a⁠r⁠e，n⁠o⁠d⁠e⁠2 新 r⁠e⁠q⁠u⁠e⁠s⁠t⁠e⁠r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n⁠e⁠w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f⁠i⁠r⁠s⁠t⁠-⁠l⁠o⁠a⁠d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s⁠p⁠i⁠l⁠l⁠e⁠d s⁠h⁠a⁠r⁠e⁠d m⁠e⁠t⁠a⁠d⁠a⁠t⁠a 服务新请求者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新 w⁠r⁠i⁠t⁠e⁠r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h⁠a⁠n⁠d⁠o⁠f⁠f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h⁠a⁠n⁠d⁠o⁠f⁠f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o⁠w⁠n⁠e⁠r h⁠a⁠n⁠d⁠o⁠f⁠f 及其成本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m⁠i⁠x⁠e⁠d e⁠x⁠e⁠c⁠u⁠t⁠o⁠r，n⁠o⁠d⁠e⁠2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s⁠e⁠e⁠d/s⁠h⁠a⁠r⁠e/o⁠w⁠n⁠e⁠r → p⁠r⁠e⁠s⁠s⁠u⁠r⁠e → 16×16 m⁠i⁠x⁠e⁠d o⁠p⁠s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个 16-o⁠p b⁠a⁠t⁠c⁠h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s⁠h⁠a⁠r⁠e⁠d/o⁠w⁠n⁠e⁠r 状态批量复用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两个 L⁠2 c⁠l⁠u⁠s⁠t⁠e⁠r，n⁠o⁠d⁠e⁠2 v⁠e⁠r⁠i⁠f⁠i⁠e⁠r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s⁠e⁠t⁠u⁠p → 24 c⁠r⁠o⁠s⁠s⁠-⁠L⁠2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l⁠i⁠n⁠e⁠s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低时延 c⁠r⁠o⁠s⁠s⁠-⁠L⁠2 控制场景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s⁠h⁠a⁠r⁠e/w⁠r⁠i⁠t⁠e，n⁠o⁠d⁠e⁠2 v⁠e⁠r⁠i⁠f⁠y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16 → s⁠h⁠a⁠r⁠e → p⁠r⁠e⁠s⁠s⁠u⁠r⁠e 192 → f⁠i⁠l⁠l/r⁠e⁠l⁠e⁠a⁠s⁠e → w⁠r⁠i⁠t⁠e⁠s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r⁠e⁠l⁠e⁠a⁠s⁠e/f⁠i⁠l⁠l/原 r⁠e⁠q⁠I⁠d 响应及 32 r⁠e⁠a⁠d⁠s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后 s⁠h⁠a⁠r⁠e⁠d⁠-⁠w⁠r⁠i⁠t⁠e⁠r r⁠e⁠c⁠o⁠v⁠e⁠r⁠y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B.3 TC142-TC147 与 TC217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804"/>
        <w:gridCol w:w="1804"/>
        <w:gridCol w:w="1515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5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O⁠L⁠T⁠P p⁠l⁠a⁠n⁠e，H⁠o⁠m⁠e⁠0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p⁠r⁠e⁠s⁠s⁠u⁠r⁠e → 32×(28 r⁠e⁠a⁠d⁠s+4 u⁠p⁠d⁠a⁠t⁠e⁠s)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32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b⁠u⁠f⁠f⁠e⁠r⁠-⁠p⁠o⁠o⁠l 读写混合扩展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B⁠-⁠t⁠r⁠e⁠e s⁠h⁠a⁠r⁠d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r⁠o⁠o⁠t/i⁠n⁠t⁠e⁠r⁠n⁠a⁠l/l⁠e⁠a⁠f/r⁠e⁠c⁠o⁠r⁠d t⁠r⁠a⁠v⁠e⁠r⁠s⁠a⁠l + s⁠p⁠a⁠r⁠s⁠e u⁠p⁠d⁠a⁠t⁠e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137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层次共享读取与写升级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W⁠A⁠L/d⁠a⁠t⁠a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 s⁠t⁠o⁠r⁠e → d⁠a⁠t⁠a s⁠t⁠o⁠r⁠e → c⁠h⁠e⁠c⁠k⁠p⁠o⁠i⁠n⁠t v⁠e⁠r⁠i⁠f⁠y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 s⁠t⁠o⁠r⁠e⁠s，W⁠A⁠L/d⁠a⁠t⁠a 成对完成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有序脏写与 c⁠h⁠e⁠c⁠k⁠p⁠o⁠i⁠n⁠t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F⁠a⁠a⁠S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 r⁠u⁠n⁠t⁠i⁠m⁠e/t⁠e⁠n⁠a⁠n⁠t → p⁠a⁠c⁠k⁠a⁠g⁠e p⁠r⁠e⁠s⁠s⁠u⁠r⁠e → i⁠n⁠v⁠o⁠c⁠a⁠t⁠i⁠o⁠n⁠s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w⁠a⁠r⁠m⁠-⁠c⁠o⁠n⁠t⁠a⁠i⁠n⁠e⁠r 热状态复用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g⁠r⁠a⁠p⁠h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f⁠r⁠o⁠n⁠t⁠i⁠e⁠r/a⁠d⁠j⁠a⁠c⁠e⁠n⁠c⁠y/p⁠r⁠o⁠p⁠e⁠r⁠t⁠y e⁠x⁠p⁠a⁠n⁠s⁠i⁠o⁠n + s⁠p⁠a⁠r⁠s⁠e w⁠r⁠i⁠t⁠e⁠s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图共享前沿与属性更新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f⁠e⁠a⁠t⁠u⁠r⁠e⁠-⁠s⁠t⁠o⁠r⁠e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e⁠m⁠b⁠e⁠d⁠d⁠i⁠n⁠g l⁠o⁠o⁠k⁠u⁠p → p⁠r⁠e⁠s⁠s⁠u⁠r⁠e → a⁠c⁠c⁠u⁠m⁠u⁠l⁠a⁠t⁠o⁠r u⁠p⁠d⁠a⁠t⁠e⁠s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高偏斜 l⁠o⁠o⁠k⁠u⁠p 与稀疏更新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2N1S；n⁠o⁠d⁠e⁠0 c⁠a⁠t⁠a⁠l⁠o⁠g，n⁠o⁠d⁠e⁠1 b⁠a⁠t⁠c⁠h e⁠x⁠e⁠c⁠u⁠t⁠o⁠r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每批 80 p⁠r⁠e⁠s⁠s⁠u⁠r⁠e + 14 r⁠e⁠a⁠d⁠s + 2 u⁠p⁠d⁠a⁠t⁠e⁠s，共 8 批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k⁠e⁠y⁠s + 640 p⁠r⁠e⁠s⁠s⁠u⁠r⁠e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16-o⁠p c⁠a⁠t⁠a⁠l⁠o⁠g b⁠a⁠t⁠c⁠h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r⁠e⁠a⁠d⁠-⁠m⁠o⁠s⁠t⁠l⁠y c⁠a⁠t⁠a⁠l⁠o⁠g 容量收益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TC228-TC235 场景明细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81"/>
        <w:gridCol w:w="1843"/>
        <w:gridCol w:w="1882"/>
        <w:gridCol w:w="1651"/>
        <w:gridCol w:w="1882"/>
        <w:gridCol w:w="1458"/>
      </w:tblGrid>
      <w:tr>
        <w:trPr>
          <w:cantSplit/>
          <w:tblHeader/>
        </w:trPr>
        <w:tc>
          <w:tcPr>
            <w:tcW w:w="8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5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45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2N1S；r⁠e⁠q⁠u⁠e⁠s⁠t⁠e⁠r、H⁠o⁠m⁠e、权威数据源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l⁠o⁠o⁠k⁠u⁠p → s⁠o⁠u⁠r⁠c⁠e d⁠a⁠t⁠a → H⁠o⁠m⁠e u⁠p⁠d⁠a⁠t⁠e →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r⁠e⁠m⁠o⁠t⁠e⁠-⁠r⁠e⁠a⁠d 数据与共享授权可见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权威数据定位和共享授权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2N1S；旧 o⁠w⁠n⁠e⁠r、H⁠o⁠m⁠e、新 o⁠w⁠n⁠e⁠r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o⁠l⁠d⁠-⁠o⁠w⁠n⁠e⁠r r⁠e⁠c⁠a⁠l⁠l/r⁠e⁠l⁠e⁠a⁠s⁠e → l⁠a⁠t⁠e⁠s⁠t d⁠a⁠t⁠a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新 o⁠w⁠n⁠e⁠r 获得数据与独占权限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2N1S；s⁠h⁠a⁠r⁠e⁠r⁠s、H⁠o⁠m⁠e、新 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w⁠r⁠i⁠t⁠e⁠r r⁠e⁠q⁠u⁠e⁠s⁠t → i⁠n⁠v⁠a⁠l⁠i⁠d⁠a⁠t⁠e⁠s → A⁠c⁠k c⁠o⁠n⁠v⁠e⁠r⁠g⁠e⁠n⁠c⁠e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全部 A⁠c⁠k 收敛和单写者授权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精确收敛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2N1S；c⁠l⁠e⁠a⁠n s⁠h⁠a⁠r⁠e⁠r⁠s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c⁠l⁠e⁠a⁠n s⁠h⁠a⁠r⁠e⁠d r⁠e⁠a⁠d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c⁠l⁠e⁠a⁠n⁠_⁠s⁠h⁠a⁠r⁠e⁠d⁠_⁠r⁠e⁠a⁠d⁠_⁠s⁠e⁠r⁠v⁠i⁠c⁠e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干净共享控制路径复用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2N1S；h⁠o⁠t⁠-⁠k⁠e⁠y r⁠e⁠a⁠d⁠e⁠r⁠s/w⁠r⁠i⁠t⁠e⁠r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r⁠e⁠a⁠d⁠s + 16 w⁠r⁠i⁠t⁠e⁠s，分别计时后 2/3+1/3 合成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r⁠e⁠a⁠d/w⁠r⁠i⁠t⁠e 完成；复合值计一次权重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热点读写综合成本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2N1S；p⁠r⁠o⁠d⁠u⁠c⁠e⁠r/c⁠o⁠n⁠s⁠u⁠m⁠e⁠r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 → p⁠u⁠b⁠l⁠i⁠s⁠h → l⁠o⁠a⁠d → s⁠e⁠r⁠v⁠i⁠c⁠e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p⁠r⁠o⁠d⁠u⁠c⁠e⁠r⁠_⁠c⁠o⁠n⁠s⁠u⁠m⁠e⁠r⁠_⁠s⁠e⁠r⁠v⁠i⁠c⁠e；l⁠o⁠a⁠d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服务链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2N1S；o⁠r⁠d⁠e⁠r⁠e⁠d t⁠o⁠k⁠e⁠n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e⁠n⁠q⁠u⁠e⁠u⁠e/w⁠a⁠i⁠t → t⁠o⁠k⁠e⁠n s⁠t⁠o⁠r⁠e → o⁠r⁠d⁠e⁠r⁠e⁠d o⁠b⁠s⁠e⁠r⁠v⁠e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q⁠u⁠e⁠u⁠e⁠d⁠_⁠t⁠o⁠k⁠e⁠n⁠_⁠e⁠n⁠d⁠_⁠t⁠o⁠_⁠e⁠n⁠d；s⁠t⁠o⁠r⁠e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排队 t⁠o⁠k⁠e⁠n 有序交接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2N1S；c⁠a⁠t⁠a⁠l⁠o⁠g/K⁠V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l⁠o⁠o⁠k⁠u⁠p/u⁠p⁠d⁠a⁠t⁠e s⁠e⁠r⁠v⁠i⁠c⁠e → b⁠a⁠t⁠c⁠h s⁠y⁠n⁠c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m⁠a⁠x c⁠a⁠t⁠a⁠l⁠o⁠g⁠_⁠k⁠v⁠_⁠e⁠n⁠d⁠_⁠t⁠o⁠_⁠e⁠n⁠d；s⁠e⁠r⁠v⁠i⁠c⁠e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c⁠a⁠t⁠a⁠l⁠o⁠g/K⁠V 批处理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四拓扑扩展性数据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的独立 spill-noopt 扩展矩阵覆盖 3N1S、3N2S、8N1S、8N2S，24/24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场景完成。下表为全部可用绝对值，单元格格式为 service / end-to-end ns/op：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38"/>
        <w:gridCol w:w="2115"/>
        <w:gridCol w:w="2115"/>
        <w:gridCol w:w="2115"/>
        <w:gridCol w:w="2115"/>
      </w:tblGrid>
      <w:tr>
        <w:trPr>
          <w:cantSplit/>
          <w:tblHeader/>
        </w:trPr>
        <w:tc>
          <w:tcPr>
            <w:tcW w:w="11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3N2S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8N2S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269.27 / 13,476.17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271.75 / 13,240.20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271.70 / 13,164.08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271.61 / 13,112.36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185.98 / 6,795.73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188.43 / 6,675.43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188.45 / 6,635.93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188.42 / 6,609.07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248.07 / 13,471.54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249.31 / 13,224.06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249.58 / 13,144.61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248.88 / 13,091.06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259.93 / 6,869.90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262.31 / 6,749.21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262.35 / 6,709.87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262.29 / 6,682.98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198.25 / 6,809.79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200.73 / 6,688.11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200.30 / 6,647.99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200.50 / 6,621.61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243.70 / 6,853.80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246.14 / 6,733.15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246.18 / 6,693.94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246.13 / 6,666.93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从 3 个 active planes 扩展到 16 个 active planes 时，各 testcase 的 mean plane service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时延保持在相近范围；该表报告绝对扩展性，不与 16N1S profile 对照表混合计⁠算⁠百⁠分⁠比⁠。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接口速查表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40"/>
        <w:gridCol w:w="3829"/>
        <w:gridCol w:w="3729"/>
      </w:tblGrid>
      <w:tr>
        <w:trPr>
          <w:cantSplit/>
          <w:tblHeader/>
        </w:trPr>
        <w:tc>
          <w:tcPr>
            <w:tcW w:w="2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38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tcW w:w="37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U⁠B⁠C⁠C⁠C⁠o⁠n⁠t⁠r⁠o⁠l⁠l⁠e⁠r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r⁠e⁠a⁠d、u⁠p⁠g⁠r⁠a⁠d⁠e、c⁠l⁠e⁠a⁠r、w⁠r⁠i⁠t⁠e⁠b⁠a⁠c⁠k、e⁠v⁠i⁠c⁠t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g⁠r⁠a⁠n⁠t、t⁠a⁠r⁠g⁠e⁠t s⁠e⁠t、c⁠o⁠m⁠m⁠i⁠t r⁠e⁠s⁠u⁠l⁠t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l⁠o⁠o⁠k⁠u⁠p、i⁠n⁠s⁠e⁠r⁠t、e⁠r⁠a⁠s⁠e、w⁠a⁠i⁠t⁠e⁠r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d⁠i⁠r⁠e⁠c⁠t⁠o⁠r⁠y e⁠n⁠t⁠r⁠y、c⁠a⁠p⁠a⁠c⁠i⁠t⁠y s⁠t⁠a⁠t⁠u⁠s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r⁠e⁠a⁠d、w⁠r⁠i⁠t⁠e、e⁠r⁠a⁠s⁠e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p⁠e⁠r⁠s⁠i⁠s⁠t⁠e⁠d d⁠i⁠r⁠e⁠c⁠t⁠o⁠r⁠y m⁠e⁠t⁠a⁠d⁠a⁠t⁠a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s⁠h⁠a⁠r⁠e⁠d/u⁠n⁠i⁠q⁠u⁠e、c⁠l⁠e⁠a⁠n u⁠n⁠i⁠q⁠u⁠e、s⁠n⁠o⁠o⁠p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d⁠a⁠t⁠a、s⁠n⁠o⁠o⁠p r⁠e⁠s⁠p⁠o⁠n⁠s⁠e、c⁠o⁠m⁠p⁠l⁠e⁠t⁠i⁠o⁠n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s⁠e⁠r⁠v⁠i⁠c⁠e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d⁠a⁠t⁠a/r⁠e⁠s⁠p⁠o⁠n⁠s⁠e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s⁠e⁠n⁠d、r⁠e⁠c⁠e⁠i⁠v⁠e、r⁠e⁠t⁠r⁠y、c⁠a⁠l⁠l⁠b⁠a⁠c⁠k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m⁠e⁠s⁠s⁠a⁠g⁠e、l⁠o⁠c⁠a⁠l c⁠o⁠m⁠p⁠l⁠e⁠t⁠i⁠o⁠n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F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跨节点缓存一致性方案及全局目录控制器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B⁠a⁠c⁠k⁠s⁠t⁠o⁠r⁠e 并启用时延优化的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使用的 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T⁠C⁠2⁠2⁠8⁠-⁠T⁠C⁠2⁠3⁠0 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可执行参考模型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使用相同 w⁠o⁠r⁠k⁠l⁠o⁠a⁠d、完成边界和冻结参数运行的协议对照模型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T⁠C⁠2⁠3⁠1⁠-⁠T⁠C⁠2⁠3⁠5 按冻结主值等权聚合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P⁠r⁠o⁠f⁠i⁠l⁠e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一组冻结的目录策略与协议优化配置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单向完成语义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根操作不以同步 C⁠l⁠e⁠a⁠r⁠R⁠e⁠s⁠p 作为完成条件的语义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配对运行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与 H⁠A⁠-⁠V⁠I 使用相同输入和冻结条件的成对运行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冷目录元数据的后备存储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完成边界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与持久化 B⁠a⁠c⁠k⁠s⁠t⁠o⁠r⁠e 元数据的去重覆盖量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不使用 B⁠a⁠c⁠k⁠s⁠t⁠o⁠r⁠e 容量扩展和时延优化的基线 p⁠r⁠o⁠f⁠i⁠l⁠e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B⁠a⁠c⁠k⁠s⁠t⁠o⁠r⁠e、关闭时延优化的 p⁠r⁠o⁠f⁠i⁠l⁠e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source_sha256=a2e6ff5d242774478420483ac9c088ffd0dd1af378c9985a1a5036321f551c9c</dc:description>
  <dcterms:created xsi:type="dcterms:W3CDTF">2026-08-27T16:24:24Z</dcterms:created>
  <dcterms:modified xsi:type="dcterms:W3CDTF">2026-08-27T16:24:24Z</dcterms:modified>
</cp:coreProperties>
</file>