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文档版本：V1.0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交付阶段：正式文档第一版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执行摘要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验收方法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1：等效追踪容量与附加时延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2：适用场景端到端时延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 配对比较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正确性与回归结果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集成接口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集成流程与验证模板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指标口径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指标 2 场景说明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指标 3 场景说明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接口速查表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E 术语表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配对比较三项指标。三项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指标均达到冻结验收口径。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cycles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21.069156 cycles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3：UBCC 相对 HA-VI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UBCC 平均时延更低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两压力点、两场景组全部满足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结论与范围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 1.515×；附加时延 10.534578 ns / 21.069156 cycles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当前两个合格证据集按各自冻结职责组合计分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适用场景等权平均降幅 64.759276%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冻结计分 testcase 与适用门槛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两压力点的两个场景组均满足 UBCC 聚合均值更低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HA-VI 可执行参考模型，不代表物理芯片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不作本次交付能力或性能主张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未建模客户硬件和端口级 Switch 微体系结构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性能结论以正确性验证为前提：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legacy profile 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72/72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arms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 arms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160/160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Q1-Q5 故障资格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1.4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数值，支撑结果集验证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生命周期、真实容量压力和代表应用的可迁移性。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TC131、TC135-TC140、TC217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TC120-TC129、TC141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验证访问模式、offload/onload、writeback、replay 和 shared-writer recovery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TC130-TC134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验证热点复用、catalog、checkpoint、frontier 和 sliding window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TC142-TC147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验证数据库、FaaS、图计算和 feature store 在 16N1S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的收益来源和适用场景，并排除合同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结果由单一 workload 产生的替代解释。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1.5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 HA-VI 可执行参考模型为对照，冻结条件为 2N1S、O3、单向完成语义以及 100%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 150% L3 压力。该比较用于评估 UBCC 与冻结参考模型在相同 workload 和完成边界下的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协议时延，不等同于客户物理芯片实测。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的基础配置使用三个 profile：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Profile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目录策略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时延优化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naive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满时直接替换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SRAM 基线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spill-noopt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证明容量扩展本身的收益与成本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optimized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证明协议优化后的应用场景价值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Metric1 在此基础上把 spill-noopt 分成两个显式实验角色：spill-512K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spill-IdealDir；naive 仅用于容量分母。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包含两个子项：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spill / naive 等效追踪容量比不低于 1.5，其中 spill 为 512K 容量约束角色；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spill-512K - spill-IdealDir 的已完成 Outer 事件平均时延增量低于 50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 ResidentDir 与已持久化 Backstore 元数据的去重覆盖量计算。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当前保留证据不是一个已经完成的三角色 3×3 九运行矩阵。容量值来自 legacy 72-run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profile 矩阵中 naive 与 spill-noopt 的三次重复；optimized 仅提供支撑证据，不进入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容量分母或分子。修正时延来自另一组独立矩阵，即三次重复分别执行 spill-512K 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spill-IdealDir，共 6 个物理 arms。两个合格证据集按各自冻结职责组合形成当前接受值，既不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把 optimized 混入容量计算，也不对跨证据集运行重复加权。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后续标准化采集合同可以统一为每轮 naive、spill-512K、spill-IdealDir 三角色的 3×3 裸启动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矩阵；该合同描述未来采集方式，不表示当前已经存在这样的九运行证据。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naive。冻结规则为：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采用五对 UBCC/HA-VI 配对运行，并在两个 L3 压力点分别判定：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只贡献一个主值：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平均时延。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确定性重复仿真用于证明结果可复现，不等同于对总体分布建立统计置信度。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所有比较遵循发布事件原则：只统计满足冻结完成条件并已经发布完成事件的根操作。开始点为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的可观察完成条件。未完成事件、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内部服务计时和诊断子阶段不进入聚合。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testcase、权重和门槛在评审前冻结。支撑集按各自明确职责报告，不将未冻结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权重的场景混合成额外总分：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 / naive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附加时延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spill-512K mean - spill-IdealDir mean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10.534578 ns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GHz 周期换算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10.534578 ns × 2 cycles/ns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21.069156 cycles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cycles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456343"/>
            <wp:effectExtent l="0" t="0" r="0" b="0"/>
            <wp:docPr id="1" name="图 3-1 Metric1 容量与 Outer 附加时延" descr="图 3-1 Metric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Metric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Metric1 结果图。容量按 spill/naive 计算，其中 spill 为 512K 容量约束角色；时延按已完成 Outer 事件的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均值计算。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512K 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约束。容量扩展由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路径，冷元数据进入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 512K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作为无溢出的反事实基线。三次重复中，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10.534578 ns，即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21.069156 cycles。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的容量和时延两个子项均通过：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21.069156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运行核算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Metric1 接受值组合两个彼此独立、均完成正确性门禁的证据集：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容量证据取自 legacy 72-run 指标 1/2 profile 矩阵中的三次 naive 和三次 spill-noopt；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提供容量分母，spill-noopt 提供容量分子，optimized 只作支持，不参与容量计分；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修正时延证据由三次 spill-512K 和三次 spill-IdealDir 构成，共 6 个物理 arms；每轮先按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两个角色的已完成 Outer 事件均值作差，再对三轮等权平均。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当前结果没有把两个证据集拼成一个原生三角色九运行矩阵，也没有让任何运行跨职责重复计权。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未来可采用统一 3×3 裸启动合同重新采集，但这不改变当前 1.515× 与 10.534578 ns / 21.069156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cycles 的接受值。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生命周期提供支撑：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baseline performance mix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mixed read/write 下三 profile 正确执行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cold streaming overflow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hot reuse after pressure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shared hotset periodic upgrade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owner/home/requester split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 offload/onload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 upgrade replay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waiter 与升级重放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writeback offload/onload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clean evict offload/onload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long mixed integration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spill/fill 与所有权迁移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shared-writer recovery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spill 后共享转写者恢复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路径均通过。该组结果说明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正式容量收益建立在完整的元数据生命周期之上，而不是单一容量计数。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naive ns/op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optimized ns/op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optimized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TC135 preserved sharer revisit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2344.449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98.305%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TC136 preserved owner 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96.667%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TC137 new requester 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25.000%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TC138 dirty owner handoff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-13.333%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TC139 mixed batch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23563.703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97.302%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TC217 catalog batch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4132.589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84.615%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 均值为 119.209 ns，低于 500 ns 适用门槛，因此作为低时延中性控制项，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不进入指标 2 聚合。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690054"/>
            <wp:effectExtent l="0" t="0" r="0" b="0"/>
            <wp:docPr id="2" name="图 4-1 Metric2 适用场景端到端时延" descr="图 4-1 Metric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4-1 Metric2 适用场景端到端时延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0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Metric2 结果图。六个适用场景按 case 等权聚合，TC140 保留为中性控制项。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 case-level 等权平均降幅为：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64.759%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场景下数据回收与权限迁移的机制权衡，其结果完整纳入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在适用场景集合中形成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稳定的总体收益。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的主要收益来自：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的适用场景等权平均降幅为 64.759%，超过 10% 合同门槛。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使用更大工作集和多节点拓扑，展示目录压力后状态复用的场景价值：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directory overflow 后热点复用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 相对 naive 降低 57.68%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catalog full scan 后复用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正式指标 1 容量与时延计分场景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dirty checkpoint recovery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验证脏数据 checkpoint 与 Backstore 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 shared frontier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optimized 相对 naive 降低 7.17%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sliding window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optimized 相对 naive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在目录压力后仍能保留有价值的热点元数据，收益在滑动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负责验证脏数据恢复路径，不进入指标 2 合同聚合。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16N1S 代表应用结果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覆盖数据库、FaaS、图计算和 feature store。每个 testcase 均运行 naive、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spill-noopt 和 optimized 三个 profile，共 18/18 通过。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naive ns/op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optimized ns/op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optimized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OLTP buffer pool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5200.314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4437.245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14.674%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B-tree traversal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3051.768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2267.770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25.690%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WAL/checkpoint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5294.067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4400.848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16.872%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FaaS warm invocation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2886.169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2291.965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20.588%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Graph frontier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3184.057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2266.781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28.808%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Feature 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2892.318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2321.671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19.730%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该矩阵证明 UBCC 的容量和协议机制可以迁移到真实应用形态与 16 节点拓扑，而不局限于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协议微场景。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核心场景组承担协议关键路径比较：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主要协议责任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Remote Read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权威数据定位与共享授权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Ownership Handoff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旧 owner 释放、最新数据返回、新 owner 获权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Shared-to-Writer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sharer 失效、Ack 收敛和单写者授权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代表场景组承担应用组合价值比较，包括 clean shared read、hot-key read/write、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producer-consumer、queued token 和 catalog-KV。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假设与公平性边界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客户确认 / 冻结参考假设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未建模硬件或禁止外推项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系统与处理器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2N1S、O3；两方案使用相同处理器与缓存条件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客户物理核、缓存和 Home 微体系结构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workload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 testcase、输入、操作配比及 100%/150% L3 压力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未冻结流量和其他规模、压力点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完成与计量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相同根操作完成边界和单向完成语义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未纳入主值的内部阶段与物理链路握手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 对照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客户确认并冻结的 HA-VI 可执行参考参数与行为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 HA 私有优化、缓冲、队列、预测及扩展状态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通信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相同可执行比较环境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端口级 Switch 排队、仲裁、拥塞和链路误码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核心、代表场景组按冻结主值等权聚合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将组均值外推为每个 testcase 或子操作均占优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该比较在共同输入、共同完成边界和冻结参考假设下保持公平。聚合优势不表示每个内部子操作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都占优；各场景只按冻结主值贡献一次权重。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聚合结果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L3 压力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UBCC ticks/op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HA-VI ticks/op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UBCC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31.406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20.179%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76.195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79.073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3.640%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832765"/>
            <wp:effectExtent l="0" t="0" r="0" b="0"/>
            <wp:docPr id="3" name="图 5-1 Metric3 UBCC 与 HA-VI 配对比较" descr="图 5-1 Metric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Metric3 UBCC 与 HA-VI 配对比较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Metric3 配对结果。图中比较冻结的 2N1S、O3、单向完成语义和两个 L3 压力点。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使用统一表达：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表示目录查询、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节点内一致性和完成处理。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owner 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均保持紧凑路径，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的优势较小但稳定。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owner 授权。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该场景是核心场景组的主要优势来源，说明独立全局目录能够有效缩短“数据在哪里”和“谁可写”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两个问题的联合决策路径。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冻结当前 sharer 目标集合，发出 Invalidate，等待 Ack 收敛后向 requester 授予单写者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completion/grant 链。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write，因此冻结主值采用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重复计权。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压力稳定性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100% 提升至 150% L3 压力后，两组结果保持稳定：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核心场景组降幅维持约 20.1%；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代表场景组降幅维持约 3.64%。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这表明 UBCC 的比较优势不是由单一压力点产生，而是来自目录定位、权限仲裁和完成路径的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结构性差异。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在冻结的 HA-VI 可执行参考模型范围内，UBCC 在两个 L3 压力点的核心场景组和代表场景组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均满足平均时延更低，指标 3 通过。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legacy profile 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arms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 arms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身份，确保性能值来自完整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且正确的协议执行。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的真实容量压力场景、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TC141 shared-writer recovery，以及 TC142-TC147 的 16N1S 三 profile 应用矩阵。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项，全部通过。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通过。该结果为性能结论提供可靠性前提。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地址、requester、权限类型、事务身份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BUSY 或相同 tuple 重试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地址、requester、目标权限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target set、接受状态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epoch/reqId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地址、requester、epoch、reqId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intended state 提交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tombstone 幂等返回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Writeback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地址、来源、epoch、数据状态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Evict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sharer/owner 关系释放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ReadShared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ReadUnique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CleanUnique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Snoop 处理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HN-F 的 invalidating 或 data snoop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immediate 或 stale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UBCC 返回后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生成节点内数据或完成响应。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Outer 协议消息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EPBackend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epoch/reqId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pending、ready 和 deferred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跨模块消息至少包含：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数、地址映射和链路参数；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和所选参考模型；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或矩阵并分配并行资源；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各模块按共同事务身份交换请求、响应和完成事件；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验证层检查数据结果、协议完成条件和受管模块状态；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汇总层按冻结口径生成矩阵结论。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验证环境曾使用 NetworkSim 作为临时模拟传输承载跨进程消息；它不属于项目架构、交付组件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或公开接口。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以下模板尚未验证，仅用于等待集成方补齐必要信息，不构成功能承诺。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主要配置项包括：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配对比较三个维度均达到冻结验收口径。分层目录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 等权平均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降幅；在两个 L3 压力点下，UBCC 的核心场景组和代表场景组均优于 HA-VI 可执行参考模型。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故障资格全部通过，为性能结果和远端集成提供了完整基础。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 等效追踪容量 / naive 等效追踪容量（spill 为 512K 容量约束角色）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Outer 事件的 spill-512K 均值 - spill-IdealDir 均值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case 降幅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(naive - optimized) / naive × 100%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case 降幅的等权平均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delta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HA-VI 平均时延 - UBCC 平均时延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delta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指标 2 场景说明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preserved sharer first load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preserved owner store complete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new requester first load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dirty owner handoff store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mixed batch 16 operations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cross-L2 owner store，中性控制项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TC217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catalog batch 16 operations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B.1 指标 1/2 支撑结果图谱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 范围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TC120-TC124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场景行为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mixed、cold stream、hot reuse、shared upgrade、三方分离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TC125-TC129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 机制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offload/onload、replay、writeback、mixed lifecycle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TC130-TC134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overflow、catalog、checkpoint、frontier、sliding window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TC135-TC140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计分与控制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preserved state、new requester、handoff、batch、neutral control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正确性资格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 后 shared-to-writer recovery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TC142-TC147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OLTP、B-tree、WAL、FaaS、graph、feature store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TC217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计分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catalog batch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指标 3 场景说明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聚合主值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remote read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ownership handoff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shared-to-writer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clean shared read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hot-key read + 1/3 hot-key write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producer-consumer service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queued-token end-to-end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catalog-KV end-to-end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接口速查表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UBCCController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read、upgrade、clear、writeback、evict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grant、target set、commit result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lookup、insert、erase、waiter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directory entry、capacity status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read、write、erase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persisted directory metadata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 shared/unique、clean unique、snoop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data、snoop response、completion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EP-SNF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request service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CHI data/response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UBAdapter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send、receive、retry、callback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message、local completion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术语表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HA-VI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使用的 VI 协议可执行参考模型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可执行参考模型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使用相同 workload、完成边界和冻结参数运行的协议对照模型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Profile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一组冻结的目录策略与协议优化配置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与持久化 Backstore 元数据的去重覆盖量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naive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不使用 Backstore 容量扩展和时延优化的基线 profile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spill-noopt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Backstore、关闭时延优化的 profile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optimized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Backstore 并启用时延优化的 profile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TC228-TC230 等权聚合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TC231-TC235 按冻结主值等权聚合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单向完成语义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根操作不以同步 ClearResp 作为完成条件的语义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配对运行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与 HA-VI 使用相同输入和冻结条件的成对运行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完成边界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ubsim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source_sha256=35f9bc2a3a88a3d04facc32a261a7b6365d0d3d2fb7b50a9e59ff96113c634d4</dc:description>
  <dcterms:created xsi:type="dcterms:W3CDTF">2026-08-25T18:19:45Z</dcterms:created>
  <dcterms:modified xsi:type="dcterms:W3CDTF">2026-08-25T18:19:45Z</dcterms:modified>
</cp:coreProperties>
</file>