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First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keepNext/>
      </w:pPr>
      <w:r>
        <w:rPr>
          <w:rFonts w:ascii="Calibri" w:hAnsi="Calibri" w:eastAsia="SimHei" w:cs="Calibri"/>
        </w:rPr>
        <w:t xml:space="preserve">UBCC 形式化验证与可靠性资格报告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目录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验证目标与结论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验证方法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形式化验证结果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可靠性机制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丢包、重复、乱序故障结果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6. HA 理论与仿真参考比较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7. 处理器乱序与拓扑验证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8. 交付内容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9. 总结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A 形式化模型清单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B 模型与实现对应关系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C 故障资格矩阵索引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附录 D 术语表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1. 验证目标与结论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1.1 验证目标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本报告验证 UBCC 方案在正常执行、并发竞争和可恢复消息传输故障下的协议正确性与可靠性，重点覆盖以下不变量或场景：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全局目录状态安全；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单一 owner 与 sharer 集合一致性；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epoch 和 reqId 单调性；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Recall、Invalidate、Upgrade 和 Clear 收敛；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两阶段提交与幂等处理；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EP-RNF snoop 仲裁；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多 PA、多 Socket 和多节点隔离；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消息丢失、重复、延迟和乱序恢复。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1.2 验证体系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方案采用分层验证方法：形式化模型验证状态与动作规则，定向机制验证连接模型与实现， 端到端验证确认数据与权限结果，故障资格矩阵验证恢复机制在实际消息路径中的表现。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5580000" cy="2844885"/>
            <wp:effectExtent l="0" t="0" r="0" b="0"/>
            <wp:docPr id="1" name="图 1-1 UBCC 分层验证体系" descr="图 1-1 UBCC 分层验证体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-1 UBCC 分层验证体系"/>
                    <pic:cNvPicPr/>
                  </pic:nvPicPr>
                  <pic:blipFill>
                    <a:blip xmlns:r="http://schemas.openxmlformats.org/officeDocument/2006/relationships"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1-1　UBCC 分层验证体系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1.3 总体结论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416"/>
        <w:gridCol w:w="3003"/>
        <w:gridCol w:w="2180"/>
      </w:tblGrid>
      <w:tr>
        <w:trPr>
          <w:cantSplit/>
          <w:tblHeader/>
        </w:trPr>
        <w:tc>
          <w:tcPr>
            <w:tcW w:w="441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验证内容</w:t>
            </w:r>
          </w:p>
        </w:tc>
        <w:tc>
          <w:tcPr>
            <w:tcW w:w="300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方法</w:t>
            </w:r>
          </w:p>
        </w:tc>
        <w:tc>
          <w:tcPr>
            <w:tcW w:w="218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w="44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目录核心状态与提交顺序</w:t>
            </w:r>
          </w:p>
        </w:tc>
        <w:tc>
          <w:tcPr>
            <w:tcW w:w="300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TLA+</w:t>
            </w:r>
          </w:p>
        </w:tc>
        <w:tc>
          <w:tcPr>
            <w:tcW w:w="218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44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Recall、Invalidate、Upgrade 和 Clear 活性</w:t>
            </w:r>
          </w:p>
        </w:tc>
        <w:tc>
          <w:tcPr>
            <w:tcW w:w="300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TLA+ + 定向验证</w:t>
            </w:r>
          </w:p>
        </w:tc>
        <w:tc>
          <w:tcPr>
            <w:tcW w:w="218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44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 snoop 仲裁</w:t>
            </w:r>
          </w:p>
        </w:tc>
        <w:tc>
          <w:tcPr>
            <w:tcW w:w="300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focused TLA+ + 端到端验证</w:t>
            </w:r>
          </w:p>
        </w:tc>
        <w:tc>
          <w:tcPr>
            <w:tcW w:w="218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44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多 PA 与多 Socket 隔离</w:t>
            </w:r>
          </w:p>
        </w:tc>
        <w:tc>
          <w:tcPr>
            <w:tcW w:w="300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TLA+ + 多拓扑验证</w:t>
            </w:r>
          </w:p>
        </w:tc>
        <w:tc>
          <w:tcPr>
            <w:tcW w:w="218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44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处理器 O3 下的同步语义</w:t>
            </w:r>
          </w:p>
        </w:tc>
        <w:tc>
          <w:tcPr>
            <w:tcW w:w="300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可执行验证</w:t>
            </w:r>
          </w:p>
        </w:tc>
        <w:tc>
          <w:tcPr>
            <w:tcW w:w="218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441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丢包、重复、乱序故障</w:t>
            </w:r>
          </w:p>
        </w:tc>
        <w:tc>
          <w:tcPr>
            <w:tcW w:w="300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52 项仿真测试</w:t>
            </w:r>
          </w:p>
        </w:tc>
        <w:tc>
          <w:tcPr>
            <w:tcW w:w="218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52/52 通过</w:t>
            </w:r>
          </w:p>
        </w:tc>
      </w:tr>
      <w:tr>
        <w:trPr>
          <w:cantSplit/>
        </w:trPr>
        <w:tc>
          <w:tcPr>
            <w:tcW w:w="441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拓扑覆盖</w:t>
            </w:r>
          </w:p>
        </w:tc>
        <w:tc>
          <w:tcPr>
            <w:tcW w:w="300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3N1S、3N2S、8N2S、16N1S</w:t>
            </w:r>
          </w:p>
        </w:tc>
        <w:tc>
          <w:tcPr>
            <w:tcW w:w="218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协议节点规模与端点能力通过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形式化模型与可执行仿真验证从不同抽象层共同覆盖 UBCC 的安全性、活性和可恢复传输故障能力。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2. 验证方法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2.1 模型分层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验证模型按职责划分为四层：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目录核心层：定义缓存行在目录的授权与提交规则，包含请求、授权、Clear、Recall、Invalidate 和目录提交；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并发机制层：处理同一地址上的并发竞争，包含同址 outstanding、waiter、partial Ack 和 snoop 仲裁；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拓扑隔离层：保证不同地址、节点和 Socket 互不影响，包含多 PA、多节点和多 Socket 状态隔离；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故障传输层：验证消息不可靠时的恢复，包含消息丢失、重复、延迟和乱序。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各模型分别承担明确的协议论证职责，端到端测试补充数据路径、缓存容量和运行拓扑验证。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2.2 形式化验证证据层级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29"/>
        <w:gridCol w:w="3635"/>
        <w:gridCol w:w="3635"/>
      </w:tblGrid>
      <w:tr>
        <w:trPr>
          <w:cantSplit/>
          <w:tblHeader/>
        </w:trPr>
        <w:tc>
          <w:tcPr>
            <w:tcW w:w="2329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证据层级</w:t>
            </w:r>
          </w:p>
        </w:tc>
        <w:tc>
          <w:tcPr>
            <w:tcW w:w="363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当前证据</w:t>
            </w:r>
          </w:p>
        </w:tc>
        <w:tc>
          <w:tcPr>
            <w:tcW w:w="363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支持的结论</w:t>
            </w:r>
          </w:p>
        </w:tc>
      </w:tr>
      <w:tr>
        <w:trPr>
          <w:cantSplit/>
        </w:trPr>
        <w:tc>
          <w:tcPr>
            <w:tcW w:w="23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当前实现 + 端到端执行</w:t>
            </w:r>
          </w:p>
        </w:tc>
        <w:tc>
          <w:tcPr>
            <w:tcW w:w="363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协议实现、定向机制测试、O3、多拓扑、性能正确性测试和 Q1-Q5</w:t>
            </w:r>
          </w:p>
        </w:tc>
        <w:tc>
          <w:tcPr>
            <w:tcW w:w="363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已执行场景中的数据、权限、收敛与故障恢复结果</w:t>
            </w:r>
          </w:p>
        </w:tc>
      </w:tr>
      <w:tr>
        <w:trPr>
          <w:cantSplit/>
        </w:trPr>
        <w:tc>
          <w:tcPr>
            <w:tcW w:w="23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有界 / focused 形式化模型</w:t>
            </w:r>
          </w:p>
        </w:tc>
        <w:tc>
          <w:tcPr>
            <w:tcW w:w="363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目录核心、传输故障、多 PA/Socket、snoop 仲裁与 waiter 退役模型</w:t>
            </w:r>
          </w:p>
        </w:tc>
        <w:tc>
          <w:tcPr>
            <w:tcW w:w="363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核心与传输模型的 Safety/Liveness，以及 focused 模型声明的 Safety</w:t>
            </w:r>
          </w:p>
        </w:tc>
      </w:tr>
      <w:tr>
        <w:trPr>
          <w:cantSplit/>
        </w:trPr>
        <w:tc>
          <w:tcPr>
            <w:tcW w:w="2329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理论分析</w:t>
            </w:r>
          </w:p>
        </w:tc>
        <w:tc>
          <w:tcPr>
            <w:tcW w:w="36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协议路径、目录组织、HA-VI 结构差异与复杂度解释</w:t>
            </w:r>
          </w:p>
        </w:tc>
        <w:tc>
          <w:tcPr>
            <w:tcW w:w="363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机制差异、实验结果来源与适用条件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2.3 Safety 属性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形式化验证中的主要 Safety 属性包括：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同一缓存行至多存在一个有效写 owner；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owner 与 sharer 集合满足目录状态约束：G_E/G_M 至多一个 owner 且其在 sharer 位图中，G_S 至少一个 sharer，G_I 无 sharer；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committed epoch 不回退；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过期消息不能覆盖新目录状态；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重复 Ack 不重复推进事务；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Clear 只提交匹配的 epoch、reqId 和 requester；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不同 PA 和不同 Socket 的事务互不污染；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已完成 waiter 不被重复重放。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2.4 Liveness 属性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主要 Liveness 属性包括：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在消息最终可达的条件下，请求最终获得授权或明确重试；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Recall 最终返回数据或完成 owner 降级；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Invalidate 在目标 Ack 收敛后完成；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Clear 完成后 outstanding 被退役；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waiter 在阻塞条件解除后得到重放；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EP-RNF 同址 snoop 不形成循环等待。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2.5 TLA+模型与实现对应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我们用 TLA+ 对 UBCC 目录的核心动作进行建模，其中 TLA+ 模型内的抽象动作与 UBCC 中具体实现的对应关系如下表所示：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529"/>
        <w:gridCol w:w="6070"/>
      </w:tblGrid>
      <w:tr>
        <w:trPr>
          <w:cantSplit/>
          <w:tblHeader/>
        </w:trPr>
        <w:tc>
          <w:tcPr>
            <w:tcW w:w="3529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模型动作</w:t>
            </w:r>
          </w:p>
        </w:tc>
        <w:tc>
          <w:tcPr>
            <w:tcW w:w="607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实现机制</w:t>
            </w:r>
          </w:p>
        </w:tc>
      </w:tr>
      <w:tr>
        <w:trPr>
          <w:cantSplit/>
        </w:trPr>
        <w:tc>
          <w:tcPr>
            <w:tcW w:w="35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RequestGrant</w:t>
            </w:r>
          </w:p>
        </w:tc>
        <w:tc>
          <w:tcPr>
            <w:tcW w:w="607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请求仲裁与 intended state 建立</w:t>
            </w:r>
          </w:p>
        </w:tc>
      </w:tr>
      <w:tr>
        <w:trPr>
          <w:cantSplit/>
        </w:trPr>
        <w:tc>
          <w:tcPr>
            <w:tcW w:w="35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RecallOwner</w:t>
            </w:r>
          </w:p>
        </w:tc>
        <w:tc>
          <w:tcPr>
            <w:tcW w:w="607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RecallReq / RecallResp 数据回收</w:t>
            </w:r>
          </w:p>
        </w:tc>
      </w:tr>
      <w:tr>
        <w:trPr>
          <w:cantSplit/>
        </w:trPr>
        <w:tc>
          <w:tcPr>
            <w:tcW w:w="35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InvalidateSharers</w:t>
            </w:r>
          </w:p>
        </w:tc>
        <w:tc>
          <w:tcPr>
            <w:tcW w:w="607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目标集合确定并保持、InvalidateReq 和 Ack 位图</w:t>
            </w:r>
          </w:p>
        </w:tc>
      </w:tr>
      <w:tr>
        <w:trPr>
          <w:cantSplit/>
        </w:trPr>
        <w:tc>
          <w:tcPr>
            <w:tcW w:w="35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ClearCommit</w:t>
            </w:r>
          </w:p>
        </w:tc>
        <w:tc>
          <w:tcPr>
            <w:tcW w:w="607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Clear 身份校验与目录提交</w:t>
            </w:r>
          </w:p>
        </w:tc>
      </w:tr>
      <w:tr>
        <w:trPr>
          <w:cantSplit/>
        </w:trPr>
        <w:tc>
          <w:tcPr>
            <w:tcW w:w="35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RetireWaiter</w:t>
            </w:r>
          </w:p>
        </w:tc>
        <w:tc>
          <w:tcPr>
            <w:tcW w:w="607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已完成 Read waiter 精确退役</w:t>
            </w:r>
          </w:p>
        </w:tc>
      </w:tr>
      <w:tr>
        <w:trPr>
          <w:cantSplit/>
        </w:trPr>
        <w:tc>
          <w:tcPr>
            <w:tcW w:w="352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ReplayWaiter</w:t>
            </w:r>
          </w:p>
        </w:tc>
        <w:tc>
          <w:tcPr>
            <w:tcW w:w="607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阻塞条件解除后的请求重放</w:t>
            </w:r>
          </w:p>
        </w:tc>
      </w:tr>
      <w:tr>
        <w:trPr>
          <w:cantSplit/>
        </w:trPr>
        <w:tc>
          <w:tcPr>
            <w:tcW w:w="3529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SnoopArbitrate</w:t>
            </w:r>
          </w:p>
        </w:tc>
        <w:tc>
          <w:tcPr>
            <w:tcW w:w="607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 对同址 snoop 的 immediate/stale 仲裁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3. 形式化验证结果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3.1 UBCC 目录核心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目录核心模型覆盖请求、授权、Clear、Recall 和 Invalidate 的状态迁移，验证目录提交前后 owner、sharer、epoch 和 outstanding 关系保持一致。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我们对 UBCC 目录核心动作建模，并用 TLA+ 做了形式化验证；所有声明的不变量均在建模的状态空间内成立。验证结果表明：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授权在途期间 committed state 保持安全；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Clear 只提交匹配事务；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Recall 与 Invalidate 不产生双 owner；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重复和延迟消息不会改变已完成事务结果。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3.2 传输故障模型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传输故障模型枚举丢失、重复和乱序消息，逐项检查：重复消息不产生重复提交；过期消息不覆盖新的目录状态；epoch、reqId 与 Ack 位图的匹配规则正确；幂等确认在重放后仍收敛。据此验证 epoch、reqId、Ack 位图和幂等确认能够阻止重复提交与过期状态覆盖。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3.3 多 PA 与多 Socket 隔离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多 PA 和多 Socket 模型验证不同地址、不同 Home Socket 和不同 requester 的状态独立性。 任一事务的 outstanding、waiter、Ack 集合和提交结果不会污染其他事务。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3.4 EP-RNF snoop 仲裁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EP-RNF focused 模型覆盖 active Recall、ReadShared、ReadUnique、CleanUnique 与多类 snoop 组合。模型验证 immediate 和 stale 响应规则能够打破同址循环等待，同时保持数据权限约束。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该模型完成 328 个状态的全空间检查，Safety 属性全部通过。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3.5 committed waiter 精确退役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成功提交 Clear 后，UBCC 按 (PA, node, socket, reqId) 精确退役已经完成的 Read waiter， 保留其他 requester、事务身份和操作类型，再安全重放剩余请求。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该 focused 模型完成 274,593 个状态的检查，验证了以下性质：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已完成 waiter 不会再次创建同类 outstanding；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非匹配 waiter 不被误删；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Writeback、Upgrade 和 Evict waiter 保持独立；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replay 不改变已提交目录状态。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3.5.1 EP 交接身份与完成不变量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Recall 与写回交接使用节点级 64 项协调表，分别保留首次 owner／epoch 快照、Recall 与写回事务身份及 Socket。有效令牌同时匹配槽位和 generation；在同一地址重新分配的条目不能被旧回调完成。数据发布、写回完成与 Recall 原生清理分别推进，只有已登记路径全部满足完成条件，且不存在尚未到达的合并 Recall，才能退役。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45"/>
        <w:gridCol w:w="3557"/>
        <w:gridCol w:w="3098"/>
      </w:tblGrid>
      <w:tr>
        <w:trPr>
          <w:cantSplit/>
          <w:tblHeader/>
        </w:trPr>
        <w:tc>
          <w:tcPr>
            <w:tcW w:w="294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交互条件</w:t>
            </w:r>
          </w:p>
        </w:tc>
        <w:tc>
          <w:tcPr>
            <w:tcW w:w="35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必须保持的约束</w:t>
            </w:r>
          </w:p>
        </w:tc>
        <w:tc>
          <w:tcPr>
            <w:tcW w:w="309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验证关注点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 先到、写回后到</w:t>
            </w:r>
          </w:p>
        </w:tc>
        <w:tc>
          <w:tcPr>
            <w:tcW w:w="35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首次 owner／epoch 快照不变</w:t>
            </w:r>
          </w:p>
        </w:tc>
        <w:tc>
          <w:tcPr>
            <w:tcW w:w="30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合并身份与数据责任一致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写回先发布、Recall 后到</w:t>
            </w:r>
          </w:p>
        </w:tc>
        <w:tc>
          <w:tcPr>
            <w:tcW w:w="35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保留已合并 Recall 标识</w:t>
            </w:r>
          </w:p>
        </w:tc>
        <w:tc>
          <w:tcPr>
            <w:tcW w:w="30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不能提前释放交接描述符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延迟回调遇到槽位复用</w:t>
            </w:r>
          </w:p>
        </w:tc>
        <w:tc>
          <w:tcPr>
            <w:tcW w:w="35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generation 必须匹配</w:t>
            </w:r>
          </w:p>
        </w:tc>
        <w:tc>
          <w:tcPr>
            <w:tcW w:w="30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不能完成新条目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两 Socket 同址交接</w:t>
            </w:r>
          </w:p>
        </w:tc>
        <w:tc>
          <w:tcPr>
            <w:tcW w:w="35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两侧 Socket 分别匹配</w:t>
            </w:r>
          </w:p>
        </w:tc>
        <w:tc>
          <w:tcPr>
            <w:tcW w:w="30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不能消费另一返回路径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普通写回达到分配上限</w:t>
            </w:r>
          </w:p>
        </w:tc>
        <w:tc>
          <w:tcPr>
            <w:tcW w:w="35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控制预留不被普通新分配占用</w:t>
            </w:r>
          </w:p>
        </w:tc>
        <w:tc>
          <w:tcPr>
            <w:tcW w:w="309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回收路径保留准入机会</w:t>
            </w:r>
          </w:p>
        </w:tc>
      </w:tr>
      <w:tr>
        <w:trPr>
          <w:cantSplit/>
        </w:trPr>
        <w:tc>
          <w:tcPr>
            <w:tcW w:w="294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容量等待后重放</w:t>
            </w:r>
          </w:p>
        </w:tc>
        <w:tc>
          <w:tcPr>
            <w:tcW w:w="35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原操作与携带数据保持</w:t>
            </w:r>
          </w:p>
        </w:tc>
        <w:tc>
          <w:tcPr>
            <w:tcW w:w="309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写回不能退化成只更新目录的读请求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3.6 结果汇总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08"/>
        <w:gridCol w:w="2571"/>
        <w:gridCol w:w="1473"/>
        <w:gridCol w:w="2846"/>
      </w:tblGrid>
      <w:tr>
        <w:trPr>
          <w:cantSplit/>
          <w:tblHeader/>
        </w:trPr>
        <w:tc>
          <w:tcPr>
            <w:tcW w:w="270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模型组</w:t>
            </w:r>
          </w:p>
        </w:tc>
        <w:tc>
          <w:tcPr>
            <w:tcW w:w="257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核心论证</w:t>
            </w:r>
          </w:p>
        </w:tc>
        <w:tc>
          <w:tcPr>
            <w:tcW w:w="147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Safety</w:t>
            </w:r>
          </w:p>
        </w:tc>
        <w:tc>
          <w:tcPr>
            <w:tcW w:w="284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Liveness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目录核心</w:t>
            </w:r>
          </w:p>
        </w:tc>
        <w:tc>
          <w:tcPr>
            <w:tcW w:w="257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目录状态、授权与提交</w:t>
            </w:r>
          </w:p>
        </w:tc>
        <w:tc>
          <w:tcPr>
            <w:tcW w:w="147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传输故障</w:t>
            </w:r>
          </w:p>
        </w:tc>
        <w:tc>
          <w:tcPr>
            <w:tcW w:w="257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丢失、重复、乱序</w:t>
            </w:r>
          </w:p>
        </w:tc>
        <w:tc>
          <w:tcPr>
            <w:tcW w:w="147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多 PA / 多 Socket</w:t>
            </w:r>
          </w:p>
        </w:tc>
        <w:tc>
          <w:tcPr>
            <w:tcW w:w="257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状态隔离</w:t>
            </w:r>
          </w:p>
        </w:tc>
        <w:tc>
          <w:tcPr>
            <w:tcW w:w="147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 仲裁</w:t>
            </w:r>
          </w:p>
        </w:tc>
        <w:tc>
          <w:tcPr>
            <w:tcW w:w="257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同址 snoop 仲裁安全性</w:t>
            </w:r>
          </w:p>
        </w:tc>
        <w:tc>
          <w:tcPr>
            <w:tcW w:w="147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 TC98 验证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waiter 退役</w:t>
            </w:r>
          </w:p>
        </w:tc>
        <w:tc>
          <w:tcPr>
            <w:tcW w:w="257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精确退役与重放安全性</w:t>
            </w:r>
          </w:p>
        </w:tc>
        <w:tc>
          <w:tcPr>
            <w:tcW w:w="147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通过</w:t>
            </w:r>
          </w:p>
        </w:tc>
        <w:tc>
          <w:tcPr>
            <w:tcW w:w="284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 TC224、TC126 验证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4. 可靠性机制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4.1 两阶段目录提交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Home UBCC 控制器使用保留和提交两个阶段管理跨节点授权：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1. 请求通过仲裁后，Home UBCC 控制器建立 outstanding 并记录 intended state；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2. Grant 发送期间，原 committed state 保持有效；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3. requester 本地操作完成后发送 Clear；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4. Home UBCC 控制器校验 epoch、reqId 和 requester；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5. 匹配事务提交 intended state，并退役 outstanding。</w:t>
      </w:r>
    </w:p>
    <w:p>
      <w:pPr>
        <w:jc w:val="center"/>
        <w:keepNext/>
        <w:spacing w:before="100" w:after="40" w:line="240" w:lineRule="auto"/>
      </w:pPr>
      <w:r>
        <w:drawing>
          <wp:inline distT="0" distB="0" distL="0" distR="0">
            <wp:extent cx="2514600" cy="2514600"/>
            <wp:effectExtent l="0" t="0" r="0" b="0"/>
            <wp:docPr id="2" name="图 4-1 UBCC 两阶段目录提交" descr="图 4-1 UBCC 两阶段目录提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4-1 UBCC 两阶段目录提交"/>
                    <pic:cNvPicPr/>
                  </pic:nvPicPr>
                  <pic:blipFill>
                    <a:blip xmlns:r="http://schemas.openxmlformats.org/officeDocument/2006/relationships"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Calibri" w:hAnsi="Calibri" w:eastAsia="Microsoft YaHei" w:cs="Calibri"/>
        </w:rPr>
        <w:t xml:space="preserve">图 4-1　UBCC 两阶段目录提交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两阶段提交将“权限已承诺”和“目录已提交”清晰分离，使 Grant 丢失、Clear 重试和重复请求都可以按相同事务身份恢复。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4.2 epoch 与 reqId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epoch 区分同址事务的新旧顺序，reqId 区分同一 epoch 内的具体请求。接收方在处理响应、 Ack 和 Clear 前执行 tuple 校验，过期消息不会覆盖新状态。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4.3 Ack 位图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Invalidate 使用目标位图和 Ack 位图记录每个节点的完成状态。重复 Ack 只命中已置位目标， 不会重复推进事务；发生 partial Ack 时，仅对尚未确认的目标重发请求。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4.4 tombstone 与幂等确认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已完成 Clear 在短期内保留 tombstone。相同 tuple 的重复 Clear 可以直接获得已接受结果， 而不重新提交目录状态。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4.5 waiter 去重与重放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进入等待队列的请求按地址、请求者、Socket、reqId 和操作类型去重。阻塞条件解除后，UBCC 重新检查 committed directory，再决定服务、继续等待或重试。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4.6 数据可见性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Recall 和 dirty writeback 使用当前 owner、目录 epoch 和事务身份共同确定权威数据。目录提交只在数据和权限路径满足完成条件后发生，保证新 owner 获得最新数据。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4.7 可靠性故障仿真模型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可靠性验证采用节点与 Home 持续存活、可恢复传输故障最终解除的模型条件。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33"/>
        <w:gridCol w:w="3761"/>
        <w:gridCol w:w="3177"/>
        <w:gridCol w:w="1427"/>
      </w:tblGrid>
      <w:tr>
        <w:trPr>
          <w:cantSplit/>
          <w:tblHeader/>
        </w:trPr>
        <w:tc>
          <w:tcPr>
            <w:tcW w:w="123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故障类别</w:t>
            </w:r>
          </w:p>
        </w:tc>
        <w:tc>
          <w:tcPr>
            <w:tcW w:w="376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模型</w:t>
            </w:r>
          </w:p>
        </w:tc>
        <w:tc>
          <w:tcPr>
            <w:tcW w:w="317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预期恢复机制</w:t>
            </w:r>
          </w:p>
        </w:tc>
        <w:tc>
          <w:tcPr>
            <w:tcW w:w="142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验证证据</w:t>
            </w:r>
          </w:p>
        </w:tc>
      </w:tr>
      <w:tr>
        <w:trPr>
          <w:cantSplit/>
        </w:trPr>
        <w:tc>
          <w:tcPr>
            <w:tcW w:w="12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消息丢失</w:t>
            </w:r>
          </w:p>
        </w:tc>
        <w:tc>
          <w:tcPr>
            <w:tcW w:w="37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单次或连续丢失可恢复消息</w:t>
            </w:r>
          </w:p>
        </w:tc>
        <w:tc>
          <w:tcPr>
            <w:tcW w:w="31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stable tuple 重试、幂等接收</w:t>
            </w:r>
          </w:p>
        </w:tc>
        <w:tc>
          <w:tcPr>
            <w:tcW w:w="142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Q1-Q3</w:t>
            </w:r>
          </w:p>
        </w:tc>
      </w:tr>
      <w:tr>
        <w:trPr>
          <w:cantSplit/>
        </w:trPr>
        <w:tc>
          <w:tcPr>
            <w:tcW w:w="12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消息重复</w:t>
            </w:r>
          </w:p>
        </w:tc>
        <w:tc>
          <w:tcPr>
            <w:tcW w:w="37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同一事务消息重复送达</w:t>
            </w:r>
          </w:p>
        </w:tc>
        <w:tc>
          <w:tcPr>
            <w:tcW w:w="31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Ack 位图、tombstone、重复提交抑制</w:t>
            </w:r>
          </w:p>
        </w:tc>
        <w:tc>
          <w:tcPr>
            <w:tcW w:w="142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Q1、Q4</w:t>
            </w:r>
          </w:p>
        </w:tc>
      </w:tr>
      <w:tr>
        <w:trPr>
          <w:cantSplit/>
        </w:trPr>
        <w:tc>
          <w:tcPr>
            <w:tcW w:w="12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消息延迟</w:t>
            </w:r>
          </w:p>
        </w:tc>
        <w:tc>
          <w:tcPr>
            <w:tcW w:w="37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消息晚于后续事务阶段到达</w:t>
            </w:r>
          </w:p>
        </w:tc>
        <w:tc>
          <w:tcPr>
            <w:tcW w:w="31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epoch/reqId 校验、deferred 收敛</w:t>
            </w:r>
          </w:p>
        </w:tc>
        <w:tc>
          <w:tcPr>
            <w:tcW w:w="142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Q1、Q3、Q5</w:t>
            </w:r>
          </w:p>
        </w:tc>
      </w:tr>
      <w:tr>
        <w:trPr>
          <w:cantSplit/>
        </w:trPr>
        <w:tc>
          <w:tcPr>
            <w:tcW w:w="12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消息乱序</w:t>
            </w:r>
          </w:p>
        </w:tc>
        <w:tc>
          <w:tcPr>
            <w:tcW w:w="376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合法消息以不同顺序到达</w:t>
            </w:r>
          </w:p>
        </w:tc>
        <w:tc>
          <w:tcPr>
            <w:tcW w:w="31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状态阶段检查与过期消息拒绝</w:t>
            </w:r>
          </w:p>
        </w:tc>
        <w:tc>
          <w:tcPr>
            <w:tcW w:w="142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Q1、Q4</w:t>
            </w:r>
          </w:p>
        </w:tc>
      </w:tr>
      <w:tr>
        <w:trPr>
          <w:cantSplit/>
        </w:trPr>
        <w:tc>
          <w:tcPr>
            <w:tcW w:w="123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并发压力</w:t>
            </w:r>
          </w:p>
        </w:tc>
        <w:tc>
          <w:tcPr>
            <w:tcW w:w="376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多 PA、多来源 Ack、Near-outstanding 边界</w:t>
            </w:r>
          </w:p>
        </w:tc>
        <w:tc>
          <w:tcPr>
            <w:tcW w:w="317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同址串行化、waiter 和 partial Ack</w:t>
            </w:r>
          </w:p>
        </w:tc>
        <w:tc>
          <w:tcPr>
            <w:tcW w:w="142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Q4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5. 丢包、重复、乱序故障结果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5.1 矩阵设计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丢包、重复、乱序故障矩阵面向可恢复消息传输故障，覆盖基础故障、连续丢失、组合故障、并发压力和多拓扑。 每项运行同时检查：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预期故障规则准确触发；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延迟和乱序消息实际送达；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数据读回与权限结果正确；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重复消息不产生重复提交；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pending、held 和 deferred 状态最终收敛；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所有参与模块正常结束。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5.2 分组结果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57"/>
        <w:gridCol w:w="1457"/>
        <w:gridCol w:w="4957"/>
        <w:gridCol w:w="1726"/>
      </w:tblGrid>
      <w:tr>
        <w:trPr>
          <w:cantSplit/>
          <w:tblHeader/>
        </w:trPr>
        <w:tc>
          <w:tcPr>
            <w:tcW w:w="14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资格组</w:t>
            </w:r>
          </w:p>
        </w:tc>
        <w:tc>
          <w:tcPr>
            <w:tcW w:w="14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数量</w:t>
            </w:r>
          </w:p>
        </w:tc>
        <w:tc>
          <w:tcPr>
            <w:tcW w:w="495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核心覆盖</w:t>
            </w:r>
          </w:p>
        </w:tc>
        <w:tc>
          <w:tcPr>
            <w:tcW w:w="172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</w:t>
            </w:r>
          </w:p>
        </w:tc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20</w:t>
            </w:r>
          </w:p>
        </w:tc>
        <w:tc>
          <w:tcPr>
            <w:tcW w:w="49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基础消息故障集合</w:t>
            </w:r>
          </w:p>
        </w:tc>
        <w:tc>
          <w:tcPr>
            <w:tcW w:w="17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20/20 通过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Q2</w:t>
            </w:r>
          </w:p>
        </w:tc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</w:t>
            </w:r>
          </w:p>
        </w:tc>
        <w:tc>
          <w:tcPr>
            <w:tcW w:w="49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Clear、Upgrade、InvalidateAck、RecallResp 连续丢失</w:t>
            </w:r>
          </w:p>
        </w:tc>
        <w:tc>
          <w:tcPr>
            <w:tcW w:w="17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8/8 通过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Q3</w:t>
            </w:r>
          </w:p>
        </w:tc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</w:t>
            </w:r>
          </w:p>
        </w:tc>
        <w:tc>
          <w:tcPr>
            <w:tcW w:w="49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请求与响应的双故障组合</w:t>
            </w:r>
          </w:p>
        </w:tc>
        <w:tc>
          <w:tcPr>
            <w:tcW w:w="17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4/4 通过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Q4</w:t>
            </w:r>
          </w:p>
        </w:tc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</w:t>
            </w:r>
          </w:p>
        </w:tc>
        <w:tc>
          <w:tcPr>
            <w:tcW w:w="49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32 PA、burst、partial Ack、multi-source、Near-outstanding</w:t>
            </w:r>
          </w:p>
        </w:tc>
        <w:tc>
          <w:tcPr>
            <w:tcW w:w="17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8/8 通过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Q5</w:t>
            </w:r>
          </w:p>
        </w:tc>
        <w:tc>
          <w:tcPr>
            <w:tcW w:w="14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</w:t>
            </w:r>
          </w:p>
        </w:tc>
        <w:tc>
          <w:tcPr>
            <w:tcW w:w="495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3N1S、3N2S、8N2S、16N1S</w:t>
            </w:r>
          </w:p>
        </w:tc>
        <w:tc>
          <w:tcPr>
            <w:tcW w:w="17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12/12 通过</w:t>
            </w:r>
          </w:p>
        </w:tc>
      </w:tr>
      <w:tr>
        <w:trPr>
          <w:cantSplit/>
        </w:trPr>
        <w:tc>
          <w:tcPr>
            <w:tcW w:w="14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合计</w:t>
            </w:r>
          </w:p>
        </w:tc>
        <w:tc>
          <w:tcPr>
            <w:tcW w:w="14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52</w:t>
            </w:r>
          </w:p>
        </w:tc>
        <w:tc>
          <w:tcPr>
            <w:tcW w:w="495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Q1-Q5</w:t>
            </w:r>
          </w:p>
        </w:tc>
        <w:tc>
          <w:tcPr>
            <w:tcW w:w="172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52/52 通过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五组共 52 项仿真测试，最终结果为 52/52 通过。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5.3 消息覆盖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26"/>
        <w:gridCol w:w="6973"/>
      </w:tblGrid>
      <w:tr>
        <w:trPr>
          <w:cantSplit/>
          <w:tblHeader/>
        </w:trPr>
        <w:tc>
          <w:tcPr>
            <w:tcW w:w="262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协议路径</w:t>
            </w:r>
          </w:p>
        </w:tc>
        <w:tc>
          <w:tcPr>
            <w:tcW w:w="697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覆盖消息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Clear</w:t>
            </w:r>
          </w:p>
        </w:tc>
        <w:tc>
          <w:tcPr>
            <w:tcW w:w="697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Clear、ClearAck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Upgrade</w:t>
            </w:r>
          </w:p>
        </w:tc>
        <w:tc>
          <w:tcPr>
            <w:tcW w:w="697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UpgradeReq、UpgradeResp、UpgradeAckNotify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Invalidate</w:t>
            </w:r>
          </w:p>
        </w:tc>
        <w:tc>
          <w:tcPr>
            <w:tcW w:w="697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InvalidateReq、InvalidateAck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</w:t>
            </w:r>
          </w:p>
        </w:tc>
        <w:tc>
          <w:tcPr>
            <w:tcW w:w="697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RecallReq、RecallResp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5.4 故障动作覆盖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97"/>
        <w:gridCol w:w="2371"/>
        <w:gridCol w:w="5431"/>
      </w:tblGrid>
      <w:tr>
        <w:trPr>
          <w:cantSplit/>
          <w:tblHeader/>
        </w:trPr>
        <w:tc>
          <w:tcPr>
            <w:tcW w:w="179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故障动作</w:t>
            </w:r>
          </w:p>
        </w:tc>
        <w:tc>
          <w:tcPr>
            <w:tcW w:w="237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覆盖 case 数</w:t>
            </w:r>
          </w:p>
        </w:tc>
        <w:tc>
          <w:tcPr>
            <w:tcW w:w="5431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验证职责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丢失</w:t>
            </w:r>
          </w:p>
        </w:tc>
        <w:tc>
          <w:tcPr>
            <w:tcW w:w="237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37</w:t>
            </w:r>
          </w:p>
        </w:tc>
        <w:tc>
          <w:tcPr>
            <w:tcW w:w="543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重试、stable tuple 和最终收敛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延迟</w:t>
            </w:r>
          </w:p>
        </w:tc>
        <w:tc>
          <w:tcPr>
            <w:tcW w:w="237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13</w:t>
            </w:r>
          </w:p>
        </w:tc>
        <w:tc>
          <w:tcPr>
            <w:tcW w:w="543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deferred delivery 与过期消息处理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重复</w:t>
            </w:r>
          </w:p>
        </w:tc>
        <w:tc>
          <w:tcPr>
            <w:tcW w:w="237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</w:t>
            </w:r>
          </w:p>
        </w:tc>
        <w:tc>
          <w:tcPr>
            <w:tcW w:w="5431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Ack、Clear 和事务提交幂等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乱序</w:t>
            </w:r>
          </w:p>
        </w:tc>
        <w:tc>
          <w:tcPr>
            <w:tcW w:w="237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6</w:t>
            </w:r>
          </w:p>
        </w:tc>
        <w:tc>
          <w:tcPr>
            <w:tcW w:w="5431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接收顺序变化下的 epoch/reqId 安全</w:t>
            </w:r>
          </w:p>
        </w:tc>
      </w:tr>
    </w:tbl>
    <w:p>
      <w:pPr>
        <w:ind w:left="0" w:firstLine="420"/>
      </w:pPr>
      <w:r>
        <w:rPr>
          <w:rFonts w:ascii="Calibri" w:hAnsi="Calibri" w:eastAsia="Microsoft YaHei" w:cs="Calibri"/>
        </w:rPr>
        <w:t xml:space="preserve">故障动作按类别计数，同一测试可计入多个类别；仿真测试总数为 52。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5.5 连续丢失与组合故障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Q2 验证首 2 次和首 3 次消息丢失后的恢复，覆盖 Clear、UpgradeReq、InvalidateAck 和 RecallResp。Q3 验证以下有依赖关系的组合：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UpgradeResp 丢失 + UpgradeAckNotify 丢失；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InvalidateReq 丢失 + InvalidateAck 丢失；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RecallReq 丢失 + RecallResp 丢失；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Clear 丢失 + ClearAck 延迟。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四类组合均完成数据和权限收敛。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5.6 并发与拓扑覆盖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Q4 覆盖 32 PA、partial Ack、多源 Ack 和 Near-outstanding（请求数接近控制器并发 outstanding 上限）的代表流量。Q5 在以下拓扑完成请求和 Ack 故障验证：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00"/>
        <w:gridCol w:w="5600"/>
        <w:gridCol w:w="2000"/>
      </w:tblGrid>
      <w:tr>
        <w:trPr>
          <w:cantSplit/>
          <w:tblHeader/>
        </w:trPr>
        <w:tc>
          <w:tcPr>
            <w:tcW w:w="200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拓扑</w:t>
            </w:r>
          </w:p>
        </w:tc>
        <w:tc>
          <w:tcPr>
            <w:tcW w:w="560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代表性覆盖</w:t>
            </w:r>
          </w:p>
        </w:tc>
        <w:tc>
          <w:tcPr>
            <w:tcW w:w="200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</w:t>
            </w:r>
          </w:p>
        </w:tc>
        <w:tc>
          <w:tcPr>
            <w:tcW w:w="56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基础跨节点失效与确认</w:t>
            </w:r>
          </w:p>
        </w:tc>
        <w:tc>
          <w:tcPr>
            <w:tcW w:w="20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3/3 通过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3N2S</w:t>
            </w:r>
          </w:p>
        </w:tc>
        <w:tc>
          <w:tcPr>
            <w:tcW w:w="56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多 Socket 路由与事务身份</w:t>
            </w:r>
          </w:p>
        </w:tc>
        <w:tc>
          <w:tcPr>
            <w:tcW w:w="20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3/3 通过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8N2S</w:t>
            </w:r>
          </w:p>
        </w:tc>
        <w:tc>
          <w:tcPr>
            <w:tcW w:w="56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多 sharer 与 partial Ack</w:t>
            </w:r>
          </w:p>
        </w:tc>
        <w:tc>
          <w:tcPr>
            <w:tcW w:w="200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3/3 通过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16N1S</w:t>
            </w:r>
          </w:p>
        </w:tc>
        <w:tc>
          <w:tcPr>
            <w:tcW w:w="56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node15、16 节点共享转写者</w:t>
            </w:r>
          </w:p>
        </w:tc>
        <w:tc>
          <w:tcPr>
            <w:tcW w:w="200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3/3 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6. HA 理论与仿真参考比较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6.1 比较目的与范围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本章节用于回答：在相同 workload、完成边界和统一参数下，UBCC 的目录定位与权限路径相对 HA 方案参考模型有何结构差异。该结果涵盖理论分析与对 HA 方案进行适当建模的仿真比较。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6.2 参考条件与公平性定义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本节对照的 HA 参考模型（HA-VI）按照以下条件建模：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节点级状态为 VI，每行只有有效/无效两态；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每缓存行 N-bit 节点级目录，一位为 VI 状态、N−1 位标记该行远端副本的持有副本的节点；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采用 write-back 策略，store 时需要失效其他节点的副本；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元数据位于 IODie；全局缓存地址空间不超过 128 MiB；元数据占用不超过 512 KB；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网络保证可靠性，不考虑丢包等问题。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配对比较采用统一条件：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13"/>
        <w:gridCol w:w="6686"/>
      </w:tblGrid>
      <w:tr>
        <w:trPr>
          <w:cantSplit/>
          <w:tblHeader/>
        </w:trPr>
        <w:tc>
          <w:tcPr>
            <w:tcW w:w="291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维度</w:t>
            </w:r>
          </w:p>
        </w:tc>
        <w:tc>
          <w:tcPr>
            <w:tcW w:w="668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统一参考条件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系统与处理器</w:t>
            </w:r>
          </w:p>
        </w:tc>
        <w:tc>
          <w:tcPr>
            <w:tcW w:w="668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两方案使用相同节点、缓存与处理器（Arm O3）条件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workload 与输入</w:t>
            </w:r>
          </w:p>
        </w:tc>
        <w:tc>
          <w:tcPr>
            <w:tcW w:w="668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相同 testcase、输入与对应 L3 Cache 压力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完成与计量</w:t>
            </w:r>
          </w:p>
        </w:tc>
        <w:tc>
          <w:tcPr>
            <w:tcW w:w="668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相同完成边界（根完成语义）：以单次操作发起为起点，终点为数据与权限可被观察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可靠性</w:t>
            </w:r>
          </w:p>
        </w:tc>
        <w:tc>
          <w:tcPr>
            <w:tcW w:w="668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单向完成语义：响应不需要额外 Ack 握手，可靠性由网络保证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SimHei" w:cs="Calibri"/>
        </w:rPr>
        <w:t xml:space="preserve">6.3 理论结构比较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HA-VI 的节点级目录精确记录了该行副本的持有节点，因此失效目标集合与 UBCC 的 sharer 位图同样精确；两者的结构差异在权限表达与数据责任。按三条代表性场景（对应 TC228–TC230）比较：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远程读（TC228）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UBCC：Home 依目录中的 owner 与 sharer 状态直接确定权威数据源，返回数据后建立共享关系。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HA-VI：没有脏数据标记。若该行只有一个 holder，它可能是干净副本，也可能是最近一次 unique write 留下的最新数据，位图无法区分；因此对其他 requester 的读需要联系该 holder 取最新数据。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差异：多 holder、Home 数据最新时两者路径一致；单 holder 场景 HA-VI 要多一次 holder 联系。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所有权迁移（TC229）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UBCC：目录直接定位最新数据的 owner，组织旧 owner 释放数据与权限，再向新 owner 授权。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HA-VI：能精确失效其他 holder，但缺少 owner/脏数据信息，需先经节点内状态或 probe 确认最新数据在哪个 holder，再完成失效与数据回取。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差异：写前"定位最新数据"这一步是主要区别——UBCC 由目录直接给出，HA-VI 需要额外定位。</w:t>
      </w:r>
    </w:p>
    <w:p>
      <w:pPr>
        <w:ind w:left="0" w:firstLine="420"/>
      </w:pPr>
      <w:r>
        <w:rPr>
          <w:rFonts w:ascii="Calibri" w:hAnsi="Calibri" w:eastAsia="Microsoft YaHei" w:cs="Calibri"/>
          <w:b/>
        </w:rPr>
        <w:t xml:space="preserve">共享转写者（TC230）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UBCC：按精确的 sharer 位图确定需失效的节点集合并行失效，确认收敛后授予单写者。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HA-VI：同样按精确位图确定失效目标，失效与确认过程相同。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差异：写权限的复用。UBCC 获得 E/M 后可对同一行重复本地写、不再产生全局事务；HA-VI 每次写都要向 Home 申请 unique ownership 并执行一次失效事务，即使 requester 已是唯一 holder，仍有一次 requester–Home 往返。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另外，HA-VI 方案使用整个片上空间存储位图形式的元数据，其地址空间严重受限，且随着节点数增长进一步缩小（128 MB @ 2 Nodes，64 MB @ 4 Nodes）；而 UBCC 方案存储地址 Tag，从而允许缓存行稀疏地分布在较大的地址空间中。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6.4 HA-VI 参考结果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120 对结果在全部 15 个拓扑／压力坐标中，核心组三个 TC 的均值与代表组五个 TC 的均值均满足 UBCC 低于 HA-VI；核心组降幅约 21%–27%、代表组约 9%–25%。具体结果详见交付件 3 第 5 章。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7. 处理器乱序与拓扑验证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7.1 O3 可执行验证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处理器乱序验证覆盖以下同步场景：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release/acquire 远程发布；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脏数据所有权迁移；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多独立缓存行并行访问；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Invalidate 与 acquire read 竞争。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相关测试在 O3 模型下全部通过，确认节点内乱序执行与 UBCC 全局权限顺序能够正确协同。</w:t>
      </w:r>
    </w:p>
    <w:p>
      <w:pPr>
        <w:pStyle w:val="Heading3"/>
        <w:keepNext/>
      </w:pPr>
      <w:r>
        <w:rPr>
          <w:rFonts w:ascii="Calibri" w:hAnsi="Calibri" w:eastAsia="SimHei" w:cs="Calibri"/>
        </w:rPr>
        <w:t xml:space="preserve">7.2 16 节点协议能力验证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16N1S 多拓扑测试验证覆盖 16 个协议节点、跨节点共享者集合和正式性能工作负载。Q5 进一步覆盖该配置下的请求丢失、Ack 丢失和 Ack 延迟。结果确认了 16 节点规模下的协议端点与事务收敛能力。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8. 交付内容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本次交付覆盖：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UBCC 目录状态与关键活性机制；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EP-RNF、EP-SNF 和 UBAdapter 协同；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可恢复消息传输故障；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3N1S、3N2S、8N2S 和 16N1S 代表拓扑；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O3 处理器模型下的同步语义；</w:t>
      </w:r>
    </w:p>
    <w:p>
      <w:pPr>
        <w:ind w:left="360" w:firstLine="0"/>
      </w:pPr>
      <w:r>
        <w:rPr>
          <w:rFonts w:ascii="Calibri" w:hAnsi="Calibri" w:eastAsia="Microsoft YaHei" w:cs="Calibri"/>
        </w:rPr>
        <w:t xml:space="preserve">• 性能矩阵执行前的正确性测试。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9. 总结</w:t>
      </w:r>
    </w:p>
    <w:p>
      <w:pPr>
        <w:ind w:left="0" w:firstLine="420"/>
      </w:pPr>
      <w:r>
        <w:rPr>
          <w:rFonts w:ascii="Calibri" w:hAnsi="Calibri" w:eastAsia="Microsoft YaHei" w:cs="Calibri"/>
        </w:rPr>
        <w:t xml:space="preserve">UBCC 已建立从形式化模型到端到端执行的分层验证体系。目录提交、同址事务、消息幂等、 失效收敛和 snoop 仲裁均获得明确验证；Q1-Q5 故障资格矩阵 52/52 通过，多拓扑和 O3 验证进一步确认了实现的工程适用性。</w:t>
      </w:r>
    </w:p>
    <w:p>
      <w:pPr>
        <w:pStyle w:val="Heading2"/>
        <w:keepNext/>
      </w:pPr>
      <w:r>
        <w:rPr>
          <w:rFonts w:ascii="Calibri" w:hAnsi="Calibri" w:eastAsia="SimHei" w:cs="Calibri"/>
        </w:rPr>
        <w:t xml:space="preserve">附录 A 形式化模型清单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120"/>
        <w:gridCol w:w="5479"/>
      </w:tblGrid>
      <w:tr>
        <w:trPr>
          <w:cantSplit/>
          <w:tblHeader/>
        </w:trPr>
        <w:tc>
          <w:tcPr>
            <w:tcW w:w="4120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模型组</w:t>
            </w:r>
          </w:p>
        </w:tc>
        <w:tc>
          <w:tcPr>
            <w:tcW w:w="5479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protocol core</w:t>
            </w:r>
          </w:p>
        </w:tc>
        <w:tc>
          <w:tcPr>
            <w:tcW w:w="547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request、grant、clear、recall、invalidate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transport faults</w:t>
            </w:r>
          </w:p>
        </w:tc>
        <w:tc>
          <w:tcPr>
            <w:tcW w:w="547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丢失、重复、乱序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intra-node EP</w:t>
            </w:r>
          </w:p>
        </w:tc>
        <w:tc>
          <w:tcPr>
            <w:tcW w:w="547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 single-flight 与 snoop 仲裁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multi-PA / multi-socket</w:t>
            </w:r>
          </w:p>
        </w:tc>
        <w:tc>
          <w:tcPr>
            <w:tcW w:w="547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地址与 Socket 隔离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waiter retirement</w:t>
            </w:r>
          </w:p>
        </w:tc>
        <w:tc>
          <w:tcPr>
            <w:tcW w:w="547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committed waiter 精确退役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capacity refill</w:t>
            </w:r>
          </w:p>
        </w:tc>
        <w:tc>
          <w:tcPr>
            <w:tcW w:w="5479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数据完整性、升级屏障与 refill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附录 B 模型与实现对应关系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66"/>
        <w:gridCol w:w="6633"/>
      </w:tblGrid>
      <w:tr>
        <w:trPr>
          <w:cantSplit/>
          <w:tblHeader/>
        </w:trPr>
        <w:tc>
          <w:tcPr>
            <w:tcW w:w="2966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验证概念</w:t>
            </w:r>
          </w:p>
        </w:tc>
        <w:tc>
          <w:tcPr>
            <w:tcW w:w="6633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实现组件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全局目录状态</w:t>
            </w:r>
          </w:p>
        </w:tc>
        <w:tc>
          <w:tcPr>
            <w:tcW w:w="66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UBCCController、ResidentDir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两阶段提交</w:t>
            </w:r>
          </w:p>
        </w:tc>
        <w:tc>
          <w:tcPr>
            <w:tcW w:w="66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outstanding 与 Clear 处理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Recall</w:t>
            </w:r>
          </w:p>
        </w:tc>
        <w:tc>
          <w:tcPr>
            <w:tcW w:w="66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UBCCController、EPBackend、EP-RNF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Invalidate</w:t>
            </w:r>
          </w:p>
        </w:tc>
        <w:tc>
          <w:tcPr>
            <w:tcW w:w="66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UBCCController、UBAdapter、EP-RNF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waiter</w:t>
            </w:r>
          </w:p>
        </w:tc>
        <w:tc>
          <w:tcPr>
            <w:tcW w:w="66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 waiter queue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Backstore 换入</w:t>
            </w:r>
          </w:p>
        </w:tc>
        <w:tc>
          <w:tcPr>
            <w:tcW w:w="6633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BackstoreHost、BackstoreSchema</w:t>
            </w:r>
          </w:p>
        </w:tc>
      </w:tr>
      <w:tr>
        <w:trPr>
          <w:cantSplit/>
        </w:trPr>
        <w:tc>
          <w:tcPr>
            <w:tcW w:w="2966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snoop 仲裁</w:t>
            </w:r>
          </w:p>
        </w:tc>
        <w:tc>
          <w:tcPr>
            <w:tcW w:w="6633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附录 C 故障资格矩阵索引</w:t>
      </w:r>
    </w:p>
    <w:tbl>
      <w:tblPr>
        <w:tblStyle w:val="TableGrid"/>
        <w:tblW w:w="5000" w:type="pct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95"/>
        <w:gridCol w:w="2377"/>
        <w:gridCol w:w="3559"/>
        <w:gridCol w:w="2468"/>
      </w:tblGrid>
      <w:tr>
        <w:trPr>
          <w:cantSplit/>
          <w:tblHeader/>
        </w:trPr>
        <w:tc>
          <w:tcPr>
            <w:tcW w:w="1195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资格组</w:t>
            </w:r>
          </w:p>
        </w:tc>
        <w:tc>
          <w:tcPr>
            <w:tcW w:w="2377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工作负载类型</w:t>
            </w:r>
          </w:p>
        </w:tc>
        <w:tc>
          <w:tcPr>
            <w:tcW w:w="3559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主要消息</w:t>
            </w:r>
          </w:p>
        </w:tc>
        <w:tc>
          <w:tcPr>
            <w:tcW w:w="2468" w:type="dxa"/>
            <w:shd w:val="clear" w:color="auto" w:fill="D9E2F3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主要拓扑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</w:t>
            </w:r>
          </w:p>
        </w:tc>
        <w:tc>
          <w:tcPr>
            <w:tcW w:w="23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单故障基础集</w:t>
            </w:r>
          </w:p>
        </w:tc>
        <w:tc>
          <w:tcPr>
            <w:tcW w:w="355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Clear、Upgrade、Invalidate、Recall</w:t>
            </w:r>
          </w:p>
        </w:tc>
        <w:tc>
          <w:tcPr>
            <w:tcW w:w="246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Q2</w:t>
            </w:r>
          </w:p>
        </w:tc>
        <w:tc>
          <w:tcPr>
            <w:tcW w:w="23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连续丢失</w:t>
            </w:r>
          </w:p>
        </w:tc>
        <w:tc>
          <w:tcPr>
            <w:tcW w:w="355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Clear、UpgradeReq、InvalidateAck、RecallResp</w:t>
            </w:r>
          </w:p>
        </w:tc>
        <w:tc>
          <w:tcPr>
            <w:tcW w:w="246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Q3</w:t>
            </w:r>
          </w:p>
        </w:tc>
        <w:tc>
          <w:tcPr>
            <w:tcW w:w="23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双故障组合</w:t>
            </w:r>
          </w:p>
        </w:tc>
        <w:tc>
          <w:tcPr>
            <w:tcW w:w="355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请求 + 响应</w:t>
            </w:r>
          </w:p>
        </w:tc>
        <w:tc>
          <w:tcPr>
            <w:tcW w:w="246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Q4</w:t>
            </w:r>
          </w:p>
        </w:tc>
        <w:tc>
          <w:tcPr>
            <w:tcW w:w="2377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burst / concurrency</w:t>
            </w:r>
          </w:p>
        </w:tc>
        <w:tc>
          <w:tcPr>
            <w:tcW w:w="3559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Clear、InvalidateAck、RecallResp</w:t>
            </w:r>
          </w:p>
        </w:tc>
        <w:tc>
          <w:tcPr>
            <w:tcW w:w="2468" w:type="dxa"/>
          </w:tcPr>
          <w:p>
            <w:pPr>
              <w:pStyle w:val="TableText"/>
              <w:jc w:val="left"/>
              <w:wordWrap w:val="0"/>
              <w:keepNext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</w:t>
            </w:r>
          </w:p>
        </w:tc>
      </w:tr>
      <w:tr>
        <w:trPr>
          <w:cantSplit/>
        </w:trPr>
        <w:tc>
          <w:tcPr>
            <w:tcW w:w="1195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Q5</w:t>
            </w:r>
          </w:p>
        </w:tc>
        <w:tc>
          <w:tcPr>
            <w:tcW w:w="2377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topology</w:t>
            </w:r>
          </w:p>
        </w:tc>
        <w:tc>
          <w:tcPr>
            <w:tcW w:w="3559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6"/>
                <w:szCs w:val="16"/>
              </w:rPr>
              <w:t xml:space="preserve">InvalidateReq、InvalidateAck</w:t>
            </w:r>
          </w:p>
        </w:tc>
        <w:tc>
          <w:tcPr>
            <w:tcW w:w="2468" w:type="dxa"/>
          </w:tcPr>
          <w:p>
            <w:pPr>
              <w:pStyle w:val="TableText"/>
              <w:jc w:val="left"/>
              <w:wordWrap w:val="0"/>
              <w:spacing w:before="0" w:after="0" w:line="32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3N1S、3N2S、8N2S、16N1S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SimHei" w:cs="Calibri"/>
        </w:rPr>
        <w:t xml:space="preserve">附录 D 术语表</w:t>
      </w:r>
    </w:p>
    <w:tbl>
      <w:tblPr>
        <w:tblStyle w:val="TableGrid"/>
        <w:tblW w:w="5000" w:type="pct"/>
        <w:tblLayout w:type="fixed"/>
        <w:tblCellMar>
          <w:top w:w="70" w:type="dxa"/>
          <w:left w:w="45" w:type="dxa"/>
          <w:bottom w:w="70" w:type="dxa"/>
          <w:right w:w="45" w:type="dxa"/>
        </w:tblCellMar>
      </w:tblPr>
      <w:tblGrid>
        <w:gridCol w:w="1500"/>
        <w:gridCol w:w="3300"/>
        <w:gridCol w:w="1500"/>
        <w:gridCol w:w="3300"/>
      </w:tblGrid>
      <w:tr>
        <w:trPr>
          <w:cantSplit/>
          <w:tblHeader/>
        </w:trPr>
        <w:tc>
          <w:tcPr>
            <w:tcW w:w="15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术语</w:t>
            </w:r>
          </w:p>
        </w:tc>
        <w:tc>
          <w:tcPr>
            <w:tcW w:w="33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术语</w:t>
            </w:r>
          </w:p>
        </w:tc>
        <w:tc>
          <w:tcPr>
            <w:tcW w:w="3300" w:type="dxa"/>
            <w:shd w:val="clear" w:color="auto" w:fill="D9E2F3"/>
          </w:tcPr>
          <w:p>
            <w:pPr>
              <w:pStyle w:val="CompactGlossaryText"/>
              <w:jc w:val="left"/>
              <w:wordWrap w:val="0"/>
              <w:keepNext/>
              <w:spacing w:before="0" w:after="0" w:line="310" w:lineRule="exact"/>
            </w:pPr>
            <w:r>
              <w:rPr>
                <w:rFonts w:ascii="Calibri" w:hAnsi="Calibri" w:eastAsia="SimHei" w:cs="Calibri"/>
                <w:b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方案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采用独立 Outer 一致性层和分层目录的跨节点一致性体系结构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epoch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区分同址新旧事务的单调序号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UBCC 控制器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维护全局目录并执行同址事务仲裁的控制器组件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reqId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标识具体请求的事务编号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Home UBCC 控制器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由地址映射选定、负责目标地址目录和提交的控制器实例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stable tuple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重试期间保持不变的事务身份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EP-RNF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代表 Outer 域参与节点内 snoop 的端点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tombstone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已完成事务的幂等确认记录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ResidentDir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SRAM 驻留目录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partial Ack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目标集合中部分节点已经完成确认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H64 Backstore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位于 metadata DRAM、保存冷目录元数据的 64 B bucket 哈希表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Q1-Q5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从基础单故障到多拓扑故障的五级测试分组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TLA+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用于描述并检查协议状态与动作的形式化语言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ubsim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组织仿真模块装载、运行与集成的框架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O3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Out-of-Order，乱序执行并按架构顺序提交的处理器模型；用于验证乱序条件下的同步与一致性语义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Liveness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在公平调度和消息最终可达条件下，事务能够持续推进并最终完成的性质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Safety</w:t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>所有可达状态均满足的不变量</w:t>
            </w:r>
          </w:p>
        </w:tc>
        <w:tc>
          <w:tcPr>
            <w:tcW w:w="15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  <w:tc>
          <w:tcPr>
            <w:tcW w:w="3300" w:type="dxa"/>
          </w:tcPr>
          <w:p>
            <w:pPr>
              <w:pStyle w:val="CompactGlossaryText"/>
              <w:jc w:val="left"/>
              <w:wordWrap w:val="0"/>
              <w:spacing w:before="0" w:after="0" w:line="310" w:lineRule="exact"/>
            </w:pPr>
            <w:r>
              <w:rPr>
                <w:rFonts w:ascii="Calibri" w:hAnsi="Calibri" w:eastAsia="Microsoft YaHei" w:cs="Calibri"/>
                <w:sz w:val="18"/>
                <w:szCs w:val="18"/>
              </w:rPr>
              <w:t xml:space="preserve"/>
            </w:r>
          </w:p>
        </w:tc>
      </w:tr>
    </w:tbl>
    <w:sectPr>
      <w:titlePg/>
      <w:footerReference w:type="first" r:id="rIdFirstFooter"/>
      <w:footerReference w:type="default" r:id="rIdFooter"/>
      <w:pgSz w:w="11906" w:h="16838"/>
      <w:pgMar w:top="1417" w:right="1134" w:bottom="1417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> PAGE </w:instrText>
    </w:r>
    <w:r>
      <w:fldChar w:fldCharType="end"/>
    </w:r>
    <w:r>
      <w:t> 页</w:t>
    </w:r>
  </w:p>
</w:ftr>
</file>

<file path=word/footerFirst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  <w:defaultTabStop w:val="4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kinsoku/>
      <w:spacing w:before="0" w:after="0" w:line="400" w:lineRule="exact"/>
      <w:jc w:val="both"/>
    </w:pPr>
    <w:rPr>
      <w:rFonts w:ascii="Calibri" w:hAnsi="Calibri" w:eastAsia="Microsoft YaHei" w:cs="Calibri"/>
      <w:sz w:val="21"/>
      <w:szCs w:val="21"/>
    </w:rPr>
  </w:style>
  <w:style w:type="paragraph" w:styleId="Title">
    <w:name w:val="Title"/>
    <w:basedOn w:val="Normal"/>
    <w:pPr>
      <w:jc w:val="center"/>
      <w:spacing w:before="240" w:after="180" w:line="480" w:lineRule="exact"/>
      <w:keepNext/>
    </w:pPr>
    <w:rPr>
      <w:rFonts w:ascii="Calibri" w:hAnsi="Calibri" w:eastAsia="SimHei" w:cs="Calibri"/>
      <w:b/>
      <w:color w:val="17365D"/>
      <w:sz w:val="36"/>
      <w:szCs w:val="36"/>
    </w:rPr>
  </w:style>
  <w:style w:type="paragraph" w:styleId="Heading1">
    <w:name w:val="heading 1"/>
    <w:basedOn w:val="Normal"/>
    <w:pPr>
      <w:keepNext/>
      <w:spacing w:before="240" w:after="80" w:line="400" w:lineRule="exact"/>
      <w:outlineLvl w:val="0"/>
    </w:pPr>
    <w:rPr>
      <w:rFonts w:ascii="Calibri" w:hAnsi="Calibri" w:eastAsia="SimHei" w:cs="Calibri"/>
      <w:b/>
      <w:color w:val="17365D"/>
      <w:sz w:val="30"/>
    </w:rPr>
  </w:style>
  <w:style w:type="paragraph" w:styleId="Heading2">
    <w:name w:val="heading 2"/>
    <w:basedOn w:val="Normal"/>
    <w:pPr>
      <w:keepNext/>
      <w:spacing w:before="180" w:after="60" w:line="400" w:lineRule="exact"/>
      <w:outlineLvl w:val="1"/>
    </w:pPr>
    <w:rPr>
      <w:rFonts w:ascii="Calibri" w:hAnsi="Calibri" w:eastAsia="SimHei" w:cs="Calibri"/>
      <w:b/>
      <w:color w:val="365F91"/>
      <w:sz w:val="26"/>
    </w:rPr>
  </w:style>
  <w:style w:type="paragraph" w:styleId="Heading3">
    <w:name w:val="heading 3"/>
    <w:basedOn w:val="Normal"/>
    <w:pPr>
      <w:keepNext/>
      <w:spacing w:before="120" w:after="40" w:line="400" w:lineRule="exact"/>
      <w:outlineLvl w:val="2"/>
    </w:pPr>
    <w:rPr>
      <w:rFonts w:ascii="Calibri" w:hAnsi="Calibri" w:eastAsia="SimHei" w:cs="Calibri"/>
      <w:b/>
      <w:color w:val="4F81BD"/>
      <w:sz w:val="23"/>
    </w:rPr>
  </w:style>
  <w:style w:type="paragraph" w:styleId="Code">
    <w:name w:val="Code"/>
    <w:basedOn w:val="Normal"/>
    <w:pPr>
      <w:spacing w:before="0" w:after="0" w:line="300" w:lineRule="exact"/>
      <w:shd w:fill="F2F2F2"/>
      <w:ind w:left="240"/>
    </w:pPr>
    <w:rPr>
      <w:rFonts w:ascii="Consolas" w:hAnsi="Consolas" w:eastAsia="Microsoft YaHei" w:cs="Consolas"/>
      <w:sz w:val="18"/>
    </w:rPr>
  </w:style>
  <w:style w:type="paragraph" w:styleId="Quote">
    <w:name w:val="Quote"/>
    <w:basedOn w:val="Normal"/>
    <w:rPr>
      <w:i/>
      <w:color w:val="555555"/>
    </w:rPr>
  </w:style>
  <w:style w:type="paragraph" w:styleId="TableText">
    <w:name w:val="Table Text"/>
    <w:basedOn w:val="Normal"/>
    <w:pPr>
      <w:jc w:val="left"/>
      <w:spacing w:before="0" w:after="0" w:line="320" w:lineRule="exact"/>
    </w:pPr>
    <w:rPr>
      <w:rFonts w:ascii="Calibri" w:hAnsi="Calibri" w:eastAsia="Microsoft YaHei" w:cs="Calibri"/>
      <w:sz w:val="18"/>
      <w:szCs w:val="18"/>
    </w:rPr>
  </w:style>
  <w:style w:type="paragraph" w:styleId="CompactGlossaryText">
    <w:name w:val="Compact Glossary Text"/>
    <w:basedOn w:val="TableText"/>
    <w:pPr>
      <w:jc w:val="left"/>
      <w:spacing w:before="0" w:after="0" w:line="310" w:lineRule="exact"/>
    </w:pPr>
    <w:rPr>
      <w:rFonts w:ascii="Calibri" w:hAnsi="Calibri" w:eastAsia="Microsoft YaHei" w:cs="Calibri"/>
      <w:sz w:val="18"/>
      <w:szCs w:val="18"/>
    </w:rPr>
  </w:style>
  <w:style w:type="paragraph" w:styleId="FigureCaption">
    <w:name w:val="Figure Caption"/>
    <w:basedOn w:val="Normal"/>
    <w:pPr>
      <w:jc w:val="center"/>
      <w:keepLines/>
      <w:spacing w:before="0" w:after="120" w:line="320" w:lineRule="exact"/>
    </w:pPr>
    <w:rPr>
      <w:rFonts w:ascii="Calibri" w:hAnsi="Calibri" w:eastAsia="Microsoft YaHei" w:cs="Calibri"/>
      <w:sz w:val="18"/>
      <w:color w:val="555555"/>
    </w:rPr>
  </w:style>
  <w:style w:type="paragraph" w:styleId="TableCaption">
    <w:name w:val="Table Caption"/>
    <w:basedOn w:val="FigureCaption"/>
    <w:pPr>
      <w:jc w:val="center"/>
      <w:spacing w:before="40" w:after="100" w:line="320" w:lineRule="exact"/>
    </w:pPr>
  </w:style>
  <w:style w:type="table" w:styleId="TableGrid">
    <w:name w:val="Table Grid"/>
    <w:tblPr>
      <w:tblBorders>
        <w:top w:val="single" w:color="B7C9E2" w:sz="4"/>
        <w:left w:val="single" w:color="B7C9E2" w:sz="4"/>
        <w:bottom w:val="single" w:color="B7C9E2" w:sz="4"/>
        <w:right w:val="single" w:color="B7C9E2" w:sz="4"/>
        <w:insideH w:val="single" w:color="D9E2F3" w:sz="4"/>
        <w:insideV w:val="single" w:color="D9E2F3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FirstFooter" Type="http://schemas.openxmlformats.org/officeDocument/2006/relationships/footer" Target="footerFirst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CC-EP Markdown DOCX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UBCC 形式化验证与可靠性资格报告</dc:title>
  <dc:creator>CC-EP project</dc:creator>
  <dc:description>source_sha256=80066bf524724bd0390dc6368075ca85543e11226d79ecf12303e0d6f44f1ab1</dc:description>
  <dcterms:created xsi:type="dcterms:W3CDTF">2026-09-24T07:34:04Z</dcterms:created>
  <dcterms:modified xsi:type="dcterms:W3CDTF">2026-09-24T07:34:04Z</dcterms:modified>
</cp:coreProperties>
</file>