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502BD" w14:paraId="7E6A9529" w14:textId="77777777">
        <w:tc>
          <w:tcPr>
            <w:tcW w:w="9638" w:type="dxa"/>
            <w:tcBorders>
              <w:top w:val="none" w:sz="0" w:space="0" w:color="FFFFFF"/>
              <w:left w:val="none" w:sz="0" w:space="0" w:color="FFFFFF"/>
              <w:bottom w:val="none" w:sz="0" w:space="0" w:color="FFFFFF"/>
              <w:right w:val="none" w:sz="0" w:space="0" w:color="FFFFFF"/>
            </w:tcBorders>
            <w:shd w:val="clear" w:color="auto" w:fill="1A3A5C"/>
            <w:tcMar>
              <w:top w:w="200" w:type="dxa"/>
              <w:left w:w="240" w:type="dxa"/>
              <w:bottom w:w="160" w:type="dxa"/>
              <w:right w:w="160" w:type="dxa"/>
            </w:tcMar>
          </w:tcPr>
          <w:p w14:paraId="0D7CBFFA" w14:textId="77777777" w:rsidR="003502BD" w:rsidRDefault="00000000">
            <w:pPr>
              <w:spacing w:after="80" w:line="276" w:lineRule="auto"/>
            </w:pPr>
            <w:r>
              <w:rPr>
                <w:b/>
                <w:bCs/>
                <w:color w:val="FFFFFF"/>
                <w:sz w:val="32"/>
                <w:szCs w:val="32"/>
              </w:rPr>
              <w:t>簡易モデルによる労働市場の将来推計</w:t>
            </w:r>
          </w:p>
          <w:p w14:paraId="05DD8A01" w14:textId="77777777" w:rsidR="003502BD" w:rsidRDefault="00000000">
            <w:pPr>
              <w:spacing w:after="60" w:line="276" w:lineRule="auto"/>
            </w:pPr>
            <w:r>
              <w:rPr>
                <w:b/>
                <w:bCs/>
                <w:color w:val="BFDBFE"/>
                <w:sz w:val="22"/>
                <w:szCs w:val="22"/>
              </w:rPr>
              <w:t xml:space="preserve">エグゼクティブ・サマリー　</w:t>
            </w:r>
            <w:r>
              <w:rPr>
                <w:color w:val="93C5FD"/>
                <w:sz w:val="19"/>
                <w:szCs w:val="19"/>
              </w:rPr>
              <w:t>Executive Summary</w:t>
            </w:r>
          </w:p>
          <w:p w14:paraId="1F03F3F9" w14:textId="77777777" w:rsidR="003502BD" w:rsidRDefault="00000000">
            <w:pPr>
              <w:spacing w:after="80" w:line="276" w:lineRule="auto"/>
            </w:pPr>
            <w:r>
              <w:rPr>
                <w:color w:val="7DD3FC"/>
                <w:sz w:val="16"/>
                <w:szCs w:val="16"/>
              </w:rPr>
              <w:t>作成日：2026年5月20日　|　推定期間：1995〜2025年　|　推計期間：2026〜2040年</w:t>
            </w:r>
          </w:p>
          <w:p w14:paraId="75B3665B" w14:textId="77777777" w:rsidR="003502BD" w:rsidRDefault="00000000">
            <w:pPr>
              <w:spacing w:after="80" w:line="276" w:lineRule="auto"/>
            </w:pPr>
            <w:r>
              <w:rPr>
                <w:color w:val="7DD3FC"/>
                <w:sz w:val="16"/>
                <w:szCs w:val="16"/>
              </w:rPr>
              <w:t>資料：国立社会保障・人口問題研究所、内閣府、総務省、厚生労働省、日本銀行</w:t>
            </w:r>
          </w:p>
        </w:tc>
      </w:tr>
    </w:tbl>
    <w:p w14:paraId="59E93982" w14:textId="77777777" w:rsidR="003502BD" w:rsidRDefault="003502B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10"/>
        <w:gridCol w:w="2410"/>
      </w:tblGrid>
      <w:tr w:rsidR="003502BD" w14:paraId="6B4F253C" w14:textId="77777777">
        <w:tc>
          <w:tcPr>
            <w:tcW w:w="2409" w:type="dxa"/>
            <w:tcBorders>
              <w:top w:val="none" w:sz="0" w:space="0" w:color="FFFFFF"/>
              <w:left w:val="none" w:sz="0" w:space="0" w:color="FFFFFF"/>
              <w:bottom w:val="none" w:sz="0" w:space="0" w:color="FFFFFF"/>
              <w:right w:val="none" w:sz="0" w:space="0" w:color="FFFFFF"/>
            </w:tcBorders>
            <w:shd w:val="clear" w:color="auto" w:fill="F4F6F9"/>
            <w:tcMar>
              <w:top w:w="60" w:type="dxa"/>
              <w:left w:w="100" w:type="dxa"/>
              <w:bottom w:w="20" w:type="dxa"/>
              <w:right w:w="60" w:type="dxa"/>
            </w:tcMar>
          </w:tcPr>
          <w:p w14:paraId="6350148E" w14:textId="77777777" w:rsidR="003502BD" w:rsidRDefault="00000000">
            <w:pPr>
              <w:spacing w:after="30" w:line="276" w:lineRule="auto"/>
            </w:pPr>
            <w:r>
              <w:rPr>
                <w:b/>
                <w:bCs/>
                <w:color w:val="6B7280"/>
                <w:sz w:val="17"/>
                <w:szCs w:val="17"/>
              </w:rPr>
              <w:t>完全失業率</w:t>
            </w:r>
          </w:p>
        </w:tc>
        <w:tc>
          <w:tcPr>
            <w:tcW w:w="2409" w:type="dxa"/>
            <w:tcBorders>
              <w:top w:val="none" w:sz="0" w:space="0" w:color="FFFFFF"/>
              <w:left w:val="none" w:sz="0" w:space="0" w:color="FFFFFF"/>
              <w:bottom w:val="none" w:sz="0" w:space="0" w:color="FFFFFF"/>
              <w:right w:val="none" w:sz="0" w:space="0" w:color="FFFFFF"/>
            </w:tcBorders>
            <w:shd w:val="clear" w:color="auto" w:fill="F4F6F9"/>
            <w:tcMar>
              <w:top w:w="60" w:type="dxa"/>
              <w:left w:w="100" w:type="dxa"/>
              <w:bottom w:w="20" w:type="dxa"/>
              <w:right w:w="60" w:type="dxa"/>
            </w:tcMar>
          </w:tcPr>
          <w:p w14:paraId="12316DBF" w14:textId="77777777" w:rsidR="003502BD" w:rsidRDefault="00000000">
            <w:pPr>
              <w:spacing w:after="30" w:line="276" w:lineRule="auto"/>
            </w:pPr>
            <w:r>
              <w:rPr>
                <w:b/>
                <w:bCs/>
                <w:color w:val="6B7280"/>
                <w:sz w:val="17"/>
                <w:szCs w:val="17"/>
              </w:rPr>
              <w:t>労働力率</w:t>
            </w:r>
          </w:p>
        </w:tc>
        <w:tc>
          <w:tcPr>
            <w:tcW w:w="2409" w:type="dxa"/>
            <w:tcBorders>
              <w:top w:val="none" w:sz="0" w:space="0" w:color="FFFFFF"/>
              <w:left w:val="none" w:sz="0" w:space="0" w:color="FFFFFF"/>
              <w:bottom w:val="none" w:sz="0" w:space="0" w:color="FFFFFF"/>
              <w:right w:val="none" w:sz="0" w:space="0" w:color="FFFFFF"/>
            </w:tcBorders>
            <w:shd w:val="clear" w:color="auto" w:fill="F4F6F9"/>
            <w:tcMar>
              <w:top w:w="60" w:type="dxa"/>
              <w:left w:w="100" w:type="dxa"/>
              <w:bottom w:w="20" w:type="dxa"/>
              <w:right w:w="60" w:type="dxa"/>
            </w:tcMar>
          </w:tcPr>
          <w:p w14:paraId="0D4BE9EB" w14:textId="77777777" w:rsidR="003502BD" w:rsidRDefault="00000000">
            <w:pPr>
              <w:spacing w:after="30" w:line="276" w:lineRule="auto"/>
            </w:pPr>
            <w:r>
              <w:rPr>
                <w:b/>
                <w:bCs/>
                <w:color w:val="6B7280"/>
                <w:sz w:val="17"/>
                <w:szCs w:val="17"/>
              </w:rPr>
              <w:t>労働力人口</w:t>
            </w:r>
          </w:p>
        </w:tc>
        <w:tc>
          <w:tcPr>
            <w:tcW w:w="2409" w:type="dxa"/>
            <w:tcBorders>
              <w:top w:val="none" w:sz="0" w:space="0" w:color="FFFFFF"/>
              <w:left w:val="none" w:sz="0" w:space="0" w:color="FFFFFF"/>
              <w:bottom w:val="none" w:sz="0" w:space="0" w:color="FFFFFF"/>
              <w:right w:val="none" w:sz="0" w:space="0" w:color="FFFFFF"/>
            </w:tcBorders>
            <w:shd w:val="clear" w:color="auto" w:fill="F4F6F9"/>
            <w:tcMar>
              <w:top w:w="60" w:type="dxa"/>
              <w:left w:w="100" w:type="dxa"/>
              <w:bottom w:w="20" w:type="dxa"/>
              <w:right w:w="60" w:type="dxa"/>
            </w:tcMar>
          </w:tcPr>
          <w:p w14:paraId="34599252" w14:textId="77777777" w:rsidR="003502BD" w:rsidRDefault="00000000">
            <w:pPr>
              <w:spacing w:after="30" w:line="276" w:lineRule="auto"/>
            </w:pPr>
            <w:r>
              <w:rPr>
                <w:b/>
                <w:bCs/>
                <w:color w:val="6B7280"/>
                <w:sz w:val="17"/>
                <w:szCs w:val="17"/>
              </w:rPr>
              <w:t>就業者数</w:t>
            </w:r>
          </w:p>
        </w:tc>
      </w:tr>
      <w:tr w:rsidR="003502BD" w14:paraId="3550A687" w14:textId="77777777">
        <w:tc>
          <w:tcPr>
            <w:tcW w:w="2409" w:type="dxa"/>
            <w:tcBorders>
              <w:top w:val="none" w:sz="0" w:space="0" w:color="FFFFFF"/>
              <w:left w:val="none" w:sz="0" w:space="0" w:color="FFFFFF"/>
              <w:bottom w:val="none" w:sz="0" w:space="0" w:color="FFFFFF"/>
              <w:right w:val="none" w:sz="0" w:space="0" w:color="FFFFFF"/>
            </w:tcBorders>
            <w:shd w:val="clear" w:color="auto" w:fill="F4F6F9"/>
            <w:tcMar>
              <w:top w:w="0" w:type="dxa"/>
              <w:left w:w="100" w:type="dxa"/>
              <w:bottom w:w="20" w:type="dxa"/>
              <w:right w:w="60" w:type="dxa"/>
            </w:tcMar>
          </w:tcPr>
          <w:p w14:paraId="565459A5" w14:textId="77777777" w:rsidR="003502BD" w:rsidRDefault="00000000">
            <w:pPr>
              <w:spacing w:after="20" w:line="276" w:lineRule="auto"/>
            </w:pPr>
            <w:r>
              <w:rPr>
                <w:b/>
                <w:bCs/>
                <w:color w:val="1A3A5C"/>
                <w:sz w:val="26"/>
                <w:szCs w:val="26"/>
              </w:rPr>
              <w:t>2.5%</w:t>
            </w:r>
          </w:p>
          <w:p w14:paraId="7CFFE9AD" w14:textId="77777777" w:rsidR="003502BD" w:rsidRDefault="00000000">
            <w:pPr>
              <w:spacing w:after="30" w:line="276" w:lineRule="auto"/>
            </w:pPr>
            <w:r>
              <w:rPr>
                <w:color w:val="6B7280"/>
                <w:sz w:val="16"/>
                <w:szCs w:val="16"/>
              </w:rPr>
              <w:t>2025年実績</w:t>
            </w:r>
          </w:p>
          <w:p w14:paraId="00B490C8" w14:textId="77777777" w:rsidR="003502BD" w:rsidRDefault="00000000">
            <w:pPr>
              <w:spacing w:after="10" w:line="276" w:lineRule="auto"/>
            </w:pPr>
            <w:r>
              <w:rPr>
                <w:b/>
                <w:bCs/>
                <w:color w:val="DC2626"/>
                <w:sz w:val="22"/>
                <w:szCs w:val="22"/>
              </w:rPr>
              <w:t>▲ 約3.0%</w:t>
            </w:r>
          </w:p>
          <w:p w14:paraId="2A22F0BF" w14:textId="77777777" w:rsidR="003502BD" w:rsidRDefault="00000000">
            <w:pPr>
              <w:spacing w:after="50" w:line="276" w:lineRule="auto"/>
            </w:pPr>
            <w:r>
              <w:rPr>
                <w:color w:val="6B7280"/>
                <w:sz w:val="16"/>
                <w:szCs w:val="16"/>
              </w:rPr>
              <w:t>2040年推計</w:t>
            </w:r>
          </w:p>
        </w:tc>
        <w:tc>
          <w:tcPr>
            <w:tcW w:w="2409" w:type="dxa"/>
            <w:tcBorders>
              <w:top w:val="none" w:sz="0" w:space="0" w:color="FFFFFF"/>
              <w:left w:val="none" w:sz="0" w:space="0" w:color="FFFFFF"/>
              <w:bottom w:val="none" w:sz="0" w:space="0" w:color="FFFFFF"/>
              <w:right w:val="none" w:sz="0" w:space="0" w:color="FFFFFF"/>
            </w:tcBorders>
            <w:shd w:val="clear" w:color="auto" w:fill="F4F6F9"/>
            <w:tcMar>
              <w:top w:w="0" w:type="dxa"/>
              <w:left w:w="100" w:type="dxa"/>
              <w:bottom w:w="20" w:type="dxa"/>
              <w:right w:w="60" w:type="dxa"/>
            </w:tcMar>
          </w:tcPr>
          <w:p w14:paraId="197A89AF" w14:textId="77777777" w:rsidR="003502BD" w:rsidRDefault="00000000">
            <w:pPr>
              <w:spacing w:after="20" w:line="276" w:lineRule="auto"/>
            </w:pPr>
            <w:r>
              <w:rPr>
                <w:b/>
                <w:bCs/>
                <w:color w:val="1A3A5C"/>
                <w:sz w:val="26"/>
                <w:szCs w:val="26"/>
              </w:rPr>
              <w:t>63.9%</w:t>
            </w:r>
          </w:p>
          <w:p w14:paraId="0D00C9B1" w14:textId="77777777" w:rsidR="003502BD" w:rsidRDefault="00000000">
            <w:pPr>
              <w:spacing w:after="30" w:line="276" w:lineRule="auto"/>
            </w:pPr>
            <w:r>
              <w:rPr>
                <w:color w:val="6B7280"/>
                <w:sz w:val="16"/>
                <w:szCs w:val="16"/>
              </w:rPr>
              <w:t>2025年実績</w:t>
            </w:r>
          </w:p>
          <w:p w14:paraId="72465597" w14:textId="690B23B9" w:rsidR="003502BD" w:rsidRDefault="00000000">
            <w:pPr>
              <w:spacing w:after="10" w:line="276" w:lineRule="auto"/>
            </w:pPr>
            <w:r>
              <w:rPr>
                <w:b/>
                <w:bCs/>
                <w:color w:val="DC2626"/>
                <w:sz w:val="22"/>
                <w:szCs w:val="22"/>
              </w:rPr>
              <w:t>▲ 約7</w:t>
            </w:r>
            <w:r w:rsidR="00FA09F8">
              <w:rPr>
                <w:rFonts w:hint="eastAsia"/>
                <w:b/>
                <w:bCs/>
                <w:color w:val="DC2626"/>
                <w:sz w:val="22"/>
                <w:szCs w:val="22"/>
              </w:rPr>
              <w:t>1</w:t>
            </w:r>
            <w:r>
              <w:rPr>
                <w:b/>
                <w:bCs/>
                <w:color w:val="DC2626"/>
                <w:sz w:val="22"/>
                <w:szCs w:val="22"/>
              </w:rPr>
              <w:t>.</w:t>
            </w:r>
            <w:r w:rsidR="00FA09F8">
              <w:rPr>
                <w:rFonts w:hint="eastAsia"/>
                <w:b/>
                <w:bCs/>
                <w:color w:val="DC2626"/>
                <w:sz w:val="22"/>
                <w:szCs w:val="22"/>
              </w:rPr>
              <w:t>9</w:t>
            </w:r>
            <w:r>
              <w:rPr>
                <w:b/>
                <w:bCs/>
                <w:color w:val="DC2626"/>
                <w:sz w:val="22"/>
                <w:szCs w:val="22"/>
              </w:rPr>
              <w:t>%</w:t>
            </w:r>
          </w:p>
          <w:p w14:paraId="0F4E7297" w14:textId="77777777" w:rsidR="003502BD" w:rsidRDefault="00000000">
            <w:pPr>
              <w:spacing w:after="50" w:line="276" w:lineRule="auto"/>
            </w:pPr>
            <w:r>
              <w:rPr>
                <w:color w:val="6B7280"/>
                <w:sz w:val="16"/>
                <w:szCs w:val="16"/>
              </w:rPr>
              <w:t>2040年推計</w:t>
            </w:r>
          </w:p>
        </w:tc>
        <w:tc>
          <w:tcPr>
            <w:tcW w:w="2409" w:type="dxa"/>
            <w:tcBorders>
              <w:top w:val="none" w:sz="0" w:space="0" w:color="FFFFFF"/>
              <w:left w:val="none" w:sz="0" w:space="0" w:color="FFFFFF"/>
              <w:bottom w:val="none" w:sz="0" w:space="0" w:color="FFFFFF"/>
              <w:right w:val="none" w:sz="0" w:space="0" w:color="FFFFFF"/>
            </w:tcBorders>
            <w:shd w:val="clear" w:color="auto" w:fill="F4F6F9"/>
            <w:tcMar>
              <w:top w:w="0" w:type="dxa"/>
              <w:left w:w="100" w:type="dxa"/>
              <w:bottom w:w="20" w:type="dxa"/>
              <w:right w:w="60" w:type="dxa"/>
            </w:tcMar>
          </w:tcPr>
          <w:p w14:paraId="4F8EB5F0" w14:textId="77777777" w:rsidR="003502BD" w:rsidRDefault="00000000">
            <w:pPr>
              <w:spacing w:after="20" w:line="276" w:lineRule="auto"/>
            </w:pPr>
            <w:r>
              <w:rPr>
                <w:b/>
                <w:bCs/>
                <w:color w:val="1A3A5C"/>
                <w:sz w:val="26"/>
                <w:szCs w:val="26"/>
              </w:rPr>
              <w:t>7,004万人</w:t>
            </w:r>
          </w:p>
          <w:p w14:paraId="30E6A309" w14:textId="77777777" w:rsidR="003502BD" w:rsidRDefault="00000000">
            <w:pPr>
              <w:spacing w:after="30" w:line="276" w:lineRule="auto"/>
            </w:pPr>
            <w:r>
              <w:rPr>
                <w:color w:val="6B7280"/>
                <w:sz w:val="16"/>
                <w:szCs w:val="16"/>
              </w:rPr>
              <w:t>2025年実績</w:t>
            </w:r>
          </w:p>
          <w:p w14:paraId="1B096ADC" w14:textId="09110CDE" w:rsidR="003502BD" w:rsidRDefault="00000000">
            <w:pPr>
              <w:spacing w:after="10" w:line="276" w:lineRule="auto"/>
            </w:pPr>
            <w:r>
              <w:rPr>
                <w:b/>
                <w:bCs/>
                <w:color w:val="DC2626"/>
                <w:sz w:val="22"/>
                <w:szCs w:val="22"/>
              </w:rPr>
              <w:t>▲ 約7,</w:t>
            </w:r>
            <w:r w:rsidR="00FA09F8">
              <w:rPr>
                <w:rFonts w:hint="eastAsia"/>
                <w:b/>
                <w:bCs/>
                <w:color w:val="DC2626"/>
                <w:sz w:val="22"/>
                <w:szCs w:val="22"/>
              </w:rPr>
              <w:t>296</w:t>
            </w:r>
            <w:r>
              <w:rPr>
                <w:b/>
                <w:bCs/>
                <w:color w:val="DC2626"/>
                <w:sz w:val="22"/>
                <w:szCs w:val="22"/>
              </w:rPr>
              <w:t>万人</w:t>
            </w:r>
          </w:p>
          <w:p w14:paraId="5355448D" w14:textId="77777777" w:rsidR="003502BD" w:rsidRDefault="00000000">
            <w:pPr>
              <w:spacing w:after="50" w:line="276" w:lineRule="auto"/>
            </w:pPr>
            <w:r>
              <w:rPr>
                <w:color w:val="6B7280"/>
                <w:sz w:val="16"/>
                <w:szCs w:val="16"/>
              </w:rPr>
              <w:t>2040年推計</w:t>
            </w:r>
          </w:p>
        </w:tc>
        <w:tc>
          <w:tcPr>
            <w:tcW w:w="2409" w:type="dxa"/>
            <w:tcBorders>
              <w:top w:val="none" w:sz="0" w:space="0" w:color="FFFFFF"/>
              <w:left w:val="none" w:sz="0" w:space="0" w:color="FFFFFF"/>
              <w:bottom w:val="none" w:sz="0" w:space="0" w:color="FFFFFF"/>
              <w:right w:val="none" w:sz="0" w:space="0" w:color="FFFFFF"/>
            </w:tcBorders>
            <w:shd w:val="clear" w:color="auto" w:fill="F4F6F9"/>
            <w:tcMar>
              <w:top w:w="0" w:type="dxa"/>
              <w:left w:w="100" w:type="dxa"/>
              <w:bottom w:w="20" w:type="dxa"/>
              <w:right w:w="60" w:type="dxa"/>
            </w:tcMar>
          </w:tcPr>
          <w:p w14:paraId="0933ABC5" w14:textId="77777777" w:rsidR="003502BD" w:rsidRDefault="00000000">
            <w:pPr>
              <w:spacing w:after="20" w:line="276" w:lineRule="auto"/>
            </w:pPr>
            <w:r>
              <w:rPr>
                <w:b/>
                <w:bCs/>
                <w:color w:val="1A3A5C"/>
                <w:sz w:val="26"/>
                <w:szCs w:val="26"/>
              </w:rPr>
              <w:t>6,828万人</w:t>
            </w:r>
          </w:p>
          <w:p w14:paraId="1E51502D" w14:textId="77777777" w:rsidR="003502BD" w:rsidRDefault="00000000">
            <w:pPr>
              <w:spacing w:after="30" w:line="276" w:lineRule="auto"/>
            </w:pPr>
            <w:r>
              <w:rPr>
                <w:color w:val="6B7280"/>
                <w:sz w:val="16"/>
                <w:szCs w:val="16"/>
              </w:rPr>
              <w:t>2025年実績</w:t>
            </w:r>
          </w:p>
          <w:p w14:paraId="307D9D40" w14:textId="3DBC34F0" w:rsidR="003502BD" w:rsidRDefault="00000000">
            <w:pPr>
              <w:spacing w:after="10" w:line="276" w:lineRule="auto"/>
            </w:pPr>
            <w:r>
              <w:rPr>
                <w:b/>
                <w:bCs/>
                <w:color w:val="DC2626"/>
                <w:sz w:val="22"/>
                <w:szCs w:val="22"/>
              </w:rPr>
              <w:t>▲ 約</w:t>
            </w:r>
            <w:r w:rsidR="00FA09F8">
              <w:rPr>
                <w:rFonts w:hint="eastAsia"/>
                <w:b/>
                <w:bCs/>
                <w:color w:val="DC2626"/>
                <w:sz w:val="22"/>
                <w:szCs w:val="22"/>
              </w:rPr>
              <w:t>7</w:t>
            </w:r>
            <w:r>
              <w:rPr>
                <w:b/>
                <w:bCs/>
                <w:color w:val="DC2626"/>
                <w:sz w:val="22"/>
                <w:szCs w:val="22"/>
              </w:rPr>
              <w:t>,</w:t>
            </w:r>
            <w:r w:rsidR="00FA09F8">
              <w:rPr>
                <w:rFonts w:hint="eastAsia"/>
                <w:b/>
                <w:bCs/>
                <w:color w:val="DC2626"/>
                <w:sz w:val="22"/>
                <w:szCs w:val="22"/>
              </w:rPr>
              <w:t>072</w:t>
            </w:r>
            <w:r>
              <w:rPr>
                <w:b/>
                <w:bCs/>
                <w:color w:val="DC2626"/>
                <w:sz w:val="22"/>
                <w:szCs w:val="22"/>
              </w:rPr>
              <w:t>万人</w:t>
            </w:r>
          </w:p>
          <w:p w14:paraId="5E065DFD" w14:textId="77777777" w:rsidR="003502BD" w:rsidRDefault="00000000">
            <w:pPr>
              <w:spacing w:after="50" w:line="276" w:lineRule="auto"/>
            </w:pPr>
            <w:r>
              <w:rPr>
                <w:color w:val="6B7280"/>
                <w:sz w:val="16"/>
                <w:szCs w:val="16"/>
              </w:rPr>
              <w:t>2040年推計</w:t>
            </w:r>
          </w:p>
        </w:tc>
      </w:tr>
    </w:tbl>
    <w:p w14:paraId="721146EE" w14:textId="77777777" w:rsidR="003502BD" w:rsidRDefault="003502BD">
      <w:pPr>
        <w:spacing w:after="80"/>
      </w:pPr>
    </w:p>
    <w:p w14:paraId="1BDB1A04" w14:textId="77777777" w:rsidR="003502BD" w:rsidRDefault="00000000">
      <w:pPr>
        <w:pBdr>
          <w:bottom w:val="single" w:sz="8" w:space="2" w:color="1A3A5C"/>
        </w:pBdr>
        <w:spacing w:before="200" w:after="100"/>
      </w:pPr>
      <w:r>
        <w:rPr>
          <w:b/>
          <w:bCs/>
          <w:color w:val="1A3A5C"/>
          <w:sz w:val="24"/>
          <w:szCs w:val="24"/>
        </w:rPr>
        <w:t>1. 分析の概要と手法</w:t>
      </w:r>
    </w:p>
    <w:p w14:paraId="3F81C12D" w14:textId="77777777" w:rsidR="003502BD" w:rsidRDefault="00000000">
      <w:pPr>
        <w:spacing w:after="100" w:line="288" w:lineRule="auto"/>
      </w:pPr>
      <w:r>
        <w:rPr>
          <w:color w:val="1F2937"/>
        </w:rPr>
        <w:t>本分析は、1995〜2025年の実績データに基づく小規模マクロ計量モデルを構築し、2026〜2040年の日本の労働市場を定量的に推計したものである。人口・実質GDP・物価・交易条件を外生的に与え、労働力率・失業率・就業者数・賃金（時間給）の4変数を内生的に決定する。確率論的境界を担保するため、労働力率・失業率はロジット変換を施したうえで推定している。</w:t>
      </w:r>
    </w:p>
    <w:p w14:paraId="6FDCBE40" w14:textId="77777777" w:rsidR="003502BD" w:rsidRDefault="00000000">
      <w:pPr>
        <w:spacing w:before="150" w:after="80"/>
      </w:pPr>
      <w:r>
        <w:rPr>
          <w:b/>
          <w:bCs/>
          <w:color w:val="2563A8"/>
          <w:sz w:val="21"/>
          <w:szCs w:val="21"/>
        </w:rPr>
        <w:t>モデルの構造概要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2217"/>
        <w:gridCol w:w="4241"/>
        <w:gridCol w:w="1638"/>
      </w:tblGrid>
      <w:tr w:rsidR="003502BD" w14:paraId="17735AA0" w14:textId="77777777">
        <w:trPr>
          <w:tblHeader/>
        </w:trPr>
        <w:tc>
          <w:tcPr>
            <w:tcW w:w="1542" w:type="dxa"/>
            <w:tcBorders>
              <w:top w:val="none" w:sz="0" w:space="0" w:color="FFFFFF"/>
              <w:left w:val="none" w:sz="0" w:space="0" w:color="FFFFFF"/>
              <w:bottom w:val="none" w:sz="0" w:space="0" w:color="FFFFFF"/>
              <w:right w:val="none" w:sz="0" w:space="0" w:color="FFFFFF"/>
            </w:tcBorders>
            <w:shd w:val="clear" w:color="auto" w:fill="1A3A5C"/>
            <w:tcMar>
              <w:top w:w="80" w:type="dxa"/>
              <w:left w:w="120" w:type="dxa"/>
              <w:bottom w:w="80" w:type="dxa"/>
              <w:right w:w="80" w:type="dxa"/>
            </w:tcMar>
          </w:tcPr>
          <w:p w14:paraId="027B9477" w14:textId="77777777" w:rsidR="003502BD" w:rsidRDefault="00000000">
            <w:pPr>
              <w:spacing w:after="80" w:line="276" w:lineRule="auto"/>
              <w:jc w:val="center"/>
            </w:pPr>
            <w:r>
              <w:rPr>
                <w:b/>
                <w:bCs/>
                <w:color w:val="FFFFFF"/>
                <w:sz w:val="18"/>
                <w:szCs w:val="18"/>
              </w:rPr>
              <w:t>ブロック</w:t>
            </w:r>
          </w:p>
        </w:tc>
        <w:tc>
          <w:tcPr>
            <w:tcW w:w="2217" w:type="dxa"/>
            <w:tcBorders>
              <w:top w:val="none" w:sz="0" w:space="0" w:color="FFFFFF"/>
              <w:left w:val="none" w:sz="0" w:space="0" w:color="FFFFFF"/>
              <w:bottom w:val="none" w:sz="0" w:space="0" w:color="FFFFFF"/>
              <w:right w:val="none" w:sz="0" w:space="0" w:color="FFFFFF"/>
            </w:tcBorders>
            <w:shd w:val="clear" w:color="auto" w:fill="1A3A5C"/>
            <w:tcMar>
              <w:top w:w="80" w:type="dxa"/>
              <w:left w:w="120" w:type="dxa"/>
              <w:bottom w:w="80" w:type="dxa"/>
              <w:right w:w="80" w:type="dxa"/>
            </w:tcMar>
          </w:tcPr>
          <w:p w14:paraId="59FB4C68" w14:textId="77777777" w:rsidR="003502BD" w:rsidRDefault="00000000">
            <w:pPr>
              <w:spacing w:after="80" w:line="276" w:lineRule="auto"/>
              <w:jc w:val="center"/>
            </w:pPr>
            <w:r>
              <w:rPr>
                <w:b/>
                <w:bCs/>
                <w:color w:val="FFFFFF"/>
                <w:sz w:val="18"/>
                <w:szCs w:val="18"/>
              </w:rPr>
              <w:t>方程式</w:t>
            </w:r>
          </w:p>
        </w:tc>
        <w:tc>
          <w:tcPr>
            <w:tcW w:w="4241" w:type="dxa"/>
            <w:tcBorders>
              <w:top w:val="none" w:sz="0" w:space="0" w:color="FFFFFF"/>
              <w:left w:val="none" w:sz="0" w:space="0" w:color="FFFFFF"/>
              <w:bottom w:val="none" w:sz="0" w:space="0" w:color="FFFFFF"/>
              <w:right w:val="none" w:sz="0" w:space="0" w:color="FFFFFF"/>
            </w:tcBorders>
            <w:shd w:val="clear" w:color="auto" w:fill="1A3A5C"/>
            <w:tcMar>
              <w:top w:w="80" w:type="dxa"/>
              <w:left w:w="120" w:type="dxa"/>
              <w:bottom w:w="80" w:type="dxa"/>
              <w:right w:w="80" w:type="dxa"/>
            </w:tcMar>
          </w:tcPr>
          <w:p w14:paraId="18AF0DF3" w14:textId="77777777" w:rsidR="003502BD" w:rsidRDefault="00000000">
            <w:pPr>
              <w:spacing w:after="80" w:line="276" w:lineRule="auto"/>
              <w:jc w:val="center"/>
            </w:pPr>
            <w:r>
              <w:rPr>
                <w:b/>
                <w:bCs/>
                <w:color w:val="FFFFFF"/>
                <w:sz w:val="18"/>
                <w:szCs w:val="18"/>
              </w:rPr>
              <w:t>主な説明変数</w:t>
            </w:r>
          </w:p>
        </w:tc>
        <w:tc>
          <w:tcPr>
            <w:tcW w:w="1638" w:type="dxa"/>
            <w:tcBorders>
              <w:top w:val="none" w:sz="0" w:space="0" w:color="FFFFFF"/>
              <w:left w:val="none" w:sz="0" w:space="0" w:color="FFFFFF"/>
              <w:bottom w:val="none" w:sz="0" w:space="0" w:color="FFFFFF"/>
              <w:right w:val="none" w:sz="0" w:space="0" w:color="FFFFFF"/>
            </w:tcBorders>
            <w:shd w:val="clear" w:color="auto" w:fill="1A3A5C"/>
            <w:tcMar>
              <w:top w:w="80" w:type="dxa"/>
              <w:left w:w="120" w:type="dxa"/>
              <w:bottom w:w="80" w:type="dxa"/>
              <w:right w:w="80" w:type="dxa"/>
            </w:tcMar>
          </w:tcPr>
          <w:p w14:paraId="0EB6D76E" w14:textId="77777777" w:rsidR="003502BD" w:rsidRDefault="00000000">
            <w:pPr>
              <w:spacing w:after="80" w:line="276" w:lineRule="auto"/>
              <w:jc w:val="center"/>
            </w:pPr>
            <w:r>
              <w:rPr>
                <w:b/>
                <w:bCs/>
                <w:color w:val="FFFFFF"/>
                <w:sz w:val="18"/>
                <w:szCs w:val="18"/>
              </w:rPr>
              <w:t>推定手法</w:t>
            </w:r>
          </w:p>
        </w:tc>
      </w:tr>
      <w:tr w:rsidR="003502BD" w14:paraId="5C2A927B" w14:textId="77777777">
        <w:tc>
          <w:tcPr>
            <w:tcW w:w="1542" w:type="dxa"/>
            <w:tcBorders>
              <w:top w:val="none" w:sz="0" w:space="0" w:color="FFFFFF"/>
              <w:left w:val="none" w:sz="0" w:space="0" w:color="FFFFFF"/>
              <w:bottom w:val="single" w:sz="2" w:space="0" w:color="E5E7EB"/>
              <w:right w:val="none" w:sz="0" w:space="0" w:color="FFFFFF"/>
            </w:tcBorders>
            <w:shd w:val="clear" w:color="auto" w:fill="FFFFFF"/>
            <w:tcMar>
              <w:top w:w="70" w:type="dxa"/>
              <w:left w:w="120" w:type="dxa"/>
              <w:bottom w:w="70" w:type="dxa"/>
              <w:right w:w="80" w:type="dxa"/>
            </w:tcMar>
          </w:tcPr>
          <w:p w14:paraId="3F68606D" w14:textId="77777777" w:rsidR="003502BD" w:rsidRDefault="00000000">
            <w:pPr>
              <w:spacing w:after="80" w:line="276" w:lineRule="auto"/>
            </w:pPr>
            <w:r>
              <w:rPr>
                <w:color w:val="1F2937"/>
                <w:sz w:val="18"/>
                <w:szCs w:val="18"/>
              </w:rPr>
              <w:t>労働供給</w:t>
            </w:r>
          </w:p>
        </w:tc>
        <w:tc>
          <w:tcPr>
            <w:tcW w:w="2217" w:type="dxa"/>
            <w:tcBorders>
              <w:top w:val="none" w:sz="0" w:space="0" w:color="FFFFFF"/>
              <w:left w:val="none" w:sz="0" w:space="0" w:color="FFFFFF"/>
              <w:bottom w:val="single" w:sz="2" w:space="0" w:color="E5E7EB"/>
              <w:right w:val="none" w:sz="0" w:space="0" w:color="FFFFFF"/>
            </w:tcBorders>
            <w:shd w:val="clear" w:color="auto" w:fill="FFFFFF"/>
            <w:tcMar>
              <w:top w:w="70" w:type="dxa"/>
              <w:left w:w="120" w:type="dxa"/>
              <w:bottom w:w="70" w:type="dxa"/>
              <w:right w:w="80" w:type="dxa"/>
            </w:tcMar>
          </w:tcPr>
          <w:p w14:paraId="22480732" w14:textId="77777777" w:rsidR="003502BD" w:rsidRDefault="00000000">
            <w:pPr>
              <w:spacing w:after="80" w:line="276" w:lineRule="auto"/>
            </w:pPr>
            <w:r>
              <w:rPr>
                <w:color w:val="1F2937"/>
                <w:sz w:val="18"/>
                <w:szCs w:val="18"/>
              </w:rPr>
              <w:t>労働力率（ロジット変換）</w:t>
            </w:r>
          </w:p>
        </w:tc>
        <w:tc>
          <w:tcPr>
            <w:tcW w:w="4241" w:type="dxa"/>
            <w:tcBorders>
              <w:top w:val="none" w:sz="0" w:space="0" w:color="FFFFFF"/>
              <w:left w:val="none" w:sz="0" w:space="0" w:color="FFFFFF"/>
              <w:bottom w:val="single" w:sz="2" w:space="0" w:color="E5E7EB"/>
              <w:right w:val="none" w:sz="0" w:space="0" w:color="FFFFFF"/>
            </w:tcBorders>
            <w:shd w:val="clear" w:color="auto" w:fill="FFFFFF"/>
            <w:tcMar>
              <w:top w:w="70" w:type="dxa"/>
              <w:left w:w="120" w:type="dxa"/>
              <w:bottom w:w="70" w:type="dxa"/>
              <w:right w:w="80" w:type="dxa"/>
            </w:tcMar>
          </w:tcPr>
          <w:p w14:paraId="4048DB96" w14:textId="77777777" w:rsidR="003502BD" w:rsidRDefault="00000000">
            <w:pPr>
              <w:spacing w:after="80" w:line="276" w:lineRule="auto"/>
            </w:pPr>
            <w:r>
              <w:rPr>
                <w:color w:val="1F2937"/>
                <w:sz w:val="18"/>
                <w:szCs w:val="18"/>
              </w:rPr>
              <w:t>実質賃金、失業率ラグ</w:t>
            </w:r>
          </w:p>
        </w:tc>
        <w:tc>
          <w:tcPr>
            <w:tcW w:w="1638" w:type="dxa"/>
            <w:tcBorders>
              <w:top w:val="none" w:sz="0" w:space="0" w:color="FFFFFF"/>
              <w:left w:val="none" w:sz="0" w:space="0" w:color="FFFFFF"/>
              <w:bottom w:val="single" w:sz="2" w:space="0" w:color="E5E7EB"/>
              <w:right w:val="none" w:sz="0" w:space="0" w:color="FFFFFF"/>
            </w:tcBorders>
            <w:shd w:val="clear" w:color="auto" w:fill="FFFFFF"/>
            <w:tcMar>
              <w:top w:w="70" w:type="dxa"/>
              <w:left w:w="120" w:type="dxa"/>
              <w:bottom w:w="70" w:type="dxa"/>
              <w:right w:w="80" w:type="dxa"/>
            </w:tcMar>
          </w:tcPr>
          <w:p w14:paraId="461CDBD7" w14:textId="118EEAA1" w:rsidR="003502BD" w:rsidRDefault="00841CFB" w:rsidP="00841CFB">
            <w:pPr>
              <w:spacing w:after="80" w:line="276" w:lineRule="auto"/>
            </w:pPr>
            <w:r>
              <w:rPr>
                <w:rFonts w:hint="eastAsia"/>
                <w:color w:val="1F2937"/>
                <w:sz w:val="18"/>
                <w:szCs w:val="18"/>
              </w:rPr>
              <w:t>IV</w:t>
            </w:r>
          </w:p>
        </w:tc>
      </w:tr>
      <w:tr w:rsidR="003502BD" w14:paraId="40683C40" w14:textId="77777777">
        <w:tc>
          <w:tcPr>
            <w:tcW w:w="1542" w:type="dxa"/>
            <w:tcBorders>
              <w:top w:val="none" w:sz="0" w:space="0" w:color="FFFFFF"/>
              <w:left w:val="none" w:sz="0" w:space="0" w:color="FFFFFF"/>
              <w:bottom w:val="single" w:sz="2" w:space="0" w:color="E5E7EB"/>
              <w:right w:val="none" w:sz="0" w:space="0" w:color="FFFFFF"/>
            </w:tcBorders>
            <w:shd w:val="clear" w:color="auto" w:fill="F4F6F9"/>
            <w:tcMar>
              <w:top w:w="70" w:type="dxa"/>
              <w:left w:w="120" w:type="dxa"/>
              <w:bottom w:w="70" w:type="dxa"/>
              <w:right w:w="80" w:type="dxa"/>
            </w:tcMar>
          </w:tcPr>
          <w:p w14:paraId="68426E8B" w14:textId="77777777" w:rsidR="003502BD" w:rsidRDefault="00000000">
            <w:pPr>
              <w:spacing w:after="80" w:line="276" w:lineRule="auto"/>
            </w:pPr>
            <w:r>
              <w:rPr>
                <w:color w:val="1F2937"/>
                <w:sz w:val="18"/>
                <w:szCs w:val="18"/>
              </w:rPr>
              <w:t>労働需要</w:t>
            </w:r>
          </w:p>
        </w:tc>
        <w:tc>
          <w:tcPr>
            <w:tcW w:w="2217" w:type="dxa"/>
            <w:tcBorders>
              <w:top w:val="none" w:sz="0" w:space="0" w:color="FFFFFF"/>
              <w:left w:val="none" w:sz="0" w:space="0" w:color="FFFFFF"/>
              <w:bottom w:val="single" w:sz="2" w:space="0" w:color="E5E7EB"/>
              <w:right w:val="none" w:sz="0" w:space="0" w:color="FFFFFF"/>
            </w:tcBorders>
            <w:shd w:val="clear" w:color="auto" w:fill="F4F6F9"/>
            <w:tcMar>
              <w:top w:w="70" w:type="dxa"/>
              <w:left w:w="120" w:type="dxa"/>
              <w:bottom w:w="70" w:type="dxa"/>
              <w:right w:w="80" w:type="dxa"/>
            </w:tcMar>
          </w:tcPr>
          <w:p w14:paraId="5797BFFC" w14:textId="77777777" w:rsidR="003502BD" w:rsidRDefault="00000000">
            <w:pPr>
              <w:spacing w:after="80" w:line="276" w:lineRule="auto"/>
            </w:pPr>
            <w:r>
              <w:rPr>
                <w:color w:val="1F2937"/>
                <w:sz w:val="18"/>
                <w:szCs w:val="18"/>
              </w:rPr>
              <w:t>就業者数（対数）</w:t>
            </w:r>
          </w:p>
        </w:tc>
        <w:tc>
          <w:tcPr>
            <w:tcW w:w="4241" w:type="dxa"/>
            <w:tcBorders>
              <w:top w:val="none" w:sz="0" w:space="0" w:color="FFFFFF"/>
              <w:left w:val="none" w:sz="0" w:space="0" w:color="FFFFFF"/>
              <w:bottom w:val="single" w:sz="2" w:space="0" w:color="E5E7EB"/>
              <w:right w:val="none" w:sz="0" w:space="0" w:color="FFFFFF"/>
            </w:tcBorders>
            <w:shd w:val="clear" w:color="auto" w:fill="F4F6F9"/>
            <w:tcMar>
              <w:top w:w="70" w:type="dxa"/>
              <w:left w:w="120" w:type="dxa"/>
              <w:bottom w:w="70" w:type="dxa"/>
              <w:right w:w="80" w:type="dxa"/>
            </w:tcMar>
          </w:tcPr>
          <w:p w14:paraId="73ACF931" w14:textId="77777777" w:rsidR="003502BD" w:rsidRDefault="00000000">
            <w:pPr>
              <w:spacing w:after="80" w:line="276" w:lineRule="auto"/>
            </w:pPr>
            <w:r>
              <w:rPr>
                <w:color w:val="1F2937"/>
                <w:sz w:val="18"/>
                <w:szCs w:val="18"/>
              </w:rPr>
              <w:t>実質GDP、実質賃金ラグ、就業者数ラグ</w:t>
            </w:r>
          </w:p>
        </w:tc>
        <w:tc>
          <w:tcPr>
            <w:tcW w:w="1638" w:type="dxa"/>
            <w:tcBorders>
              <w:top w:val="none" w:sz="0" w:space="0" w:color="FFFFFF"/>
              <w:left w:val="none" w:sz="0" w:space="0" w:color="FFFFFF"/>
              <w:bottom w:val="single" w:sz="2" w:space="0" w:color="E5E7EB"/>
              <w:right w:val="none" w:sz="0" w:space="0" w:color="FFFFFF"/>
            </w:tcBorders>
            <w:shd w:val="clear" w:color="auto" w:fill="F4F6F9"/>
            <w:tcMar>
              <w:top w:w="70" w:type="dxa"/>
              <w:left w:w="120" w:type="dxa"/>
              <w:bottom w:w="70" w:type="dxa"/>
              <w:right w:w="80" w:type="dxa"/>
            </w:tcMar>
          </w:tcPr>
          <w:p w14:paraId="4DE0B40D" w14:textId="77777777" w:rsidR="003502BD" w:rsidRDefault="00000000">
            <w:pPr>
              <w:spacing w:after="80" w:line="276" w:lineRule="auto"/>
            </w:pPr>
            <w:r>
              <w:rPr>
                <w:color w:val="1F2937"/>
                <w:sz w:val="18"/>
                <w:szCs w:val="18"/>
              </w:rPr>
              <w:t>OLS</w:t>
            </w:r>
          </w:p>
        </w:tc>
      </w:tr>
      <w:tr w:rsidR="003502BD" w14:paraId="1FF1D99D" w14:textId="77777777">
        <w:tc>
          <w:tcPr>
            <w:tcW w:w="1542" w:type="dxa"/>
            <w:tcBorders>
              <w:top w:val="none" w:sz="0" w:space="0" w:color="FFFFFF"/>
              <w:left w:val="none" w:sz="0" w:space="0" w:color="FFFFFF"/>
              <w:bottom w:val="single" w:sz="2" w:space="0" w:color="E5E7EB"/>
              <w:right w:val="none" w:sz="0" w:space="0" w:color="FFFFFF"/>
            </w:tcBorders>
            <w:shd w:val="clear" w:color="auto" w:fill="FFFFFF"/>
            <w:tcMar>
              <w:top w:w="70" w:type="dxa"/>
              <w:left w:w="120" w:type="dxa"/>
              <w:bottom w:w="70" w:type="dxa"/>
              <w:right w:w="80" w:type="dxa"/>
            </w:tcMar>
          </w:tcPr>
          <w:p w14:paraId="79DC41CE" w14:textId="77777777" w:rsidR="003502BD" w:rsidRDefault="00000000">
            <w:pPr>
              <w:spacing w:after="80" w:line="276" w:lineRule="auto"/>
            </w:pPr>
            <w:r>
              <w:rPr>
                <w:color w:val="1F2937"/>
                <w:sz w:val="18"/>
                <w:szCs w:val="18"/>
              </w:rPr>
              <w:t>市場調整</w:t>
            </w:r>
          </w:p>
        </w:tc>
        <w:tc>
          <w:tcPr>
            <w:tcW w:w="2217" w:type="dxa"/>
            <w:tcBorders>
              <w:top w:val="none" w:sz="0" w:space="0" w:color="FFFFFF"/>
              <w:left w:val="none" w:sz="0" w:space="0" w:color="FFFFFF"/>
              <w:bottom w:val="single" w:sz="2" w:space="0" w:color="E5E7EB"/>
              <w:right w:val="none" w:sz="0" w:space="0" w:color="FFFFFF"/>
            </w:tcBorders>
            <w:shd w:val="clear" w:color="auto" w:fill="FFFFFF"/>
            <w:tcMar>
              <w:top w:w="70" w:type="dxa"/>
              <w:left w:w="120" w:type="dxa"/>
              <w:bottom w:w="70" w:type="dxa"/>
              <w:right w:w="80" w:type="dxa"/>
            </w:tcMar>
          </w:tcPr>
          <w:p w14:paraId="11D584E2" w14:textId="77777777" w:rsidR="003502BD" w:rsidRDefault="00000000">
            <w:pPr>
              <w:spacing w:after="80" w:line="276" w:lineRule="auto"/>
            </w:pPr>
            <w:r>
              <w:rPr>
                <w:color w:val="1F2937"/>
                <w:sz w:val="18"/>
                <w:szCs w:val="18"/>
              </w:rPr>
              <w:t>失業率（ロジット変換）</w:t>
            </w:r>
          </w:p>
        </w:tc>
        <w:tc>
          <w:tcPr>
            <w:tcW w:w="4241" w:type="dxa"/>
            <w:tcBorders>
              <w:top w:val="none" w:sz="0" w:space="0" w:color="FFFFFF"/>
              <w:left w:val="none" w:sz="0" w:space="0" w:color="FFFFFF"/>
              <w:bottom w:val="single" w:sz="2" w:space="0" w:color="E5E7EB"/>
              <w:right w:val="none" w:sz="0" w:space="0" w:color="FFFFFF"/>
            </w:tcBorders>
            <w:shd w:val="clear" w:color="auto" w:fill="FFFFFF"/>
            <w:tcMar>
              <w:top w:w="70" w:type="dxa"/>
              <w:left w:w="120" w:type="dxa"/>
              <w:bottom w:w="70" w:type="dxa"/>
              <w:right w:w="80" w:type="dxa"/>
            </w:tcMar>
          </w:tcPr>
          <w:p w14:paraId="47578E1E" w14:textId="77777777" w:rsidR="003502BD" w:rsidRDefault="00000000">
            <w:pPr>
              <w:spacing w:after="80" w:line="276" w:lineRule="auto"/>
            </w:pPr>
            <w:r>
              <w:rPr>
                <w:color w:val="1F2937"/>
                <w:sz w:val="18"/>
                <w:szCs w:val="18"/>
              </w:rPr>
              <w:t>雇用率（E/LS）、失業率ラグ</w:t>
            </w:r>
          </w:p>
        </w:tc>
        <w:tc>
          <w:tcPr>
            <w:tcW w:w="1638" w:type="dxa"/>
            <w:tcBorders>
              <w:top w:val="none" w:sz="0" w:space="0" w:color="FFFFFF"/>
              <w:left w:val="none" w:sz="0" w:space="0" w:color="FFFFFF"/>
              <w:bottom w:val="single" w:sz="2" w:space="0" w:color="E5E7EB"/>
              <w:right w:val="none" w:sz="0" w:space="0" w:color="FFFFFF"/>
            </w:tcBorders>
            <w:shd w:val="clear" w:color="auto" w:fill="FFFFFF"/>
            <w:tcMar>
              <w:top w:w="70" w:type="dxa"/>
              <w:left w:w="120" w:type="dxa"/>
              <w:bottom w:w="70" w:type="dxa"/>
              <w:right w:w="80" w:type="dxa"/>
            </w:tcMar>
          </w:tcPr>
          <w:p w14:paraId="04F401B3" w14:textId="2C4D6B8D" w:rsidR="003502BD" w:rsidRDefault="00841CFB">
            <w:pPr>
              <w:spacing w:after="80" w:line="276" w:lineRule="auto"/>
            </w:pPr>
            <w:r>
              <w:rPr>
                <w:rFonts w:hint="eastAsia"/>
                <w:color w:val="1F2937"/>
                <w:sz w:val="18"/>
                <w:szCs w:val="18"/>
              </w:rPr>
              <w:t>IV</w:t>
            </w:r>
          </w:p>
        </w:tc>
      </w:tr>
      <w:tr w:rsidR="003502BD" w14:paraId="2151CFC8" w14:textId="77777777">
        <w:tc>
          <w:tcPr>
            <w:tcW w:w="1542" w:type="dxa"/>
            <w:tcBorders>
              <w:top w:val="none" w:sz="0" w:space="0" w:color="FFFFFF"/>
              <w:left w:val="none" w:sz="0" w:space="0" w:color="FFFFFF"/>
              <w:bottom w:val="single" w:sz="2" w:space="0" w:color="E5E7EB"/>
              <w:right w:val="none" w:sz="0" w:space="0" w:color="FFFFFF"/>
            </w:tcBorders>
            <w:shd w:val="clear" w:color="auto" w:fill="F4F6F9"/>
            <w:tcMar>
              <w:top w:w="70" w:type="dxa"/>
              <w:left w:w="120" w:type="dxa"/>
              <w:bottom w:w="70" w:type="dxa"/>
              <w:right w:w="80" w:type="dxa"/>
            </w:tcMar>
          </w:tcPr>
          <w:p w14:paraId="1C362E9C" w14:textId="77777777" w:rsidR="003502BD" w:rsidRDefault="00000000">
            <w:pPr>
              <w:spacing w:after="80" w:line="276" w:lineRule="auto"/>
            </w:pPr>
            <w:r>
              <w:rPr>
                <w:color w:val="1F2937"/>
                <w:sz w:val="18"/>
                <w:szCs w:val="18"/>
              </w:rPr>
              <w:t>賃金形成</w:t>
            </w:r>
          </w:p>
        </w:tc>
        <w:tc>
          <w:tcPr>
            <w:tcW w:w="2217" w:type="dxa"/>
            <w:tcBorders>
              <w:top w:val="none" w:sz="0" w:space="0" w:color="FFFFFF"/>
              <w:left w:val="none" w:sz="0" w:space="0" w:color="FFFFFF"/>
              <w:bottom w:val="single" w:sz="2" w:space="0" w:color="E5E7EB"/>
              <w:right w:val="none" w:sz="0" w:space="0" w:color="FFFFFF"/>
            </w:tcBorders>
            <w:shd w:val="clear" w:color="auto" w:fill="F4F6F9"/>
            <w:tcMar>
              <w:top w:w="70" w:type="dxa"/>
              <w:left w:w="120" w:type="dxa"/>
              <w:bottom w:w="70" w:type="dxa"/>
              <w:right w:w="80" w:type="dxa"/>
            </w:tcMar>
          </w:tcPr>
          <w:p w14:paraId="65A6D097" w14:textId="77777777" w:rsidR="003502BD" w:rsidRDefault="00000000">
            <w:pPr>
              <w:spacing w:after="80" w:line="276" w:lineRule="auto"/>
            </w:pPr>
            <w:r>
              <w:rPr>
                <w:color w:val="1F2937"/>
                <w:sz w:val="18"/>
                <w:szCs w:val="18"/>
              </w:rPr>
              <w:t>名目賃金上昇率</w:t>
            </w:r>
          </w:p>
        </w:tc>
        <w:tc>
          <w:tcPr>
            <w:tcW w:w="4241" w:type="dxa"/>
            <w:tcBorders>
              <w:top w:val="none" w:sz="0" w:space="0" w:color="FFFFFF"/>
              <w:left w:val="none" w:sz="0" w:space="0" w:color="FFFFFF"/>
              <w:bottom w:val="single" w:sz="2" w:space="0" w:color="E5E7EB"/>
              <w:right w:val="none" w:sz="0" w:space="0" w:color="FFFFFF"/>
            </w:tcBorders>
            <w:shd w:val="clear" w:color="auto" w:fill="F4F6F9"/>
            <w:tcMar>
              <w:top w:w="70" w:type="dxa"/>
              <w:left w:w="120" w:type="dxa"/>
              <w:bottom w:w="70" w:type="dxa"/>
              <w:right w:w="80" w:type="dxa"/>
            </w:tcMar>
          </w:tcPr>
          <w:p w14:paraId="4B9D1A5B" w14:textId="77777777" w:rsidR="003502BD" w:rsidRDefault="00000000">
            <w:pPr>
              <w:spacing w:after="80" w:line="276" w:lineRule="auto"/>
            </w:pPr>
            <w:r>
              <w:rPr>
                <w:color w:val="1F2937"/>
                <w:sz w:val="18"/>
                <w:szCs w:val="18"/>
              </w:rPr>
              <w:t>失業率、物価上昇率、交易条件変化率</w:t>
            </w:r>
          </w:p>
        </w:tc>
        <w:tc>
          <w:tcPr>
            <w:tcW w:w="1638" w:type="dxa"/>
            <w:tcBorders>
              <w:top w:val="none" w:sz="0" w:space="0" w:color="FFFFFF"/>
              <w:left w:val="none" w:sz="0" w:space="0" w:color="FFFFFF"/>
              <w:bottom w:val="single" w:sz="2" w:space="0" w:color="E5E7EB"/>
              <w:right w:val="none" w:sz="0" w:space="0" w:color="FFFFFF"/>
            </w:tcBorders>
            <w:shd w:val="clear" w:color="auto" w:fill="F4F6F9"/>
            <w:tcMar>
              <w:top w:w="70" w:type="dxa"/>
              <w:left w:w="120" w:type="dxa"/>
              <w:bottom w:w="70" w:type="dxa"/>
              <w:right w:w="80" w:type="dxa"/>
            </w:tcMar>
          </w:tcPr>
          <w:p w14:paraId="6508E54E" w14:textId="77777777" w:rsidR="003502BD" w:rsidRDefault="00000000">
            <w:pPr>
              <w:spacing w:after="80" w:line="276" w:lineRule="auto"/>
            </w:pPr>
            <w:r>
              <w:rPr>
                <w:color w:val="1F2937"/>
                <w:sz w:val="18"/>
                <w:szCs w:val="18"/>
              </w:rPr>
              <w:t>OLS</w:t>
            </w:r>
          </w:p>
        </w:tc>
      </w:tr>
    </w:tbl>
    <w:p w14:paraId="5A9CFB74" w14:textId="77777777" w:rsidR="003502BD" w:rsidRDefault="00000000">
      <w:pPr>
        <w:spacing w:after="80" w:line="276" w:lineRule="auto"/>
        <w:jc w:val="center"/>
      </w:pPr>
      <w:r>
        <w:rPr>
          <w:color w:val="6B7280"/>
          <w:sz w:val="16"/>
          <w:szCs w:val="16"/>
        </w:rPr>
        <w:t>表1　モデルの構造概要（外生変数：人口・実質GDP・GDPデフレーター・消費者物価・交易条件）</w:t>
      </w:r>
    </w:p>
    <w:p w14:paraId="53677C23" w14:textId="23F6701D" w:rsidR="00865ECA" w:rsidRDefault="00865ECA">
      <w:pPr>
        <w:widowControl/>
      </w:pPr>
      <w:r>
        <w:br w:type="page"/>
      </w:r>
    </w:p>
    <w:p w14:paraId="4412333D" w14:textId="77777777" w:rsidR="003502BD" w:rsidRDefault="00000000">
      <w:pPr>
        <w:spacing w:before="150" w:after="80"/>
      </w:pPr>
      <w:r>
        <w:rPr>
          <w:b/>
          <w:bCs/>
          <w:color w:val="2563A8"/>
          <w:sz w:val="21"/>
          <w:szCs w:val="21"/>
        </w:rPr>
        <w:lastRenderedPageBreak/>
        <w:t>推定精度サマリー</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4530"/>
        <w:gridCol w:w="1542"/>
        <w:gridCol w:w="1928"/>
      </w:tblGrid>
      <w:tr w:rsidR="003502BD" w14:paraId="09CF4E22" w14:textId="77777777">
        <w:trPr>
          <w:tblHeader/>
        </w:trPr>
        <w:tc>
          <w:tcPr>
            <w:tcW w:w="1638" w:type="dxa"/>
            <w:tcBorders>
              <w:top w:val="none" w:sz="0" w:space="0" w:color="FFFFFF"/>
              <w:left w:val="none" w:sz="0" w:space="0" w:color="FFFFFF"/>
              <w:bottom w:val="none" w:sz="0" w:space="0" w:color="FFFFFF"/>
              <w:right w:val="none" w:sz="0" w:space="0" w:color="FFFFFF"/>
            </w:tcBorders>
            <w:shd w:val="clear" w:color="auto" w:fill="2563A8"/>
            <w:tcMar>
              <w:top w:w="80" w:type="dxa"/>
              <w:left w:w="120" w:type="dxa"/>
              <w:bottom w:w="80" w:type="dxa"/>
              <w:right w:w="80" w:type="dxa"/>
            </w:tcMar>
          </w:tcPr>
          <w:p w14:paraId="094493EA" w14:textId="77777777" w:rsidR="003502BD" w:rsidRDefault="00000000">
            <w:pPr>
              <w:spacing w:after="80" w:line="276" w:lineRule="auto"/>
              <w:jc w:val="center"/>
            </w:pPr>
            <w:r>
              <w:rPr>
                <w:b/>
                <w:bCs/>
                <w:color w:val="FFFFFF"/>
                <w:sz w:val="18"/>
                <w:szCs w:val="18"/>
              </w:rPr>
              <w:t>方程式</w:t>
            </w:r>
          </w:p>
        </w:tc>
        <w:tc>
          <w:tcPr>
            <w:tcW w:w="4530" w:type="dxa"/>
            <w:tcBorders>
              <w:top w:val="none" w:sz="0" w:space="0" w:color="FFFFFF"/>
              <w:left w:val="none" w:sz="0" w:space="0" w:color="FFFFFF"/>
              <w:bottom w:val="none" w:sz="0" w:space="0" w:color="FFFFFF"/>
              <w:right w:val="none" w:sz="0" w:space="0" w:color="FFFFFF"/>
            </w:tcBorders>
            <w:shd w:val="clear" w:color="auto" w:fill="2563A8"/>
            <w:tcMar>
              <w:top w:w="80" w:type="dxa"/>
              <w:left w:w="120" w:type="dxa"/>
              <w:bottom w:w="80" w:type="dxa"/>
              <w:right w:w="80" w:type="dxa"/>
            </w:tcMar>
          </w:tcPr>
          <w:p w14:paraId="26EB28F0" w14:textId="77777777" w:rsidR="003502BD" w:rsidRDefault="00000000">
            <w:pPr>
              <w:spacing w:after="80" w:line="276" w:lineRule="auto"/>
              <w:jc w:val="center"/>
            </w:pPr>
            <w:r>
              <w:rPr>
                <w:b/>
                <w:bCs/>
                <w:color w:val="FFFFFF"/>
                <w:sz w:val="18"/>
                <w:szCs w:val="18"/>
              </w:rPr>
              <w:t>理論的符合（主な変数）</w:t>
            </w:r>
          </w:p>
        </w:tc>
        <w:tc>
          <w:tcPr>
            <w:tcW w:w="1542" w:type="dxa"/>
            <w:tcBorders>
              <w:top w:val="none" w:sz="0" w:space="0" w:color="FFFFFF"/>
              <w:left w:val="none" w:sz="0" w:space="0" w:color="FFFFFF"/>
              <w:bottom w:val="none" w:sz="0" w:space="0" w:color="FFFFFF"/>
              <w:right w:val="none" w:sz="0" w:space="0" w:color="FFFFFF"/>
            </w:tcBorders>
            <w:shd w:val="clear" w:color="auto" w:fill="2563A8"/>
            <w:tcMar>
              <w:top w:w="80" w:type="dxa"/>
              <w:left w:w="120" w:type="dxa"/>
              <w:bottom w:w="80" w:type="dxa"/>
              <w:right w:w="80" w:type="dxa"/>
            </w:tcMar>
          </w:tcPr>
          <w:p w14:paraId="268E4A1E" w14:textId="77777777" w:rsidR="003502BD" w:rsidRDefault="00000000">
            <w:pPr>
              <w:spacing w:after="80" w:line="276" w:lineRule="auto"/>
              <w:jc w:val="center"/>
            </w:pPr>
            <w:r>
              <w:rPr>
                <w:b/>
                <w:bCs/>
                <w:color w:val="FFFFFF"/>
                <w:sz w:val="18"/>
                <w:szCs w:val="18"/>
              </w:rPr>
              <w:t>修正R²</w:t>
            </w:r>
          </w:p>
        </w:tc>
        <w:tc>
          <w:tcPr>
            <w:tcW w:w="1928" w:type="dxa"/>
            <w:tcBorders>
              <w:top w:val="none" w:sz="0" w:space="0" w:color="FFFFFF"/>
              <w:left w:val="none" w:sz="0" w:space="0" w:color="FFFFFF"/>
              <w:bottom w:val="none" w:sz="0" w:space="0" w:color="FFFFFF"/>
              <w:right w:val="none" w:sz="0" w:space="0" w:color="FFFFFF"/>
            </w:tcBorders>
            <w:shd w:val="clear" w:color="auto" w:fill="2563A8"/>
            <w:tcMar>
              <w:top w:w="80" w:type="dxa"/>
              <w:left w:w="120" w:type="dxa"/>
              <w:bottom w:w="80" w:type="dxa"/>
              <w:right w:w="80" w:type="dxa"/>
            </w:tcMar>
          </w:tcPr>
          <w:p w14:paraId="3BBE2CF4" w14:textId="77777777" w:rsidR="003502BD" w:rsidRDefault="00000000">
            <w:pPr>
              <w:spacing w:after="80" w:line="276" w:lineRule="auto"/>
              <w:jc w:val="center"/>
            </w:pPr>
            <w:r>
              <w:rPr>
                <w:b/>
                <w:bCs/>
                <w:color w:val="FFFFFF"/>
                <w:sz w:val="18"/>
                <w:szCs w:val="18"/>
              </w:rPr>
              <w:t>残差定常性</w:t>
            </w:r>
          </w:p>
        </w:tc>
      </w:tr>
      <w:tr w:rsidR="003502BD" w14:paraId="3A673848" w14:textId="77777777">
        <w:tc>
          <w:tcPr>
            <w:tcW w:w="1638" w:type="dxa"/>
            <w:tcBorders>
              <w:top w:val="none" w:sz="0" w:space="0" w:color="FFFFFF"/>
              <w:left w:val="none" w:sz="0" w:space="0" w:color="FFFFFF"/>
              <w:bottom w:val="single" w:sz="2" w:space="0" w:color="E5E7EB"/>
              <w:right w:val="none" w:sz="0" w:space="0" w:color="FFFFFF"/>
            </w:tcBorders>
            <w:shd w:val="clear" w:color="auto" w:fill="FFFFFF"/>
            <w:tcMar>
              <w:top w:w="70" w:type="dxa"/>
              <w:left w:w="120" w:type="dxa"/>
              <w:bottom w:w="70" w:type="dxa"/>
              <w:right w:w="80" w:type="dxa"/>
            </w:tcMar>
          </w:tcPr>
          <w:p w14:paraId="70F51862" w14:textId="77777777" w:rsidR="003502BD" w:rsidRDefault="00000000">
            <w:pPr>
              <w:spacing w:after="80" w:line="276" w:lineRule="auto"/>
            </w:pPr>
            <w:r>
              <w:rPr>
                <w:color w:val="1F2937"/>
                <w:sz w:val="18"/>
                <w:szCs w:val="18"/>
              </w:rPr>
              <w:t>労働力率</w:t>
            </w:r>
          </w:p>
        </w:tc>
        <w:tc>
          <w:tcPr>
            <w:tcW w:w="4530" w:type="dxa"/>
            <w:tcBorders>
              <w:top w:val="none" w:sz="0" w:space="0" w:color="FFFFFF"/>
              <w:left w:val="none" w:sz="0" w:space="0" w:color="FFFFFF"/>
              <w:bottom w:val="single" w:sz="2" w:space="0" w:color="E5E7EB"/>
              <w:right w:val="none" w:sz="0" w:space="0" w:color="FFFFFF"/>
            </w:tcBorders>
            <w:shd w:val="clear" w:color="auto" w:fill="FFFFFF"/>
            <w:tcMar>
              <w:top w:w="70" w:type="dxa"/>
              <w:left w:w="120" w:type="dxa"/>
              <w:bottom w:w="70" w:type="dxa"/>
              <w:right w:w="80" w:type="dxa"/>
            </w:tcMar>
          </w:tcPr>
          <w:p w14:paraId="05B563FD" w14:textId="77777777" w:rsidR="003502BD" w:rsidRDefault="00000000">
            <w:pPr>
              <w:spacing w:after="80" w:line="276" w:lineRule="auto"/>
            </w:pPr>
            <w:r>
              <w:rPr>
                <w:color w:val="1F2937"/>
                <w:sz w:val="18"/>
                <w:szCs w:val="18"/>
              </w:rPr>
              <w:t>実質賃金（＋）、失業率ラグ（－）</w:t>
            </w:r>
          </w:p>
        </w:tc>
        <w:tc>
          <w:tcPr>
            <w:tcW w:w="1542" w:type="dxa"/>
            <w:tcBorders>
              <w:top w:val="none" w:sz="0" w:space="0" w:color="FFFFFF"/>
              <w:left w:val="none" w:sz="0" w:space="0" w:color="FFFFFF"/>
              <w:bottom w:val="single" w:sz="2" w:space="0" w:color="E5E7EB"/>
              <w:right w:val="none" w:sz="0" w:space="0" w:color="FFFFFF"/>
            </w:tcBorders>
            <w:shd w:val="clear" w:color="auto" w:fill="FFFFFF"/>
            <w:tcMar>
              <w:top w:w="70" w:type="dxa"/>
              <w:left w:w="120" w:type="dxa"/>
              <w:bottom w:w="70" w:type="dxa"/>
              <w:right w:w="80" w:type="dxa"/>
            </w:tcMar>
          </w:tcPr>
          <w:p w14:paraId="1AC9821B" w14:textId="77777777" w:rsidR="003502BD" w:rsidRDefault="00000000">
            <w:pPr>
              <w:spacing w:after="80" w:line="276" w:lineRule="auto"/>
            </w:pPr>
            <w:r>
              <w:rPr>
                <w:color w:val="1F2937"/>
                <w:sz w:val="18"/>
                <w:szCs w:val="18"/>
              </w:rPr>
              <w:t>0.589</w:t>
            </w:r>
          </w:p>
        </w:tc>
        <w:tc>
          <w:tcPr>
            <w:tcW w:w="1928" w:type="dxa"/>
            <w:tcBorders>
              <w:top w:val="none" w:sz="0" w:space="0" w:color="FFFFFF"/>
              <w:left w:val="none" w:sz="0" w:space="0" w:color="FFFFFF"/>
              <w:bottom w:val="single" w:sz="2" w:space="0" w:color="E5E7EB"/>
              <w:right w:val="none" w:sz="0" w:space="0" w:color="FFFFFF"/>
            </w:tcBorders>
            <w:shd w:val="clear" w:color="auto" w:fill="FFFFFF"/>
            <w:tcMar>
              <w:top w:w="70" w:type="dxa"/>
              <w:left w:w="120" w:type="dxa"/>
              <w:bottom w:w="70" w:type="dxa"/>
              <w:right w:w="80" w:type="dxa"/>
            </w:tcMar>
          </w:tcPr>
          <w:p w14:paraId="3F910B31" w14:textId="4D2D5BCF" w:rsidR="003502BD" w:rsidRPr="00841CFB" w:rsidRDefault="00841CFB" w:rsidP="00841CFB">
            <w:pPr>
              <w:spacing w:line="276" w:lineRule="auto"/>
              <w:rPr>
                <w:color w:val="1F2937"/>
                <w:sz w:val="18"/>
                <w:szCs w:val="18"/>
              </w:rPr>
            </w:pPr>
            <w:r>
              <w:rPr>
                <w:rFonts w:hint="eastAsia"/>
                <w:color w:val="1F2937"/>
                <w:sz w:val="18"/>
                <w:szCs w:val="18"/>
              </w:rPr>
              <w:t>条件付き非</w:t>
            </w:r>
            <w:r>
              <w:rPr>
                <w:color w:val="1F2937"/>
                <w:sz w:val="18"/>
                <w:szCs w:val="18"/>
              </w:rPr>
              <w:t>定常（</w:t>
            </w:r>
            <w:r>
              <w:rPr>
                <w:rFonts w:hint="eastAsia"/>
                <w:color w:val="1F2937"/>
                <w:sz w:val="18"/>
                <w:szCs w:val="18"/>
              </w:rPr>
              <w:t>２</w:t>
            </w:r>
            <w:r>
              <w:rPr>
                <w:color w:val="1F2937"/>
                <w:sz w:val="18"/>
                <w:szCs w:val="18"/>
              </w:rPr>
              <w:t>検定）</w:t>
            </w:r>
          </w:p>
        </w:tc>
      </w:tr>
      <w:tr w:rsidR="003502BD" w14:paraId="42D3154A" w14:textId="77777777">
        <w:tc>
          <w:tcPr>
            <w:tcW w:w="1638" w:type="dxa"/>
            <w:tcBorders>
              <w:top w:val="none" w:sz="0" w:space="0" w:color="FFFFFF"/>
              <w:left w:val="none" w:sz="0" w:space="0" w:color="FFFFFF"/>
              <w:bottom w:val="single" w:sz="2" w:space="0" w:color="E5E7EB"/>
              <w:right w:val="none" w:sz="0" w:space="0" w:color="FFFFFF"/>
            </w:tcBorders>
            <w:shd w:val="clear" w:color="auto" w:fill="F4F6F9"/>
            <w:tcMar>
              <w:top w:w="70" w:type="dxa"/>
              <w:left w:w="120" w:type="dxa"/>
              <w:bottom w:w="70" w:type="dxa"/>
              <w:right w:w="80" w:type="dxa"/>
            </w:tcMar>
          </w:tcPr>
          <w:p w14:paraId="24E70810" w14:textId="77777777" w:rsidR="003502BD" w:rsidRDefault="00000000">
            <w:pPr>
              <w:spacing w:after="80" w:line="276" w:lineRule="auto"/>
            </w:pPr>
            <w:r>
              <w:rPr>
                <w:color w:val="1F2937"/>
                <w:sz w:val="18"/>
                <w:szCs w:val="18"/>
              </w:rPr>
              <w:t>就業者数</w:t>
            </w:r>
          </w:p>
        </w:tc>
        <w:tc>
          <w:tcPr>
            <w:tcW w:w="4530" w:type="dxa"/>
            <w:tcBorders>
              <w:top w:val="none" w:sz="0" w:space="0" w:color="FFFFFF"/>
              <w:left w:val="none" w:sz="0" w:space="0" w:color="FFFFFF"/>
              <w:bottom w:val="single" w:sz="2" w:space="0" w:color="E5E7EB"/>
              <w:right w:val="none" w:sz="0" w:space="0" w:color="FFFFFF"/>
            </w:tcBorders>
            <w:shd w:val="clear" w:color="auto" w:fill="F4F6F9"/>
            <w:tcMar>
              <w:top w:w="70" w:type="dxa"/>
              <w:left w:w="120" w:type="dxa"/>
              <w:bottom w:w="70" w:type="dxa"/>
              <w:right w:w="80" w:type="dxa"/>
            </w:tcMar>
          </w:tcPr>
          <w:p w14:paraId="4E2D027D" w14:textId="40B1415F" w:rsidR="003502BD" w:rsidRDefault="00841CFB">
            <w:pPr>
              <w:spacing w:after="80" w:line="276" w:lineRule="auto"/>
            </w:pPr>
            <w:r>
              <w:rPr>
                <w:rFonts w:hint="eastAsia"/>
                <w:color w:val="1F2937"/>
                <w:sz w:val="18"/>
                <w:szCs w:val="18"/>
              </w:rPr>
              <w:t>実質</w:t>
            </w:r>
            <w:r>
              <w:rPr>
                <w:color w:val="1F2937"/>
                <w:sz w:val="18"/>
                <w:szCs w:val="18"/>
              </w:rPr>
              <w:t>GDP（＋）、実質賃金ラグ（＋）、調整ラグ（＋）</w:t>
            </w:r>
          </w:p>
        </w:tc>
        <w:tc>
          <w:tcPr>
            <w:tcW w:w="1542" w:type="dxa"/>
            <w:tcBorders>
              <w:top w:val="none" w:sz="0" w:space="0" w:color="FFFFFF"/>
              <w:left w:val="none" w:sz="0" w:space="0" w:color="FFFFFF"/>
              <w:bottom w:val="single" w:sz="2" w:space="0" w:color="E5E7EB"/>
              <w:right w:val="none" w:sz="0" w:space="0" w:color="FFFFFF"/>
            </w:tcBorders>
            <w:shd w:val="clear" w:color="auto" w:fill="F4F6F9"/>
            <w:tcMar>
              <w:top w:w="70" w:type="dxa"/>
              <w:left w:w="120" w:type="dxa"/>
              <w:bottom w:w="70" w:type="dxa"/>
              <w:right w:w="80" w:type="dxa"/>
            </w:tcMar>
          </w:tcPr>
          <w:p w14:paraId="2FC5437D" w14:textId="77777777" w:rsidR="003502BD" w:rsidRDefault="00000000">
            <w:pPr>
              <w:spacing w:after="80" w:line="276" w:lineRule="auto"/>
            </w:pPr>
            <w:r>
              <w:rPr>
                <w:color w:val="1F2937"/>
                <w:sz w:val="18"/>
                <w:szCs w:val="18"/>
              </w:rPr>
              <w:t>0.975</w:t>
            </w:r>
          </w:p>
        </w:tc>
        <w:tc>
          <w:tcPr>
            <w:tcW w:w="1928" w:type="dxa"/>
            <w:tcBorders>
              <w:top w:val="none" w:sz="0" w:space="0" w:color="FFFFFF"/>
              <w:left w:val="none" w:sz="0" w:space="0" w:color="FFFFFF"/>
              <w:bottom w:val="single" w:sz="2" w:space="0" w:color="E5E7EB"/>
              <w:right w:val="none" w:sz="0" w:space="0" w:color="FFFFFF"/>
            </w:tcBorders>
            <w:shd w:val="clear" w:color="auto" w:fill="F4F6F9"/>
            <w:tcMar>
              <w:top w:w="70" w:type="dxa"/>
              <w:left w:w="120" w:type="dxa"/>
              <w:bottom w:w="70" w:type="dxa"/>
              <w:right w:w="80" w:type="dxa"/>
            </w:tcMar>
          </w:tcPr>
          <w:p w14:paraId="3DBAD03A" w14:textId="77777777" w:rsidR="003502BD" w:rsidRDefault="00000000">
            <w:pPr>
              <w:spacing w:after="80" w:line="276" w:lineRule="auto"/>
            </w:pPr>
            <w:r>
              <w:rPr>
                <w:color w:val="1F2937"/>
                <w:sz w:val="18"/>
                <w:szCs w:val="18"/>
              </w:rPr>
              <w:t>定常（3検定）</w:t>
            </w:r>
          </w:p>
        </w:tc>
      </w:tr>
      <w:tr w:rsidR="003502BD" w14:paraId="7FFA4099" w14:textId="77777777">
        <w:tc>
          <w:tcPr>
            <w:tcW w:w="1638" w:type="dxa"/>
            <w:tcBorders>
              <w:top w:val="none" w:sz="0" w:space="0" w:color="FFFFFF"/>
              <w:left w:val="none" w:sz="0" w:space="0" w:color="FFFFFF"/>
              <w:bottom w:val="single" w:sz="2" w:space="0" w:color="E5E7EB"/>
              <w:right w:val="none" w:sz="0" w:space="0" w:color="FFFFFF"/>
            </w:tcBorders>
            <w:shd w:val="clear" w:color="auto" w:fill="FFFFFF"/>
            <w:tcMar>
              <w:top w:w="70" w:type="dxa"/>
              <w:left w:w="120" w:type="dxa"/>
              <w:bottom w:w="70" w:type="dxa"/>
              <w:right w:w="80" w:type="dxa"/>
            </w:tcMar>
          </w:tcPr>
          <w:p w14:paraId="36E49804" w14:textId="77777777" w:rsidR="003502BD" w:rsidRDefault="00000000">
            <w:pPr>
              <w:spacing w:after="80" w:line="276" w:lineRule="auto"/>
            </w:pPr>
            <w:r>
              <w:rPr>
                <w:color w:val="1F2937"/>
                <w:sz w:val="18"/>
                <w:szCs w:val="18"/>
              </w:rPr>
              <w:t>失業率</w:t>
            </w:r>
          </w:p>
        </w:tc>
        <w:tc>
          <w:tcPr>
            <w:tcW w:w="4530" w:type="dxa"/>
            <w:tcBorders>
              <w:top w:val="none" w:sz="0" w:space="0" w:color="FFFFFF"/>
              <w:left w:val="none" w:sz="0" w:space="0" w:color="FFFFFF"/>
              <w:bottom w:val="single" w:sz="2" w:space="0" w:color="E5E7EB"/>
              <w:right w:val="none" w:sz="0" w:space="0" w:color="FFFFFF"/>
            </w:tcBorders>
            <w:shd w:val="clear" w:color="auto" w:fill="FFFFFF"/>
            <w:tcMar>
              <w:top w:w="70" w:type="dxa"/>
              <w:left w:w="120" w:type="dxa"/>
              <w:bottom w:w="70" w:type="dxa"/>
              <w:right w:w="80" w:type="dxa"/>
            </w:tcMar>
          </w:tcPr>
          <w:p w14:paraId="7AA8AD03" w14:textId="77777777" w:rsidR="003502BD" w:rsidRDefault="00000000">
            <w:pPr>
              <w:spacing w:after="80" w:line="276" w:lineRule="auto"/>
            </w:pPr>
            <w:r>
              <w:rPr>
                <w:color w:val="1F2937"/>
                <w:sz w:val="18"/>
                <w:szCs w:val="18"/>
              </w:rPr>
              <w:t>雇用率（－）、失業率ラグ（＋）</w:t>
            </w:r>
          </w:p>
        </w:tc>
        <w:tc>
          <w:tcPr>
            <w:tcW w:w="1542" w:type="dxa"/>
            <w:tcBorders>
              <w:top w:val="none" w:sz="0" w:space="0" w:color="FFFFFF"/>
              <w:left w:val="none" w:sz="0" w:space="0" w:color="FFFFFF"/>
              <w:bottom w:val="single" w:sz="2" w:space="0" w:color="E5E7EB"/>
              <w:right w:val="none" w:sz="0" w:space="0" w:color="FFFFFF"/>
            </w:tcBorders>
            <w:shd w:val="clear" w:color="auto" w:fill="FFFFFF"/>
            <w:tcMar>
              <w:top w:w="70" w:type="dxa"/>
              <w:left w:w="120" w:type="dxa"/>
              <w:bottom w:w="70" w:type="dxa"/>
              <w:right w:w="80" w:type="dxa"/>
            </w:tcMar>
          </w:tcPr>
          <w:p w14:paraId="34024AF2" w14:textId="77777777" w:rsidR="003502BD" w:rsidRDefault="00000000">
            <w:pPr>
              <w:spacing w:after="80" w:line="276" w:lineRule="auto"/>
            </w:pPr>
            <w:r>
              <w:rPr>
                <w:color w:val="1F2937"/>
                <w:sz w:val="18"/>
                <w:szCs w:val="18"/>
              </w:rPr>
              <w:t>0.990</w:t>
            </w:r>
          </w:p>
        </w:tc>
        <w:tc>
          <w:tcPr>
            <w:tcW w:w="1928" w:type="dxa"/>
            <w:tcBorders>
              <w:top w:val="none" w:sz="0" w:space="0" w:color="FFFFFF"/>
              <w:left w:val="none" w:sz="0" w:space="0" w:color="FFFFFF"/>
              <w:bottom w:val="single" w:sz="2" w:space="0" w:color="E5E7EB"/>
              <w:right w:val="none" w:sz="0" w:space="0" w:color="FFFFFF"/>
            </w:tcBorders>
            <w:shd w:val="clear" w:color="auto" w:fill="FFFFFF"/>
            <w:tcMar>
              <w:top w:w="70" w:type="dxa"/>
              <w:left w:w="120" w:type="dxa"/>
              <w:bottom w:w="70" w:type="dxa"/>
              <w:right w:w="80" w:type="dxa"/>
            </w:tcMar>
          </w:tcPr>
          <w:p w14:paraId="5701ED52" w14:textId="3018F125" w:rsidR="003502BD" w:rsidRDefault="00841CFB">
            <w:pPr>
              <w:spacing w:after="80" w:line="276" w:lineRule="auto"/>
            </w:pPr>
            <w:r>
              <w:rPr>
                <w:rFonts w:hint="eastAsia"/>
                <w:color w:val="1F2937"/>
                <w:sz w:val="18"/>
                <w:szCs w:val="18"/>
              </w:rPr>
              <w:t>条件付き非</w:t>
            </w:r>
            <w:r>
              <w:rPr>
                <w:color w:val="1F2937"/>
                <w:sz w:val="18"/>
                <w:szCs w:val="18"/>
              </w:rPr>
              <w:t>定常（</w:t>
            </w:r>
            <w:r>
              <w:rPr>
                <w:rFonts w:hint="eastAsia"/>
                <w:color w:val="1F2937"/>
                <w:sz w:val="18"/>
                <w:szCs w:val="18"/>
              </w:rPr>
              <w:t>２</w:t>
            </w:r>
            <w:r>
              <w:rPr>
                <w:color w:val="1F2937"/>
                <w:sz w:val="18"/>
                <w:szCs w:val="18"/>
              </w:rPr>
              <w:t>検定）</w:t>
            </w:r>
          </w:p>
        </w:tc>
      </w:tr>
      <w:tr w:rsidR="003502BD" w14:paraId="33727C4D" w14:textId="77777777">
        <w:tc>
          <w:tcPr>
            <w:tcW w:w="1638" w:type="dxa"/>
            <w:tcBorders>
              <w:top w:val="none" w:sz="0" w:space="0" w:color="FFFFFF"/>
              <w:left w:val="none" w:sz="0" w:space="0" w:color="FFFFFF"/>
              <w:bottom w:val="single" w:sz="2" w:space="0" w:color="E5E7EB"/>
              <w:right w:val="none" w:sz="0" w:space="0" w:color="FFFFFF"/>
            </w:tcBorders>
            <w:shd w:val="clear" w:color="auto" w:fill="F4F6F9"/>
            <w:tcMar>
              <w:top w:w="70" w:type="dxa"/>
              <w:left w:w="120" w:type="dxa"/>
              <w:bottom w:w="70" w:type="dxa"/>
              <w:right w:w="80" w:type="dxa"/>
            </w:tcMar>
          </w:tcPr>
          <w:p w14:paraId="3E8D174E" w14:textId="77777777" w:rsidR="003502BD" w:rsidRDefault="00000000">
            <w:pPr>
              <w:spacing w:after="80" w:line="276" w:lineRule="auto"/>
            </w:pPr>
            <w:r>
              <w:rPr>
                <w:color w:val="1F2937"/>
                <w:sz w:val="18"/>
                <w:szCs w:val="18"/>
              </w:rPr>
              <w:t>賃金</w:t>
            </w:r>
          </w:p>
        </w:tc>
        <w:tc>
          <w:tcPr>
            <w:tcW w:w="4530" w:type="dxa"/>
            <w:tcBorders>
              <w:top w:val="none" w:sz="0" w:space="0" w:color="FFFFFF"/>
              <w:left w:val="none" w:sz="0" w:space="0" w:color="FFFFFF"/>
              <w:bottom w:val="single" w:sz="2" w:space="0" w:color="E5E7EB"/>
              <w:right w:val="none" w:sz="0" w:space="0" w:color="FFFFFF"/>
            </w:tcBorders>
            <w:shd w:val="clear" w:color="auto" w:fill="F4F6F9"/>
            <w:tcMar>
              <w:top w:w="70" w:type="dxa"/>
              <w:left w:w="120" w:type="dxa"/>
              <w:bottom w:w="70" w:type="dxa"/>
              <w:right w:w="80" w:type="dxa"/>
            </w:tcMar>
          </w:tcPr>
          <w:p w14:paraId="45C3F090" w14:textId="77777777" w:rsidR="003502BD" w:rsidRDefault="00000000">
            <w:pPr>
              <w:spacing w:after="80" w:line="276" w:lineRule="auto"/>
            </w:pPr>
            <w:r>
              <w:rPr>
                <w:color w:val="1F2937"/>
                <w:sz w:val="18"/>
                <w:szCs w:val="18"/>
              </w:rPr>
              <w:t>失業率（－）、物価（＋）、交易条件（＋）</w:t>
            </w:r>
          </w:p>
        </w:tc>
        <w:tc>
          <w:tcPr>
            <w:tcW w:w="1542" w:type="dxa"/>
            <w:tcBorders>
              <w:top w:val="none" w:sz="0" w:space="0" w:color="FFFFFF"/>
              <w:left w:val="none" w:sz="0" w:space="0" w:color="FFFFFF"/>
              <w:bottom w:val="single" w:sz="2" w:space="0" w:color="E5E7EB"/>
              <w:right w:val="none" w:sz="0" w:space="0" w:color="FFFFFF"/>
            </w:tcBorders>
            <w:shd w:val="clear" w:color="auto" w:fill="F4F6F9"/>
            <w:tcMar>
              <w:top w:w="70" w:type="dxa"/>
              <w:left w:w="120" w:type="dxa"/>
              <w:bottom w:w="70" w:type="dxa"/>
              <w:right w:w="80" w:type="dxa"/>
            </w:tcMar>
          </w:tcPr>
          <w:p w14:paraId="08F0AD5E" w14:textId="77777777" w:rsidR="003502BD" w:rsidRDefault="00000000">
            <w:pPr>
              <w:spacing w:after="80" w:line="276" w:lineRule="auto"/>
            </w:pPr>
            <w:r>
              <w:rPr>
                <w:color w:val="1F2937"/>
                <w:sz w:val="18"/>
                <w:szCs w:val="18"/>
              </w:rPr>
              <w:t>0.657</w:t>
            </w:r>
          </w:p>
        </w:tc>
        <w:tc>
          <w:tcPr>
            <w:tcW w:w="1928" w:type="dxa"/>
            <w:tcBorders>
              <w:top w:val="none" w:sz="0" w:space="0" w:color="FFFFFF"/>
              <w:left w:val="none" w:sz="0" w:space="0" w:color="FFFFFF"/>
              <w:bottom w:val="single" w:sz="2" w:space="0" w:color="E5E7EB"/>
              <w:right w:val="none" w:sz="0" w:space="0" w:color="FFFFFF"/>
            </w:tcBorders>
            <w:shd w:val="clear" w:color="auto" w:fill="F4F6F9"/>
            <w:tcMar>
              <w:top w:w="70" w:type="dxa"/>
              <w:left w:w="120" w:type="dxa"/>
              <w:bottom w:w="70" w:type="dxa"/>
              <w:right w:w="80" w:type="dxa"/>
            </w:tcMar>
          </w:tcPr>
          <w:p w14:paraId="14379597" w14:textId="77777777" w:rsidR="003502BD" w:rsidRDefault="00000000">
            <w:pPr>
              <w:spacing w:after="80" w:line="276" w:lineRule="auto"/>
            </w:pPr>
            <w:r>
              <w:rPr>
                <w:color w:val="1F2937"/>
                <w:sz w:val="18"/>
                <w:szCs w:val="18"/>
              </w:rPr>
              <w:t>定常（3検定）</w:t>
            </w:r>
          </w:p>
        </w:tc>
      </w:tr>
    </w:tbl>
    <w:p w14:paraId="4A176386" w14:textId="77777777" w:rsidR="003502BD" w:rsidRDefault="00000000">
      <w:pPr>
        <w:spacing w:after="80" w:line="276" w:lineRule="auto"/>
        <w:jc w:val="center"/>
      </w:pPr>
      <w:r>
        <w:rPr>
          <w:color w:val="6B7280"/>
          <w:sz w:val="16"/>
          <w:szCs w:val="16"/>
        </w:rPr>
        <w:t>表2　各方程式の推定精度と残差の定常性（ADF・PP・KPSS 3検定すべてで定常を確認）</w:t>
      </w:r>
    </w:p>
    <w:p w14:paraId="7E51E571" w14:textId="3A9852B0" w:rsidR="003502BD" w:rsidRDefault="003502BD"/>
    <w:p w14:paraId="26DC111F" w14:textId="77777777" w:rsidR="003502BD" w:rsidRDefault="00000000">
      <w:pPr>
        <w:pBdr>
          <w:bottom w:val="single" w:sz="8" w:space="2" w:color="1A3A5C"/>
        </w:pBdr>
        <w:spacing w:before="200" w:after="100"/>
      </w:pPr>
      <w:r>
        <w:rPr>
          <w:b/>
          <w:bCs/>
          <w:color w:val="1A3A5C"/>
          <w:sz w:val="24"/>
          <w:szCs w:val="24"/>
        </w:rPr>
        <w:t>2. 主要指標のシミュレーション結果</w:t>
      </w:r>
    </w:p>
    <w:p w14:paraId="6389897B" w14:textId="77777777" w:rsidR="003502BD" w:rsidRDefault="00000000">
      <w:pPr>
        <w:spacing w:after="100" w:line="288" w:lineRule="auto"/>
      </w:pPr>
      <w:r>
        <w:rPr>
          <w:color w:val="1F2937"/>
        </w:rPr>
        <w:t>以下の図は、1995〜2025年の実績値とモデルによる2026〜2040年のシミュレーション結果を示す。破線は将来推計値を、点線縦棒は実績・推計の境界（2025年末）を表す。</w:t>
      </w:r>
    </w:p>
    <w:p w14:paraId="2E6C2EDE" w14:textId="77777777" w:rsidR="003502BD" w:rsidRDefault="00000000">
      <w:pPr>
        <w:spacing w:after="60"/>
        <w:jc w:val="center"/>
      </w:pPr>
      <w:r>
        <w:rPr>
          <w:noProof/>
        </w:rPr>
        <w:drawing>
          <wp:inline distT="0" distB="0" distL="0" distR="0" wp14:anchorId="409B0C51" wp14:editId="173443C3">
            <wp:extent cx="6000750" cy="376237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3762375"/>
                    </a:xfrm>
                    <a:prstGeom prst="rect">
                      <a:avLst/>
                    </a:prstGeom>
                  </pic:spPr>
                </pic:pic>
              </a:graphicData>
            </a:graphic>
          </wp:inline>
        </w:drawing>
      </w:r>
    </w:p>
    <w:p w14:paraId="0BCEB67E" w14:textId="47E7F1C1" w:rsidR="00865ECA" w:rsidRDefault="00000000" w:rsidP="00841CFB">
      <w:pPr>
        <w:spacing w:after="120" w:line="276" w:lineRule="auto"/>
        <w:jc w:val="center"/>
        <w:rPr>
          <w:color w:val="6B7280"/>
          <w:sz w:val="16"/>
          <w:szCs w:val="16"/>
        </w:rPr>
      </w:pPr>
      <w:r>
        <w:rPr>
          <w:color w:val="6B7280"/>
          <w:sz w:val="16"/>
          <w:szCs w:val="16"/>
        </w:rPr>
        <w:t>図1　主要4指標の実績値（1995〜2025年）とモデル・シミュレーション（2026〜2040年） （左上）労働力率、（右上）完全失業率、（左下）実質GDP、（右下）名目賃金指数</w:t>
      </w:r>
      <w:r w:rsidR="00865ECA">
        <w:rPr>
          <w:color w:val="6B7280"/>
          <w:sz w:val="16"/>
          <w:szCs w:val="16"/>
        </w:rPr>
        <w:br w:type="page"/>
      </w:r>
    </w:p>
    <w:p w14:paraId="6BB5A0FC" w14:textId="77777777" w:rsidR="003502BD" w:rsidRDefault="003502BD">
      <w:pPr>
        <w:spacing w:after="120" w:line="276" w:lineRule="auto"/>
        <w:jc w:val="center"/>
      </w:pPr>
    </w:p>
    <w:p w14:paraId="74072A6D" w14:textId="77777777" w:rsidR="003502BD" w:rsidRDefault="00000000">
      <w:pPr>
        <w:spacing w:after="60"/>
        <w:jc w:val="center"/>
      </w:pPr>
      <w:r>
        <w:rPr>
          <w:noProof/>
        </w:rPr>
        <w:drawing>
          <wp:inline distT="0" distB="0" distL="0" distR="0" wp14:anchorId="4B185C7E" wp14:editId="00A120A6">
            <wp:extent cx="6000750" cy="2733675"/>
            <wp:effectExtent l="0" t="0" r="0" b="0"/>
            <wp:docPr id="77716309" name="図 77716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2733675"/>
                    </a:xfrm>
                    <a:prstGeom prst="rect">
                      <a:avLst/>
                    </a:prstGeom>
                  </pic:spPr>
                </pic:pic>
              </a:graphicData>
            </a:graphic>
          </wp:inline>
        </w:drawing>
      </w:r>
    </w:p>
    <w:p w14:paraId="51F39973" w14:textId="77777777" w:rsidR="003502BD" w:rsidRDefault="00000000">
      <w:pPr>
        <w:spacing w:after="80" w:line="276" w:lineRule="auto"/>
        <w:jc w:val="center"/>
      </w:pPr>
      <w:r>
        <w:rPr>
          <w:color w:val="6B7280"/>
          <w:sz w:val="16"/>
          <w:szCs w:val="16"/>
        </w:rPr>
        <w:t>図2　労働力人口・就業者数の推移と将来推計（百万人）　オレンジ色の帯：需給ギャップ（LS−E）。2030年代以降、ギャップの拡大傾向が示される。</w:t>
      </w:r>
    </w:p>
    <w:p w14:paraId="0952A261" w14:textId="143BAAA3" w:rsidR="003502BD" w:rsidRDefault="003502BD"/>
    <w:p w14:paraId="422C0F4C" w14:textId="77777777" w:rsidR="003502BD" w:rsidRDefault="00000000">
      <w:pPr>
        <w:pBdr>
          <w:bottom w:val="single" w:sz="8" w:space="2" w:color="1A3A5C"/>
        </w:pBdr>
        <w:spacing w:before="200" w:after="100"/>
      </w:pPr>
      <w:r>
        <w:rPr>
          <w:b/>
          <w:bCs/>
          <w:color w:val="1A3A5C"/>
          <w:sz w:val="24"/>
          <w:szCs w:val="24"/>
        </w:rPr>
        <w:t>3. 主要発見事項：「マクロ需給のねじれ」</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438"/>
      </w:tblGrid>
      <w:tr w:rsidR="003502BD" w14:paraId="2DA33192" w14:textId="77777777">
        <w:tc>
          <w:tcPr>
            <w:tcW w:w="200" w:type="dxa"/>
            <w:tcBorders>
              <w:top w:val="none" w:sz="0" w:space="0" w:color="FFFFFF"/>
              <w:left w:val="none" w:sz="0" w:space="0" w:color="FFFFFF"/>
              <w:bottom w:val="none" w:sz="0" w:space="0" w:color="FFFFFF"/>
              <w:right w:val="none" w:sz="0" w:space="0" w:color="FFFFFF"/>
            </w:tcBorders>
            <w:shd w:val="clear" w:color="auto" w:fill="2563A8"/>
          </w:tcPr>
          <w:p w14:paraId="2F53A8F5" w14:textId="77777777" w:rsidR="003502BD" w:rsidRDefault="003502BD">
            <w:pPr>
              <w:spacing w:after="80" w:line="276" w:lineRule="auto"/>
            </w:pPr>
          </w:p>
        </w:tc>
        <w:tc>
          <w:tcPr>
            <w:tcW w:w="9438" w:type="dxa"/>
            <w:tcBorders>
              <w:top w:val="single" w:sz="2" w:space="0" w:color="BFDBFE"/>
              <w:left w:val="none" w:sz="0" w:space="0" w:color="FFFFFF"/>
              <w:bottom w:val="single" w:sz="2" w:space="0" w:color="BFDBFE"/>
              <w:right w:val="none" w:sz="0" w:space="0" w:color="FFFFFF"/>
            </w:tcBorders>
            <w:shd w:val="clear" w:color="auto" w:fill="DBEAFE"/>
            <w:tcMar>
              <w:top w:w="100" w:type="dxa"/>
              <w:left w:w="160" w:type="dxa"/>
              <w:bottom w:w="100" w:type="dxa"/>
              <w:right w:w="100" w:type="dxa"/>
            </w:tcMar>
          </w:tcPr>
          <w:p w14:paraId="37858A62" w14:textId="77777777" w:rsidR="003502BD" w:rsidRDefault="00000000">
            <w:pPr>
              <w:spacing w:after="80" w:line="280" w:lineRule="auto"/>
            </w:pPr>
            <w:r>
              <w:rPr>
                <w:b/>
                <w:bCs/>
                <w:color w:val="1A3A5C"/>
              </w:rPr>
              <w:t>人口減少下で実質GDPが成長しているにもかかわらず、2030年代以降、完全失業率が上昇基調をたどる「マクロ需給のねじれ」が観察された。</w:t>
            </w:r>
          </w:p>
          <w:p w14:paraId="191AA11A" w14:textId="446640E5" w:rsidR="003502BD" w:rsidRDefault="00000000">
            <w:pPr>
              <w:spacing w:after="80" w:line="280" w:lineRule="auto"/>
            </w:pPr>
            <w:r>
              <w:rPr>
                <w:color w:val="1F2937"/>
                <w:sz w:val="19"/>
                <w:szCs w:val="19"/>
              </w:rPr>
              <w:t>これは、成長が資本集約的（</w:t>
            </w:r>
            <w:r w:rsidR="00FA09F8">
              <w:rPr>
                <w:rFonts w:hint="eastAsia"/>
                <w:color w:val="1F2937"/>
                <w:sz w:val="19"/>
                <w:szCs w:val="19"/>
              </w:rPr>
              <w:t>例えば、</w:t>
            </w:r>
            <w:r>
              <w:rPr>
                <w:color w:val="1F2937"/>
                <w:sz w:val="19"/>
                <w:szCs w:val="19"/>
              </w:rPr>
              <w:t>DX・自動化投資の進展）であるために労働需要の拡大が抑制される一方、実質賃金の上昇が労働参加率を押し上げ、労働供給が維持されることでマクロ需給ギャップが拡大するメカニズムによる。</w:t>
            </w:r>
          </w:p>
        </w:tc>
      </w:tr>
    </w:tbl>
    <w:p w14:paraId="68B180AF" w14:textId="77777777" w:rsidR="003502BD" w:rsidRDefault="003502BD">
      <w:pPr>
        <w:spacing w:after="80"/>
      </w:pPr>
    </w:p>
    <w:p w14:paraId="7CA2A0D2" w14:textId="77777777" w:rsidR="003502BD" w:rsidRDefault="00000000">
      <w:pPr>
        <w:spacing w:before="150" w:after="80"/>
      </w:pPr>
      <w:r>
        <w:rPr>
          <w:b/>
          <w:bCs/>
          <w:color w:val="2563A8"/>
          <w:sz w:val="21"/>
          <w:szCs w:val="21"/>
        </w:rPr>
        <w:t>メカニズムの三要素</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3502BD" w14:paraId="6D5B4F2D" w14:textId="77777777">
        <w:tc>
          <w:tcPr>
            <w:tcW w:w="3212" w:type="dxa"/>
            <w:tcBorders>
              <w:top w:val="none" w:sz="0" w:space="0" w:color="FFFFFF"/>
              <w:left w:val="none" w:sz="0" w:space="0" w:color="FFFFFF"/>
              <w:bottom w:val="none" w:sz="0" w:space="0" w:color="FFFFFF"/>
              <w:right w:val="none" w:sz="0" w:space="0" w:color="FFFFFF"/>
            </w:tcBorders>
            <w:shd w:val="clear" w:color="auto" w:fill="2563A8"/>
            <w:tcMar>
              <w:top w:w="80" w:type="dxa"/>
              <w:left w:w="100" w:type="dxa"/>
              <w:bottom w:w="40" w:type="dxa"/>
              <w:right w:w="80" w:type="dxa"/>
            </w:tcMar>
          </w:tcPr>
          <w:p w14:paraId="0600A409" w14:textId="77777777" w:rsidR="003502BD" w:rsidRDefault="00000000">
            <w:pPr>
              <w:spacing w:after="80" w:line="276" w:lineRule="auto"/>
            </w:pPr>
            <w:r>
              <w:rPr>
                <w:b/>
                <w:bCs/>
                <w:color w:val="FFFFFF"/>
                <w:sz w:val="19"/>
                <w:szCs w:val="19"/>
              </w:rPr>
              <w:t>① 資本集約的成長</w:t>
            </w:r>
          </w:p>
        </w:tc>
        <w:tc>
          <w:tcPr>
            <w:tcW w:w="3212" w:type="dxa"/>
            <w:tcBorders>
              <w:top w:val="none" w:sz="0" w:space="0" w:color="FFFFFF"/>
              <w:left w:val="none" w:sz="0" w:space="0" w:color="FFFFFF"/>
              <w:bottom w:val="none" w:sz="0" w:space="0" w:color="FFFFFF"/>
              <w:right w:val="none" w:sz="0" w:space="0" w:color="FFFFFF"/>
            </w:tcBorders>
            <w:shd w:val="clear" w:color="auto" w:fill="16A34A"/>
            <w:tcMar>
              <w:top w:w="80" w:type="dxa"/>
              <w:left w:w="100" w:type="dxa"/>
              <w:bottom w:w="40" w:type="dxa"/>
              <w:right w:w="80" w:type="dxa"/>
            </w:tcMar>
          </w:tcPr>
          <w:p w14:paraId="61A1979A" w14:textId="77777777" w:rsidR="003502BD" w:rsidRDefault="00000000">
            <w:pPr>
              <w:spacing w:after="80" w:line="276" w:lineRule="auto"/>
            </w:pPr>
            <w:r>
              <w:rPr>
                <w:b/>
                <w:bCs/>
                <w:color w:val="FFFFFF"/>
                <w:sz w:val="19"/>
                <w:szCs w:val="19"/>
              </w:rPr>
              <w:t>② 労働参加率の上昇</w:t>
            </w:r>
          </w:p>
        </w:tc>
        <w:tc>
          <w:tcPr>
            <w:tcW w:w="3212" w:type="dxa"/>
            <w:tcBorders>
              <w:top w:val="none" w:sz="0" w:space="0" w:color="FFFFFF"/>
              <w:left w:val="none" w:sz="0" w:space="0" w:color="FFFFFF"/>
              <w:bottom w:val="none" w:sz="0" w:space="0" w:color="FFFFFF"/>
              <w:right w:val="none" w:sz="0" w:space="0" w:color="FFFFFF"/>
            </w:tcBorders>
            <w:shd w:val="clear" w:color="auto" w:fill="D97706"/>
            <w:tcMar>
              <w:top w:w="80" w:type="dxa"/>
              <w:left w:w="100" w:type="dxa"/>
              <w:bottom w:w="40" w:type="dxa"/>
              <w:right w:w="80" w:type="dxa"/>
            </w:tcMar>
          </w:tcPr>
          <w:p w14:paraId="0F41E0D7" w14:textId="77777777" w:rsidR="003502BD" w:rsidRDefault="00000000">
            <w:pPr>
              <w:spacing w:after="80" w:line="276" w:lineRule="auto"/>
            </w:pPr>
            <w:r>
              <w:rPr>
                <w:b/>
                <w:bCs/>
                <w:color w:val="FFFFFF"/>
                <w:sz w:val="19"/>
                <w:szCs w:val="19"/>
              </w:rPr>
              <w:t>③ 賃金調整の硬直性</w:t>
            </w:r>
          </w:p>
        </w:tc>
      </w:tr>
      <w:tr w:rsidR="003502BD" w14:paraId="731B2BD5" w14:textId="77777777">
        <w:tc>
          <w:tcPr>
            <w:tcW w:w="3212" w:type="dxa"/>
            <w:tcBorders>
              <w:top w:val="none" w:sz="0" w:space="0" w:color="FFFFFF"/>
              <w:left w:val="none" w:sz="0" w:space="0" w:color="FFFFFF"/>
              <w:bottom w:val="single" w:sz="2" w:space="0" w:color="D1D5DB"/>
              <w:right w:val="none" w:sz="0" w:space="0" w:color="FFFFFF"/>
            </w:tcBorders>
            <w:shd w:val="clear" w:color="auto" w:fill="F4F6F9"/>
            <w:tcMar>
              <w:top w:w="80" w:type="dxa"/>
              <w:left w:w="100" w:type="dxa"/>
              <w:bottom w:w="80" w:type="dxa"/>
              <w:right w:w="80" w:type="dxa"/>
            </w:tcMar>
          </w:tcPr>
          <w:p w14:paraId="62F95E97" w14:textId="64A588A8" w:rsidR="003502BD" w:rsidRDefault="00000000">
            <w:pPr>
              <w:spacing w:after="80" w:line="280" w:lineRule="auto"/>
            </w:pPr>
            <w:r>
              <w:rPr>
                <w:color w:val="1F2937"/>
                <w:sz w:val="18"/>
                <w:szCs w:val="18"/>
              </w:rPr>
              <w:t>実質GDPが拡大しても、</w:t>
            </w:r>
            <w:r w:rsidR="00FA09F8">
              <w:rPr>
                <w:rFonts w:hint="eastAsia"/>
                <w:color w:val="1F2937"/>
                <w:sz w:val="18"/>
                <w:szCs w:val="18"/>
              </w:rPr>
              <w:t>例えば、</w:t>
            </w:r>
            <w:r>
              <w:rPr>
                <w:color w:val="1F2937"/>
                <w:sz w:val="18"/>
                <w:szCs w:val="18"/>
              </w:rPr>
              <w:t>AI・DX・ロボティクス投資による資本深化が進むと、GDP当たりの必要労働投入量（E/RY）が低下し、雇用の拡大が抑制される</w:t>
            </w:r>
            <w:r w:rsidR="00FA09F8">
              <w:rPr>
                <w:rFonts w:hint="eastAsia"/>
                <w:color w:val="1F2937"/>
                <w:sz w:val="18"/>
                <w:szCs w:val="18"/>
              </w:rPr>
              <w:t>可能性</w:t>
            </w:r>
            <w:r>
              <w:rPr>
                <w:color w:val="1F2937"/>
                <w:sz w:val="18"/>
                <w:szCs w:val="18"/>
              </w:rPr>
              <w:t>。</w:t>
            </w:r>
          </w:p>
        </w:tc>
        <w:tc>
          <w:tcPr>
            <w:tcW w:w="3212" w:type="dxa"/>
            <w:tcBorders>
              <w:top w:val="none" w:sz="0" w:space="0" w:color="FFFFFF"/>
              <w:left w:val="none" w:sz="0" w:space="0" w:color="FFFFFF"/>
              <w:bottom w:val="single" w:sz="2" w:space="0" w:color="D1D5DB"/>
              <w:right w:val="none" w:sz="0" w:space="0" w:color="FFFFFF"/>
            </w:tcBorders>
            <w:shd w:val="clear" w:color="auto" w:fill="F4F6F9"/>
            <w:tcMar>
              <w:top w:w="80" w:type="dxa"/>
              <w:left w:w="100" w:type="dxa"/>
              <w:bottom w:w="80" w:type="dxa"/>
              <w:right w:w="80" w:type="dxa"/>
            </w:tcMar>
          </w:tcPr>
          <w:p w14:paraId="13AEC0C4" w14:textId="77777777" w:rsidR="003502BD" w:rsidRDefault="00000000">
            <w:pPr>
              <w:spacing w:after="80" w:line="280" w:lineRule="auto"/>
            </w:pPr>
            <w:r>
              <w:rPr>
                <w:color w:val="1F2937"/>
                <w:sz w:val="18"/>
                <w:szCs w:val="18"/>
              </w:rPr>
              <w:t>実質賃金の上昇が代替効果を通じて労働力率を押し上げ、人口減少を部分的に相殺する。この結果、労働供給（LS）の減少ペースが緩慢にとどまる。</w:t>
            </w:r>
          </w:p>
        </w:tc>
        <w:tc>
          <w:tcPr>
            <w:tcW w:w="3212" w:type="dxa"/>
            <w:tcBorders>
              <w:top w:val="none" w:sz="0" w:space="0" w:color="FFFFFF"/>
              <w:left w:val="none" w:sz="0" w:space="0" w:color="FFFFFF"/>
              <w:bottom w:val="single" w:sz="2" w:space="0" w:color="D1D5DB"/>
              <w:right w:val="none" w:sz="0" w:space="0" w:color="FFFFFF"/>
            </w:tcBorders>
            <w:shd w:val="clear" w:color="auto" w:fill="F4F6F9"/>
            <w:tcMar>
              <w:top w:w="80" w:type="dxa"/>
              <w:left w:w="100" w:type="dxa"/>
              <w:bottom w:w="80" w:type="dxa"/>
              <w:right w:w="80" w:type="dxa"/>
            </w:tcMar>
          </w:tcPr>
          <w:p w14:paraId="3225E6FC" w14:textId="77777777" w:rsidR="003502BD" w:rsidRDefault="00000000">
            <w:pPr>
              <w:spacing w:after="80" w:line="280" w:lineRule="auto"/>
            </w:pPr>
            <w:r>
              <w:rPr>
                <w:color w:val="1F2937"/>
                <w:sz w:val="18"/>
                <w:szCs w:val="18"/>
              </w:rPr>
              <w:t>フィリップス曲線の説明力が限定的（R²=0.657）であり、賃金の伸縮的な下方調整による需給均衡への回帰が十分に機能しない。不均衡が数量調整（失業）として残存する。</w:t>
            </w:r>
          </w:p>
        </w:tc>
      </w:tr>
    </w:tbl>
    <w:p w14:paraId="746D85DC" w14:textId="77777777" w:rsidR="003502BD" w:rsidRDefault="003502BD">
      <w:pPr>
        <w:spacing w:after="80"/>
      </w:pPr>
    </w:p>
    <w:p w14:paraId="28B52FF3" w14:textId="77777777" w:rsidR="003502BD" w:rsidRDefault="00000000">
      <w:pPr>
        <w:pBdr>
          <w:bottom w:val="single" w:sz="8" w:space="2" w:color="1A3A5C"/>
        </w:pBdr>
        <w:spacing w:before="200" w:after="100"/>
      </w:pPr>
      <w:r>
        <w:rPr>
          <w:b/>
          <w:bCs/>
          <w:color w:val="1A3A5C"/>
          <w:sz w:val="24"/>
          <w:szCs w:val="24"/>
        </w:rPr>
        <w:lastRenderedPageBreak/>
        <w:t>4. 政策的含意</w:t>
      </w:r>
    </w:p>
    <w:p w14:paraId="49FD4DD3" w14:textId="77777777" w:rsidR="003502BD" w:rsidRDefault="00000000">
      <w:pPr>
        <w:spacing w:after="100" w:line="288" w:lineRule="auto"/>
      </w:pPr>
      <w:r>
        <w:rPr>
          <w:color w:val="1F2937"/>
        </w:rPr>
        <w:t>本シミュレーションは、「人口減少＝人手不足＝労働市場タイト化」という単線的な想定が必ずしも成立しないことを定量的に示している。以下の3点が重要な政策示唆として導出される。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3502BD" w14:paraId="030D2E70" w14:textId="77777777">
        <w:tc>
          <w:tcPr>
            <w:tcW w:w="900" w:type="dxa"/>
            <w:tcBorders>
              <w:top w:val="none" w:sz="0" w:space="0" w:color="FFFFFF"/>
              <w:left w:val="none" w:sz="0" w:space="0" w:color="FFFFFF"/>
              <w:bottom w:val="none" w:sz="0" w:space="0" w:color="FFFFFF"/>
              <w:right w:val="none" w:sz="0" w:space="0" w:color="FFFFFF"/>
            </w:tcBorders>
            <w:shd w:val="clear" w:color="auto" w:fill="1A3A5C"/>
            <w:tcMar>
              <w:top w:w="80" w:type="dxa"/>
              <w:left w:w="80" w:type="dxa"/>
              <w:bottom w:w="80" w:type="dxa"/>
              <w:right w:w="60" w:type="dxa"/>
            </w:tcMar>
            <w:vAlign w:val="center"/>
          </w:tcPr>
          <w:p w14:paraId="159F7B9C" w14:textId="77777777" w:rsidR="003502BD" w:rsidRDefault="00000000">
            <w:pPr>
              <w:spacing w:after="80" w:line="276" w:lineRule="auto"/>
              <w:jc w:val="center"/>
            </w:pPr>
            <w:r>
              <w:rPr>
                <w:b/>
                <w:bCs/>
                <w:color w:val="FFFFFF"/>
                <w:sz w:val="19"/>
                <w:szCs w:val="19"/>
              </w:rPr>
              <w:t>施策１</w:t>
            </w:r>
          </w:p>
        </w:tc>
        <w:tc>
          <w:tcPr>
            <w:tcW w:w="8738" w:type="dxa"/>
            <w:tcBorders>
              <w:top w:val="none" w:sz="0" w:space="0" w:color="FFFFFF"/>
              <w:left w:val="none" w:sz="0" w:space="0" w:color="FFFFFF"/>
              <w:bottom w:val="single" w:sz="2" w:space="0" w:color="D1D5DB"/>
              <w:right w:val="none" w:sz="0" w:space="0" w:color="FFFFFF"/>
            </w:tcBorders>
            <w:shd w:val="clear" w:color="auto" w:fill="F4F6F9"/>
            <w:tcMar>
              <w:top w:w="80" w:type="dxa"/>
              <w:left w:w="140" w:type="dxa"/>
              <w:bottom w:w="80" w:type="dxa"/>
              <w:right w:w="80" w:type="dxa"/>
            </w:tcMar>
          </w:tcPr>
          <w:p w14:paraId="2255CEFD" w14:textId="77777777" w:rsidR="003502BD" w:rsidRDefault="00000000">
            <w:pPr>
              <w:spacing w:after="60" w:line="276" w:lineRule="auto"/>
            </w:pPr>
            <w:r>
              <w:rPr>
                <w:b/>
                <w:bCs/>
                <w:color w:val="1A3A5C"/>
              </w:rPr>
              <w:t>成長の「質」への着目</w:t>
            </w:r>
          </w:p>
          <w:p w14:paraId="50F2860B" w14:textId="77777777" w:rsidR="003502BD" w:rsidRDefault="00000000">
            <w:pPr>
              <w:spacing w:after="80" w:line="280" w:lineRule="auto"/>
            </w:pPr>
            <w:r>
              <w:rPr>
                <w:color w:val="1F2937"/>
                <w:sz w:val="19"/>
                <w:szCs w:val="19"/>
              </w:rPr>
              <w:t>単純な量的成長の追求だけでなく、成長の労働集約度（雇用吸収力）を政策目標に明示的に組み込む必要がある。資本集約化が進む業種と労働集約的なサービス産業との間のアンバランスを把握し、産業構造の転換を雇用政策と一体的に設計することが求められる。</w:t>
            </w:r>
          </w:p>
        </w:tc>
      </w:tr>
      <w:tr w:rsidR="003502BD" w14:paraId="59C107A8" w14:textId="77777777">
        <w:tc>
          <w:tcPr>
            <w:tcW w:w="900" w:type="dxa"/>
            <w:tcBorders>
              <w:top w:val="none" w:sz="0" w:space="0" w:color="FFFFFF"/>
              <w:left w:val="none" w:sz="0" w:space="0" w:color="FFFFFF"/>
              <w:bottom w:val="none" w:sz="0" w:space="0" w:color="FFFFFF"/>
              <w:right w:val="none" w:sz="0" w:space="0" w:color="FFFFFF"/>
            </w:tcBorders>
            <w:shd w:val="clear" w:color="auto" w:fill="1A3A5C"/>
            <w:tcMar>
              <w:top w:w="80" w:type="dxa"/>
              <w:left w:w="80" w:type="dxa"/>
              <w:bottom w:w="80" w:type="dxa"/>
              <w:right w:w="60" w:type="dxa"/>
            </w:tcMar>
            <w:vAlign w:val="center"/>
          </w:tcPr>
          <w:p w14:paraId="2BBB3B62" w14:textId="77777777" w:rsidR="003502BD" w:rsidRDefault="00000000">
            <w:pPr>
              <w:spacing w:after="80" w:line="276" w:lineRule="auto"/>
              <w:jc w:val="center"/>
            </w:pPr>
            <w:r>
              <w:rPr>
                <w:b/>
                <w:bCs/>
                <w:color w:val="FFFFFF"/>
                <w:sz w:val="19"/>
                <w:szCs w:val="19"/>
              </w:rPr>
              <w:t>施策２</w:t>
            </w:r>
          </w:p>
        </w:tc>
        <w:tc>
          <w:tcPr>
            <w:tcW w:w="8738" w:type="dxa"/>
            <w:tcBorders>
              <w:top w:val="none" w:sz="0" w:space="0" w:color="FFFFFF"/>
              <w:left w:val="none" w:sz="0" w:space="0" w:color="FFFFFF"/>
              <w:bottom w:val="single" w:sz="2" w:space="0" w:color="D1D5DB"/>
              <w:right w:val="none" w:sz="0" w:space="0" w:color="FFFFFF"/>
            </w:tcBorders>
            <w:shd w:val="clear" w:color="auto" w:fill="F4F6F9"/>
            <w:tcMar>
              <w:top w:w="80" w:type="dxa"/>
              <w:left w:w="140" w:type="dxa"/>
              <w:bottom w:w="80" w:type="dxa"/>
              <w:right w:w="80" w:type="dxa"/>
            </w:tcMar>
          </w:tcPr>
          <w:p w14:paraId="48E1D706" w14:textId="77777777" w:rsidR="003502BD" w:rsidRDefault="00000000">
            <w:pPr>
              <w:spacing w:after="60" w:line="276" w:lineRule="auto"/>
            </w:pPr>
            <w:r>
              <w:rPr>
                <w:b/>
                <w:bCs/>
                <w:color w:val="1A3A5C"/>
              </w:rPr>
              <w:t>労働移動支援・スキル・マッチングの強化</w:t>
            </w:r>
          </w:p>
          <w:p w14:paraId="1B02E968" w14:textId="77777777" w:rsidR="003502BD" w:rsidRDefault="00000000">
            <w:pPr>
              <w:spacing w:after="80" w:line="280" w:lineRule="auto"/>
            </w:pPr>
            <w:r>
              <w:rPr>
                <w:color w:val="1F2937"/>
                <w:sz w:val="19"/>
                <w:szCs w:val="19"/>
              </w:rPr>
              <w:t>失業率上昇の主因となりうる構造的ミスマッチを緩和するため、成長セクターへの円滑な労働移動を支援する政策（リスキリング・産業間の賃金格差縮小・職業紹介機能の高度化等）が不可欠である。</w:t>
            </w:r>
          </w:p>
        </w:tc>
      </w:tr>
      <w:tr w:rsidR="003502BD" w14:paraId="66F092AB" w14:textId="77777777">
        <w:tc>
          <w:tcPr>
            <w:tcW w:w="900" w:type="dxa"/>
            <w:tcBorders>
              <w:top w:val="none" w:sz="0" w:space="0" w:color="FFFFFF"/>
              <w:left w:val="none" w:sz="0" w:space="0" w:color="FFFFFF"/>
              <w:bottom w:val="none" w:sz="0" w:space="0" w:color="FFFFFF"/>
              <w:right w:val="none" w:sz="0" w:space="0" w:color="FFFFFF"/>
            </w:tcBorders>
            <w:shd w:val="clear" w:color="auto" w:fill="1A3A5C"/>
            <w:tcMar>
              <w:top w:w="80" w:type="dxa"/>
              <w:left w:w="80" w:type="dxa"/>
              <w:bottom w:w="80" w:type="dxa"/>
              <w:right w:w="60" w:type="dxa"/>
            </w:tcMar>
            <w:vAlign w:val="center"/>
          </w:tcPr>
          <w:p w14:paraId="5D4F9FCE" w14:textId="77777777" w:rsidR="003502BD" w:rsidRDefault="00000000">
            <w:pPr>
              <w:spacing w:after="80" w:line="276" w:lineRule="auto"/>
              <w:jc w:val="center"/>
            </w:pPr>
            <w:r>
              <w:rPr>
                <w:b/>
                <w:bCs/>
                <w:color w:val="FFFFFF"/>
                <w:sz w:val="19"/>
                <w:szCs w:val="19"/>
              </w:rPr>
              <w:t>施策３</w:t>
            </w:r>
          </w:p>
        </w:tc>
        <w:tc>
          <w:tcPr>
            <w:tcW w:w="8738" w:type="dxa"/>
            <w:tcBorders>
              <w:top w:val="none" w:sz="0" w:space="0" w:color="FFFFFF"/>
              <w:left w:val="none" w:sz="0" w:space="0" w:color="FFFFFF"/>
              <w:bottom w:val="single" w:sz="2" w:space="0" w:color="D1D5DB"/>
              <w:right w:val="none" w:sz="0" w:space="0" w:color="FFFFFF"/>
            </w:tcBorders>
            <w:shd w:val="clear" w:color="auto" w:fill="F4F6F9"/>
            <w:tcMar>
              <w:top w:w="80" w:type="dxa"/>
              <w:left w:w="140" w:type="dxa"/>
              <w:bottom w:w="80" w:type="dxa"/>
              <w:right w:w="80" w:type="dxa"/>
            </w:tcMar>
          </w:tcPr>
          <w:p w14:paraId="52B291A1" w14:textId="77777777" w:rsidR="003502BD" w:rsidRDefault="00000000">
            <w:pPr>
              <w:spacing w:after="60" w:line="276" w:lineRule="auto"/>
            </w:pPr>
            <w:r>
              <w:rPr>
                <w:b/>
                <w:bCs/>
                <w:color w:val="1A3A5C"/>
              </w:rPr>
              <w:t>賃金形成の柔軟性と分配の適正化</w:t>
            </w:r>
          </w:p>
          <w:p w14:paraId="2789A7A1" w14:textId="77777777" w:rsidR="003502BD" w:rsidRDefault="00000000">
            <w:pPr>
              <w:spacing w:after="80" w:line="280" w:lineRule="auto"/>
            </w:pPr>
            <w:r>
              <w:rPr>
                <w:color w:val="1F2937"/>
                <w:sz w:val="19"/>
                <w:szCs w:val="19"/>
              </w:rPr>
              <w:t>硬直的な賃金形成メカニズムが需給不均衡を長期化させるリスクがある。最低賃金政策・春闘交渉の枠組みを通じた賃金の伸縮性の確保とともに、GDPの分配上の観点から労働分配率の維持・改善を図る必要がある。</w:t>
            </w:r>
          </w:p>
        </w:tc>
      </w:tr>
    </w:tbl>
    <w:p w14:paraId="36379964" w14:textId="77777777" w:rsidR="003502BD" w:rsidRDefault="003502BD">
      <w:pPr>
        <w:spacing w:after="80"/>
      </w:pPr>
    </w:p>
    <w:p w14:paraId="0E04610E" w14:textId="77777777" w:rsidR="003502BD" w:rsidRDefault="00000000">
      <w:pPr>
        <w:pBdr>
          <w:bottom w:val="single" w:sz="8" w:space="2" w:color="1A3A5C"/>
        </w:pBdr>
        <w:spacing w:before="200" w:after="100"/>
      </w:pPr>
      <w:r>
        <w:rPr>
          <w:b/>
          <w:bCs/>
          <w:color w:val="1A3A5C"/>
          <w:sz w:val="24"/>
          <w:szCs w:val="24"/>
        </w:rPr>
        <w:t>5. モデルの限界と今後の課題</w:t>
      </w:r>
    </w:p>
    <w:p w14:paraId="590C13C0" w14:textId="77777777" w:rsidR="003502BD" w:rsidRDefault="00000000">
      <w:pPr>
        <w:pStyle w:val="a4"/>
        <w:numPr>
          <w:ilvl w:val="0"/>
          <w:numId w:val="2"/>
        </w:numPr>
        <w:spacing w:before="40" w:after="60" w:line="276" w:lineRule="auto"/>
      </w:pPr>
      <w:r>
        <w:rPr>
          <w:color w:val="1F2937"/>
          <w:sz w:val="19"/>
          <w:szCs w:val="19"/>
        </w:rPr>
        <w:t>労働供給・需要の異質性（性・年齢・産業別）が非明示的であり、シニア・女性層の参入障壁や産業間ミスマッチを直接モデル化していない。</w:t>
      </w:r>
    </w:p>
    <w:p w14:paraId="3F5E9965" w14:textId="77777777" w:rsidR="003502BD" w:rsidRDefault="00000000">
      <w:pPr>
        <w:pStyle w:val="a4"/>
        <w:numPr>
          <w:ilvl w:val="0"/>
          <w:numId w:val="2"/>
        </w:numPr>
        <w:spacing w:before="40" w:after="60" w:line="276" w:lineRule="auto"/>
      </w:pPr>
      <w:r>
        <w:rPr>
          <w:color w:val="1F2937"/>
          <w:sz w:val="19"/>
          <w:szCs w:val="19"/>
        </w:rPr>
        <w:t>フォワードルッキングな期待形成を含まず、Lucas批判に対して頑健でない。今後はDSGE的アプローチへの拡張が必要である。</w:t>
      </w:r>
    </w:p>
    <w:p w14:paraId="2B2FA011" w14:textId="77777777" w:rsidR="003502BD" w:rsidRDefault="00000000">
      <w:pPr>
        <w:pStyle w:val="a4"/>
        <w:numPr>
          <w:ilvl w:val="0"/>
          <w:numId w:val="2"/>
        </w:numPr>
        <w:spacing w:before="40" w:after="60" w:line="276" w:lineRule="auto"/>
      </w:pPr>
      <w:r>
        <w:rPr>
          <w:color w:val="1F2937"/>
          <w:sz w:val="19"/>
          <w:szCs w:val="19"/>
        </w:rPr>
        <w:t>サーチ・マッチング理論（Mortensen-</w:t>
      </w:r>
      <w:proofErr w:type="spellStart"/>
      <w:r>
        <w:rPr>
          <w:color w:val="1F2937"/>
          <w:sz w:val="19"/>
          <w:szCs w:val="19"/>
        </w:rPr>
        <w:t>Pissarides</w:t>
      </w:r>
      <w:proofErr w:type="spellEnd"/>
      <w:r>
        <w:rPr>
          <w:color w:val="1F2937"/>
          <w:sz w:val="19"/>
          <w:szCs w:val="19"/>
        </w:rPr>
        <w:t>型）の未導入により、ベバリッジ曲線シフトとして現れる構造的失業の把握に限界がある。</w:t>
      </w:r>
    </w:p>
    <w:p w14:paraId="5D1C86FD" w14:textId="77777777" w:rsidR="003502BD" w:rsidRDefault="00000000">
      <w:pPr>
        <w:pStyle w:val="a4"/>
        <w:numPr>
          <w:ilvl w:val="0"/>
          <w:numId w:val="2"/>
        </w:numPr>
        <w:spacing w:before="40" w:after="60" w:line="276" w:lineRule="auto"/>
      </w:pPr>
      <w:r>
        <w:rPr>
          <w:color w:val="1F2937"/>
          <w:sz w:val="19"/>
          <w:szCs w:val="19"/>
        </w:rPr>
        <w:t>外生シナリオが単一（内閣府過去投影ケース）に限られており、成長率・物価・交易条件の感度分析（複数シナリオ分析）が未実施である。</w:t>
      </w:r>
    </w:p>
    <w:p w14:paraId="4AFD3D5D" w14:textId="77777777" w:rsidR="00FA09F8" w:rsidRDefault="00FA09F8">
      <w:pPr>
        <w:widowControl/>
        <w:rPr>
          <w:color w:val="6B7280"/>
          <w:sz w:val="16"/>
          <w:szCs w:val="16"/>
        </w:rPr>
      </w:pPr>
      <w:r>
        <w:rPr>
          <w:color w:val="6B7280"/>
          <w:sz w:val="16"/>
          <w:szCs w:val="16"/>
        </w:rPr>
        <w:br w:type="page"/>
      </w:r>
    </w:p>
    <w:p w14:paraId="5D798798" w14:textId="12889261" w:rsidR="00FA09F8" w:rsidRDefault="00FA09F8" w:rsidP="00FA09F8">
      <w:pPr>
        <w:pBdr>
          <w:bottom w:val="single" w:sz="8" w:space="2" w:color="1A3A5C"/>
        </w:pBdr>
        <w:spacing w:before="200" w:after="100"/>
      </w:pPr>
      <w:r>
        <w:rPr>
          <w:rFonts w:hint="eastAsia"/>
          <w:b/>
          <w:bCs/>
          <w:color w:val="1A3A5C"/>
          <w:sz w:val="24"/>
          <w:szCs w:val="24"/>
        </w:rPr>
        <w:lastRenderedPageBreak/>
        <w:t>（参考） モデルのフローチャート</w:t>
      </w:r>
    </w:p>
    <w:p w14:paraId="3B3AE27E" w14:textId="7851C127" w:rsidR="00FA09F8" w:rsidRPr="00FA09F8" w:rsidRDefault="00FA09F8" w:rsidP="00FA09F8">
      <w:pPr>
        <w:pBdr>
          <w:top w:val="single" w:sz="4" w:space="2" w:color="D1D5DB"/>
        </w:pBdr>
        <w:spacing w:before="60" w:after="60" w:line="252" w:lineRule="auto"/>
      </w:pPr>
      <w:r w:rsidRPr="00FA09F8">
        <w:rPr>
          <w:noProof/>
        </w:rPr>
        <w:drawing>
          <wp:inline distT="0" distB="0" distL="0" distR="0" wp14:anchorId="6C48ADA7" wp14:editId="63882073">
            <wp:extent cx="6120130" cy="3578225"/>
            <wp:effectExtent l="0" t="0" r="0" b="3175"/>
            <wp:docPr id="206231329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3578225"/>
                    </a:xfrm>
                    <a:prstGeom prst="rect">
                      <a:avLst/>
                    </a:prstGeom>
                    <a:noFill/>
                    <a:ln>
                      <a:noFill/>
                    </a:ln>
                  </pic:spPr>
                </pic:pic>
              </a:graphicData>
            </a:graphic>
          </wp:inline>
        </w:drawing>
      </w:r>
    </w:p>
    <w:p w14:paraId="451260DC" w14:textId="77777777" w:rsidR="00FA09F8" w:rsidRDefault="00FA09F8" w:rsidP="00FA09F8">
      <w:pPr>
        <w:spacing w:after="120"/>
      </w:pPr>
    </w:p>
    <w:p w14:paraId="671F7FE1" w14:textId="77777777" w:rsidR="00FA09F8" w:rsidRDefault="00FA09F8" w:rsidP="00FA09F8">
      <w:pPr>
        <w:spacing w:after="120"/>
      </w:pPr>
    </w:p>
    <w:p w14:paraId="5F2B2DC4" w14:textId="77777777" w:rsidR="00FA09F8" w:rsidRDefault="00FA09F8" w:rsidP="00FA09F8">
      <w:pPr>
        <w:spacing w:after="120"/>
      </w:pPr>
    </w:p>
    <w:p w14:paraId="6B4512CB" w14:textId="77777777" w:rsidR="00FA09F8" w:rsidRDefault="00FA09F8" w:rsidP="00FA09F8">
      <w:pPr>
        <w:spacing w:after="120"/>
      </w:pPr>
    </w:p>
    <w:p w14:paraId="0F44B523" w14:textId="77777777" w:rsidR="00FA09F8" w:rsidRDefault="00FA09F8" w:rsidP="00FA09F8">
      <w:pPr>
        <w:spacing w:after="120"/>
      </w:pPr>
    </w:p>
    <w:p w14:paraId="5C884B6D" w14:textId="77777777" w:rsidR="00FA09F8" w:rsidRDefault="00FA09F8" w:rsidP="00FA09F8">
      <w:pPr>
        <w:spacing w:after="120"/>
      </w:pPr>
    </w:p>
    <w:p w14:paraId="09AB3B78" w14:textId="77777777" w:rsidR="00FA09F8" w:rsidRDefault="00FA09F8" w:rsidP="00FA09F8">
      <w:pPr>
        <w:spacing w:after="120"/>
      </w:pPr>
    </w:p>
    <w:p w14:paraId="58A4648C" w14:textId="77777777" w:rsidR="006C3A55" w:rsidRDefault="006C3A55" w:rsidP="00FA09F8">
      <w:pPr>
        <w:spacing w:after="120"/>
      </w:pPr>
    </w:p>
    <w:p w14:paraId="0FEF9FC5" w14:textId="77777777" w:rsidR="006C3A55" w:rsidRDefault="006C3A55" w:rsidP="00FA09F8">
      <w:pPr>
        <w:spacing w:after="120"/>
      </w:pPr>
    </w:p>
    <w:p w14:paraId="57ABFC06" w14:textId="77777777" w:rsidR="006C3A55" w:rsidRDefault="006C3A55" w:rsidP="00FA09F8">
      <w:pPr>
        <w:spacing w:after="120"/>
      </w:pPr>
    </w:p>
    <w:p w14:paraId="4E8417C3" w14:textId="77777777" w:rsidR="006C3A55" w:rsidRDefault="006C3A55" w:rsidP="00FA09F8">
      <w:pPr>
        <w:spacing w:after="120"/>
      </w:pPr>
    </w:p>
    <w:p w14:paraId="0B7C0182" w14:textId="77777777" w:rsidR="006C3A55" w:rsidRDefault="006C3A55" w:rsidP="00FA09F8">
      <w:pPr>
        <w:spacing w:after="120"/>
      </w:pPr>
    </w:p>
    <w:p w14:paraId="6063D29D" w14:textId="77777777" w:rsidR="006C3A55" w:rsidRDefault="006C3A55" w:rsidP="00FA09F8">
      <w:pPr>
        <w:spacing w:after="120"/>
        <w:rPr>
          <w:rFonts w:hint="eastAsia"/>
        </w:rPr>
      </w:pPr>
    </w:p>
    <w:p w14:paraId="72041EB2" w14:textId="7093C1A6" w:rsidR="003502BD" w:rsidRPr="00FA09F8" w:rsidRDefault="00FA09F8" w:rsidP="00FA09F8">
      <w:pPr>
        <w:pBdr>
          <w:top w:val="single" w:sz="4" w:space="2" w:color="D1D5DB"/>
        </w:pBdr>
        <w:spacing w:before="60" w:after="60" w:line="252" w:lineRule="auto"/>
      </w:pPr>
      <w:r>
        <w:rPr>
          <w:color w:val="6B7280"/>
          <w:sz w:val="16"/>
          <w:szCs w:val="16"/>
        </w:rPr>
        <w:t>（注）本資料は個人の見解であり、所属する組織の見解を示すものではない。数値はモデルによるシミュレーション値であり、予測値としての確実性を保証するものではない。実績値の出所：国立社会保障・人口問題研究所「将来推計人口」、内閣府「四半期別GDP統計・中長期試算」、総務省「労働力調査・消費者物価指数」、厚生労働省「毎月勤労統計調査」、日本銀行「企業物価指数」。</w:t>
      </w:r>
    </w:p>
    <w:sectPr w:rsidR="003502BD" w:rsidRPr="00FA09F8">
      <w:footerReference w:type="default" r:id="rId10"/>
      <w:pgSz w:w="11906" w:h="16838"/>
      <w:pgMar w:top="1134" w:right="1134" w:bottom="13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ACF5D" w14:textId="77777777" w:rsidR="00CE51EF" w:rsidRDefault="00CE51EF">
      <w:r>
        <w:separator/>
      </w:r>
    </w:p>
  </w:endnote>
  <w:endnote w:type="continuationSeparator" w:id="0">
    <w:p w14:paraId="69088448" w14:textId="77777777" w:rsidR="00CE51EF" w:rsidRDefault="00CE5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594E5" w14:textId="77777777" w:rsidR="003502BD" w:rsidRDefault="00000000">
    <w:pPr>
      <w:pBdr>
        <w:top w:val="single" w:sz="4" w:space="2" w:color="D1D5DB"/>
      </w:pBdr>
      <w:jc w:val="right"/>
    </w:pPr>
    <w:r>
      <w:rPr>
        <w:color w:val="6B7280"/>
        <w:sz w:val="14"/>
        <w:szCs w:val="14"/>
      </w:rPr>
      <w:t xml:space="preserve">簡易モデルによる労働市場の将来推計　エグゼクティブ・サマリー　　</w:t>
    </w:r>
    <w:r>
      <w:rPr>
        <w:color w:val="6B7280"/>
        <w:sz w:val="14"/>
        <w:szCs w:val="14"/>
      </w:rPr>
      <w:fldChar w:fldCharType="begin"/>
    </w:r>
    <w:r>
      <w:rPr>
        <w:color w:val="6B7280"/>
        <w:sz w:val="14"/>
        <w:szCs w:val="14"/>
      </w:rPr>
      <w:instrText>PAGE</w:instrText>
    </w:r>
    <w:r>
      <w:rPr>
        <w:color w:val="6B7280"/>
        <w:sz w:val="14"/>
        <w:szCs w:val="14"/>
      </w:rPr>
      <w:fldChar w:fldCharType="separate"/>
    </w:r>
    <w:r w:rsidR="00865ECA">
      <w:rPr>
        <w:noProof/>
        <w:color w:val="6B7280"/>
        <w:sz w:val="14"/>
        <w:szCs w:val="14"/>
      </w:rPr>
      <w:t>1</w:t>
    </w:r>
    <w:r>
      <w:rPr>
        <w:color w:val="6B72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1E2D4" w14:textId="77777777" w:rsidR="00CE51EF" w:rsidRDefault="00CE51EF">
      <w:r>
        <w:separator/>
      </w:r>
    </w:p>
  </w:footnote>
  <w:footnote w:type="continuationSeparator" w:id="0">
    <w:p w14:paraId="580338CA" w14:textId="77777777" w:rsidR="00CE51EF" w:rsidRDefault="00CE51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3B34"/>
    <w:multiLevelType w:val="hybridMultilevel"/>
    <w:tmpl w:val="EE0CEA12"/>
    <w:lvl w:ilvl="0" w:tplc="7A522E7E">
      <w:start w:val="1"/>
      <w:numFmt w:val="bullet"/>
      <w:lvlText w:val="・"/>
      <w:lvlJc w:val="left"/>
      <w:pPr>
        <w:ind w:left="420" w:hanging="280"/>
      </w:pPr>
    </w:lvl>
    <w:lvl w:ilvl="1" w:tplc="F43C6040">
      <w:numFmt w:val="decimal"/>
      <w:lvlText w:val=""/>
      <w:lvlJc w:val="left"/>
    </w:lvl>
    <w:lvl w:ilvl="2" w:tplc="E974AD9C">
      <w:numFmt w:val="decimal"/>
      <w:lvlText w:val=""/>
      <w:lvlJc w:val="left"/>
    </w:lvl>
    <w:lvl w:ilvl="3" w:tplc="E31404E4">
      <w:numFmt w:val="decimal"/>
      <w:lvlText w:val=""/>
      <w:lvlJc w:val="left"/>
    </w:lvl>
    <w:lvl w:ilvl="4" w:tplc="074C661A">
      <w:numFmt w:val="decimal"/>
      <w:lvlText w:val=""/>
      <w:lvlJc w:val="left"/>
    </w:lvl>
    <w:lvl w:ilvl="5" w:tplc="81C4D324">
      <w:numFmt w:val="decimal"/>
      <w:lvlText w:val=""/>
      <w:lvlJc w:val="left"/>
    </w:lvl>
    <w:lvl w:ilvl="6" w:tplc="8FBCA94A">
      <w:numFmt w:val="decimal"/>
      <w:lvlText w:val=""/>
      <w:lvlJc w:val="left"/>
    </w:lvl>
    <w:lvl w:ilvl="7" w:tplc="09D6AB70">
      <w:numFmt w:val="decimal"/>
      <w:lvlText w:val=""/>
      <w:lvlJc w:val="left"/>
    </w:lvl>
    <w:lvl w:ilvl="8" w:tplc="7C52C48C">
      <w:numFmt w:val="decimal"/>
      <w:lvlText w:val=""/>
      <w:lvlJc w:val="left"/>
    </w:lvl>
  </w:abstractNum>
  <w:abstractNum w:abstractNumId="1" w15:restartNumberingAfterBreak="0">
    <w:nsid w:val="48F8147E"/>
    <w:multiLevelType w:val="hybridMultilevel"/>
    <w:tmpl w:val="3258C31C"/>
    <w:lvl w:ilvl="0" w:tplc="824AE156">
      <w:start w:val="1"/>
      <w:numFmt w:val="bullet"/>
      <w:lvlText w:val="●"/>
      <w:lvlJc w:val="left"/>
      <w:pPr>
        <w:ind w:left="720" w:hanging="360"/>
      </w:pPr>
    </w:lvl>
    <w:lvl w:ilvl="1" w:tplc="526E9D7A">
      <w:start w:val="1"/>
      <w:numFmt w:val="bullet"/>
      <w:lvlText w:val="○"/>
      <w:lvlJc w:val="left"/>
      <w:pPr>
        <w:ind w:left="1440" w:hanging="360"/>
      </w:pPr>
    </w:lvl>
    <w:lvl w:ilvl="2" w:tplc="E780DF04">
      <w:start w:val="1"/>
      <w:numFmt w:val="bullet"/>
      <w:lvlText w:val="■"/>
      <w:lvlJc w:val="left"/>
      <w:pPr>
        <w:ind w:left="2160" w:hanging="360"/>
      </w:pPr>
    </w:lvl>
    <w:lvl w:ilvl="3" w:tplc="303E2338">
      <w:start w:val="1"/>
      <w:numFmt w:val="bullet"/>
      <w:lvlText w:val="●"/>
      <w:lvlJc w:val="left"/>
      <w:pPr>
        <w:ind w:left="2880" w:hanging="360"/>
      </w:pPr>
    </w:lvl>
    <w:lvl w:ilvl="4" w:tplc="A4FE48AA">
      <w:start w:val="1"/>
      <w:numFmt w:val="bullet"/>
      <w:lvlText w:val="○"/>
      <w:lvlJc w:val="left"/>
      <w:pPr>
        <w:ind w:left="3600" w:hanging="360"/>
      </w:pPr>
    </w:lvl>
    <w:lvl w:ilvl="5" w:tplc="34E80FC6">
      <w:start w:val="1"/>
      <w:numFmt w:val="bullet"/>
      <w:lvlText w:val="■"/>
      <w:lvlJc w:val="left"/>
      <w:pPr>
        <w:ind w:left="4320" w:hanging="360"/>
      </w:pPr>
    </w:lvl>
    <w:lvl w:ilvl="6" w:tplc="7D1E5522">
      <w:start w:val="1"/>
      <w:numFmt w:val="bullet"/>
      <w:lvlText w:val="●"/>
      <w:lvlJc w:val="left"/>
      <w:pPr>
        <w:ind w:left="5040" w:hanging="360"/>
      </w:pPr>
    </w:lvl>
    <w:lvl w:ilvl="7" w:tplc="6284C73E">
      <w:start w:val="1"/>
      <w:numFmt w:val="bullet"/>
      <w:lvlText w:val="●"/>
      <w:lvlJc w:val="left"/>
      <w:pPr>
        <w:ind w:left="5760" w:hanging="360"/>
      </w:pPr>
    </w:lvl>
    <w:lvl w:ilvl="8" w:tplc="442259EC">
      <w:start w:val="1"/>
      <w:numFmt w:val="bullet"/>
      <w:lvlText w:val="●"/>
      <w:lvlJc w:val="left"/>
      <w:pPr>
        <w:ind w:left="6480" w:hanging="360"/>
      </w:pPr>
    </w:lvl>
  </w:abstractNum>
  <w:num w:numId="1" w16cid:durableId="1006978497">
    <w:abstractNumId w:val="1"/>
    <w:lvlOverride w:ilvl="0">
      <w:startOverride w:val="1"/>
    </w:lvlOverride>
  </w:num>
  <w:num w:numId="2" w16cid:durableId="10046269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2BD"/>
    <w:rsid w:val="002C6D6B"/>
    <w:rsid w:val="003502BD"/>
    <w:rsid w:val="006B3312"/>
    <w:rsid w:val="006C3A55"/>
    <w:rsid w:val="007F7F80"/>
    <w:rsid w:val="00841CFB"/>
    <w:rsid w:val="00865ECA"/>
    <w:rsid w:val="00BA1AA2"/>
    <w:rsid w:val="00CE51EF"/>
    <w:rsid w:val="00E43E67"/>
    <w:rsid w:val="00FA09F8"/>
    <w:rsid w:val="00FB55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510715"/>
  <w15:docId w15:val="{F83D52AA-177D-4A23-BEA3-4F62B4858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09F8"/>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400</Words>
  <Characters>2280</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Manabu WATANABE</cp:lastModifiedBy>
  <cp:revision>6</cp:revision>
  <cp:lastPrinted>2026-05-23T05:14:00Z</cp:lastPrinted>
  <dcterms:created xsi:type="dcterms:W3CDTF">2026-05-23T04:41:00Z</dcterms:created>
  <dcterms:modified xsi:type="dcterms:W3CDTF">2026-05-23T05:20:00Z</dcterms:modified>
</cp:coreProperties>
</file>