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g" ContentType="image/jpg"/>
  <Default Extension="jpeg" ContentType="image/jpeg"/>
  <Default Extension="tiff" ContentType="image/tiff"/>
  <Default Extension="tif" ContentType="image/tif"/>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body>
    <w:p>
      <w:pPr>
        <w:pStyle w:val="Heading1"/>
        <w:keepNext/>
      </w:pPr>
      <w:r>
        <w:rPr/>
        <w:t xml:space="preserve">IME 775 — Course Project Topics</w:t>
      </w:r>
    </w:p>
    <w:p>
      <w:pPr>
        <w:pStyle w:val="Heading2"/>
        <w:keepNext/>
      </w:pPr>
      <w:r>
        <w:rPr/>
        <w:t xml:space="preserve">Mathematical Foundations and Architecture Experimentation in Healthcare, Neuroscience, and Biological Networks</w:t>
      </w:r>
    </w:p>
    <w:p>
      <w:pPr>
        <w:pBdr>
          <w:bottom w:val="single" w:sz="6" w:space="1" w:color="auto"/>
        </w:pBdr>
        <w:spacing w:before="0" w:after="0" w:line="1" w:lineRule="auto"/>
      </w:pPr>
    </w:p>
    <w:p>
      <w:pPr>
        <w:pStyle w:val="Heading2"/>
        <w:keepNext/>
      </w:pPr>
      <w:r>
        <w:rPr/>
        <w:t xml:space="preserve">Overview</w:t>
      </w:r>
    </w:p>
    <w:p>
      <w:pPr/>
      <w:r>
        <w:rPr/>
        <w:t xml:space="preserve">The course project is an opportunity to apply the mathematical and architectural tools developed throughout IME 775 to open, real-world problems in high-impact scientific domains. Each project requires you to:</w:t>
      </w:r>
    </w:p>
    <w:p>
      <w:pPr>
        <w:spacing w:before="0" w:after="0"/>
        <w:pStyle w:val="ListParagraph"/>
        <w:ind w:left="720"/>
        <w:numPr>
          <w:ilvl w:val="0"/>
          <w:numId w:val="1"/>
        </w:numPr>
      </w:pPr>
      <w:r>
        <w:rPr/>
        <w:t xml:space="preserve">Derive and explain the relevant mathematics from first principles (grounded in course content).</w:t>
      </w:r>
    </w:p>
    <w:p>
      <w:pPr>
        <w:spacing w:before="0" w:after="0"/>
        <w:pStyle w:val="ListParagraph"/>
        <w:ind w:left="720"/>
        <w:numPr>
          <w:ilvl w:val="0"/>
          <w:numId w:val="1"/>
        </w:numPr>
      </w:pPr>
      <w:r>
        <w:rPr/>
        <w:t xml:space="preserve">Implement at least three architectural variants in PyTorch and compare them systematically.</w:t>
      </w:r>
    </w:p>
    <w:p>
      <w:pPr>
        <w:spacing w:before="0" w:after="0"/>
        <w:pStyle w:val="ListParagraph"/>
        <w:ind w:left="720"/>
        <w:numPr>
          <w:ilvl w:val="0"/>
          <w:numId w:val="1"/>
        </w:numPr>
      </w:pPr>
      <w:r>
        <w:rPr/>
        <w:t xml:space="preserve">Run principled ablation experiments that connect mathematical properties to empirical results.</w:t>
      </w:r>
    </w:p>
    <w:p>
      <w:pPr>
        <w:spacing w:before="0" w:after="0"/>
        <w:pStyle w:val="ListParagraph"/>
        <w:ind w:left="720"/>
        <w:numPr>
          <w:ilvl w:val="0"/>
          <w:numId w:val="1"/>
        </w:numPr>
      </w:pPr>
      <w:r>
        <w:rPr/>
        <w:t xml:space="preserve">Communicate findings clearly in a written report and live presentation.</w:t>
      </w:r>
    </w:p>
    <w:p>
      <w:pPr/>
      <w:r>
        <w:rPr/>
        <w:t xml:space="preserve">Projects are individual or in groups of two. All five topics below are pre-approved; groups may also propose a custom topic subject to instructor approval by </w:t>
      </w:r>
      <w:r>
        <w:rPr>
          <w:b/>
        </w:rPr>
        <w:t xml:space="preserve">Week 10</w:t>
      </w:r>
      <w:r>
        <w:rPr/>
        <w:t xml:space="preserve">.</w:t>
      </w:r>
    </w:p>
    <w:p>
      <w:pPr>
        <w:pBdr>
          <w:bottom w:val="single" w:sz="6" w:space="1" w:color="auto"/>
        </w:pBdr>
        <w:spacing w:before="0" w:after="0" w:line="1" w:lineRule="auto"/>
      </w:pPr>
    </w:p>
    <w:p>
      <w:pPr>
        <w:pStyle w:val="Heading2"/>
        <w:keepNext/>
      </w:pPr>
      <w:r>
        <w:rPr/>
        <w:t xml:space="preserve">Shared Submission Guidelines</w:t>
      </w:r>
    </w:p>
    <w:tbl>
      <w:tblPr>
        <w:tblStyle w:val="TableNorm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200" w:type="dxa"/>
        </w:tblCellMar>
        <w:tblLook w:val="04A0" w:firstRow="0" w:lastRow="0" w:firstColumn="0" w:lastColumn="0" w:noHBand="1" w:noVBand="1"/>
      </w:tblPr>
      <w:tblGrid>
        <w:gridCol w:w="3333.33333333333"/>
        <w:gridCol w:w="3333.33333333333"/>
        <w:gridCol w:w="3333.33333333333"/>
      </w:tblGrid>
      <w:tr>
        <w:tc>
          <w:tcPr/>
          <w:p>
            <w:pPr>
              <w:spacing w:before="0" w:after="0"/>
            </w:pPr>
            <w:r>
              <w:rPr>
                <w:b/>
              </w:rPr>
              <w:t xml:space="preserve">
            Component
          </w:t>
            </w:r>
          </w:p>
        </w:tc>
        <w:tc>
          <w:tcPr/>
          <w:p>
            <w:pPr>
              <w:spacing w:before="0" w:after="0"/>
            </w:pPr>
            <w:r>
              <w:rPr>
                <w:b/>
              </w:rPr>
              <w:t xml:space="preserve">
            Format
          </w:t>
            </w:r>
          </w:p>
        </w:tc>
        <w:tc>
          <w:tcPr/>
          <w:p>
            <w:pPr>
              <w:spacing w:before="0" w:after="0"/>
            </w:pPr>
            <w:r>
              <w:rPr>
                <w:b/>
              </w:rPr>
              <w:t xml:space="preserve">
            Weight
          </w:t>
            </w:r>
          </w:p>
        </w:tc>
      </w:tr>
      <w:tr>
        <w:tc>
          <w:tcPr/>
          <w:p>
            <w:pPr>
              <w:spacing w:before="0" w:after="0"/>
            </w:pPr>
            <w:r>
              <w:rPr/>
              <w:t xml:space="preserve">Written Report</w:t>
            </w:r>
          </w:p>
        </w:tc>
        <w:tc>
          <w:tcPr/>
          <w:p>
            <w:pPr>
              <w:spacing w:before="0" w:after="0"/>
            </w:pPr>
            <w:r>
              <w:rPr/>
              <w:t xml:space="preserve">6–8 pages, LaTeX or Markdown, excluding references and appendices</w:t>
            </w:r>
          </w:p>
        </w:tc>
        <w:tc>
          <w:tcPr/>
          <w:p>
            <w:pPr>
              <w:spacing w:before="0" w:after="0"/>
            </w:pPr>
            <w:r>
              <w:rPr/>
              <w:t xml:space="preserve">40%</w:t>
            </w:r>
          </w:p>
        </w:tc>
      </w:tr>
      <w:tr>
        <w:tc>
          <w:tcPr/>
          <w:p>
            <w:pPr>
              <w:spacing w:before="0" w:after="0"/>
            </w:pPr>
            <w:r>
              <w:rPr/>
              <w:t xml:space="preserve">Jupyter Notebook</w:t>
            </w:r>
          </w:p>
        </w:tc>
        <w:tc>
          <w:tcPr/>
          <w:p>
            <w:pPr>
              <w:spacing w:before="0" w:after="0"/>
            </w:pPr>
            <w:r>
              <w:rPr/>
              <w:t xml:space="preserve">Reproducible, fully executed, submitted as </w:t>
            </w:r>
            <w:r>
              <w:rPr>
                <w:rStyle w:val="Code"/>
              </w:rPr>
              <w:t xml:space="preserve">.ipynb</w:t>
            </w:r>
            <w:r>
              <w:rPr/>
              <w:t xml:space="preserve"> and rendered </w:t>
            </w:r>
            <w:r>
              <w:rPr>
                <w:rStyle w:val="Code"/>
              </w:rPr>
              <w:t xml:space="preserve">.html</w:t>
            </w:r>
          </w:p>
        </w:tc>
        <w:tc>
          <w:tcPr/>
          <w:p>
            <w:pPr>
              <w:spacing w:before="0" w:after="0"/>
            </w:pPr>
            <w:r>
              <w:rPr/>
              <w:t xml:space="preserve">30%</w:t>
            </w:r>
          </w:p>
        </w:tc>
      </w:tr>
      <w:tr>
        <w:tc>
          <w:tcPr/>
          <w:p>
            <w:pPr>
              <w:spacing w:before="0" w:after="0"/>
            </w:pPr>
            <w:r>
              <w:rPr/>
              <w:t xml:space="preserve">Presentation</w:t>
            </w:r>
          </w:p>
        </w:tc>
        <w:tc>
          <w:tcPr/>
          <w:p>
            <w:pPr>
              <w:spacing w:before="0" w:after="0"/>
            </w:pPr>
            <w:r>
              <w:rPr/>
              <w:t xml:space="preserve">10-minute oral + 5-minute Q&amp;A</w:t>
            </w:r>
          </w:p>
        </w:tc>
        <w:tc>
          <w:tcPr/>
          <w:p>
            <w:pPr>
              <w:spacing w:before="0" w:after="0"/>
            </w:pPr>
            <w:r>
              <w:rPr/>
              <w:t xml:space="preserve">20%</w:t>
            </w:r>
          </w:p>
        </w:tc>
      </w:tr>
      <w:tr>
        <w:tc>
          <w:tcPr/>
          <w:p>
            <w:pPr>
              <w:spacing w:before="0" w:after="0"/>
            </w:pPr>
            <w:r>
              <w:rPr/>
              <w:t xml:space="preserve">Peer Review</w:t>
            </w:r>
          </w:p>
        </w:tc>
        <w:tc>
          <w:tcPr/>
          <w:p>
            <w:pPr>
              <w:spacing w:before="0" w:after="0"/>
            </w:pPr>
            <w:r>
              <w:rPr/>
              <w:t xml:space="preserve">One-page structured review of another group's report</w:t>
            </w:r>
          </w:p>
        </w:tc>
        <w:tc>
          <w:tcPr/>
          <w:p>
            <w:pPr>
              <w:spacing w:before="0" w:after="0"/>
            </w:pPr>
            <w:r>
              <w:rPr/>
              <w:t xml:space="preserve">10%</w:t>
            </w:r>
          </w:p>
        </w:tc>
      </w:tr>
    </w:tbl>
    <w:p>
      <w:pPr/>
      <w:r>
        <w:rPr>
          <w:b/>
        </w:rPr>
        <w:t xml:space="preserve">Report sections (required for all projects):</w:t>
      </w:r>
    </w:p>
    <w:p>
      <w:pPr>
        <w:spacing w:before="0" w:after="0"/>
        <w:pStyle w:val="ListParagraph"/>
        <w:ind w:left="720"/>
        <w:numPr>
          <w:ilvl w:val="0"/>
          <w:numId w:val="2"/>
        </w:numPr>
      </w:pPr>
      <w:r>
        <w:rPr>
          <w:b/>
        </w:rPr>
        <w:t xml:space="preserve">Introduction</w:t>
      </w:r>
      <w:r>
        <w:rPr/>
        <w:t xml:space="preserve"> — motivation, problem statement, research question.</w:t>
      </w:r>
    </w:p>
    <w:p>
      <w:pPr>
        <w:spacing w:before="0" w:after="0"/>
        <w:pStyle w:val="ListParagraph"/>
        <w:ind w:left="720"/>
        <w:numPr>
          <w:ilvl w:val="0"/>
          <w:numId w:val="2"/>
        </w:numPr>
      </w:pPr>
      <w:r>
        <w:rPr>
          <w:b/>
        </w:rPr>
        <w:t xml:space="preserve">Mathematical Foundations</w:t>
      </w:r>
      <w:r>
        <w:rPr/>
        <w:t xml:space="preserve"> — derive the key mathematical object(s) used (loss function, decomposition, probabilistic model) from the definitions covered in class. Show all steps; cite specific lecture notes or textbook chapters.</w:t>
      </w:r>
    </w:p>
    <w:p>
      <w:pPr>
        <w:spacing w:before="0" w:after="0"/>
        <w:pStyle w:val="ListParagraph"/>
        <w:ind w:left="720"/>
        <w:numPr>
          <w:ilvl w:val="0"/>
          <w:numId w:val="2"/>
        </w:numPr>
      </w:pPr>
      <w:r>
        <w:rPr>
          <w:b/>
        </w:rPr>
        <w:t xml:space="preserve">Data and Preprocessing</w:t>
      </w:r>
      <w:r>
        <w:rPr/>
        <w:t xml:space="preserve"> — dataset description, relevant statistics, any class imbalance or noise considerations.</w:t>
      </w:r>
    </w:p>
    <w:p>
      <w:pPr>
        <w:spacing w:before="0" w:after="0"/>
        <w:pStyle w:val="ListParagraph"/>
        <w:ind w:left="720"/>
        <w:numPr>
          <w:ilvl w:val="0"/>
          <w:numId w:val="2"/>
        </w:numPr>
      </w:pPr>
      <w:r>
        <w:rPr>
          <w:b/>
        </w:rPr>
        <w:t xml:space="preserve">Architecture and Experiments</w:t>
      </w:r>
      <w:r>
        <w:rPr/>
        <w:t xml:space="preserve"> — describe all model variants, hyperparameter choices, and training procedure.</w:t>
      </w:r>
    </w:p>
    <w:p>
      <w:pPr>
        <w:spacing w:before="0" w:after="0"/>
        <w:pStyle w:val="ListParagraph"/>
        <w:ind w:left="720"/>
        <w:numPr>
          <w:ilvl w:val="0"/>
          <w:numId w:val="2"/>
        </w:numPr>
      </w:pPr>
      <w:r>
        <w:rPr>
          <w:b/>
        </w:rPr>
        <w:t xml:space="preserve">Results and Ablation</w:t>
      </w:r>
      <w:r>
        <w:rPr/>
        <w:t xml:space="preserve"> — tables and figures; connect numerical results back to mathematical predictions.</w:t>
      </w:r>
    </w:p>
    <w:p>
      <w:pPr>
        <w:spacing w:before="0" w:after="0"/>
        <w:pStyle w:val="ListParagraph"/>
        <w:ind w:left="720"/>
        <w:numPr>
          <w:ilvl w:val="0"/>
          <w:numId w:val="2"/>
        </w:numPr>
      </w:pPr>
      <w:r>
        <w:rPr>
          <w:b/>
        </w:rPr>
        <w:t xml:space="preserve">Discussion and Limitations</w:t>
      </w:r>
      <w:r>
        <w:rPr/>
        <w:t xml:space="preserve"> — what worked, what did not, and why.</w:t>
      </w:r>
    </w:p>
    <w:p>
      <w:pPr>
        <w:spacing w:before="0" w:after="0"/>
        <w:pStyle w:val="ListParagraph"/>
        <w:ind w:left="720"/>
        <w:numPr>
          <w:ilvl w:val="0"/>
          <w:numId w:val="2"/>
        </w:numPr>
      </w:pPr>
      <w:r>
        <w:rPr>
          <w:b/>
        </w:rPr>
        <w:t xml:space="preserve">Conclusion.</w:t>
      </w:r>
    </w:p>
    <w:p>
      <w:pPr/>
      <w:r>
        <w:rPr>
          <w:b/>
        </w:rPr>
        <w:t xml:space="preserve">Code requirements:</w:t>
      </w:r>
    </w:p>
    <w:p>
      <w:pPr>
        <w:spacing w:before="0" w:after="0"/>
        <w:pStyle w:val="ListParagraph"/>
        <w:ind w:left="720"/>
        <w:numPr>
          <w:ilvl w:val="0"/>
          <w:numId w:val="3"/>
        </w:numPr>
      </w:pPr>
      <w:r>
        <w:rPr/>
        <w:t xml:space="preserve">Python 3.10+, PyTorch 2.x.</w:t>
      </w:r>
    </w:p>
    <w:p>
      <w:pPr>
        <w:spacing w:before="0" w:after="0"/>
        <w:pStyle w:val="ListParagraph"/>
        <w:ind w:left="720"/>
        <w:numPr>
          <w:ilvl w:val="0"/>
          <w:numId w:val="3"/>
        </w:numPr>
      </w:pPr>
      <w:r>
        <w:rPr/>
        <w:t xml:space="preserve">All random seeds fixed and reported.</w:t>
      </w:r>
    </w:p>
    <w:p>
      <w:pPr>
        <w:spacing w:before="0" w:after="0"/>
        <w:pStyle w:val="ListParagraph"/>
        <w:ind w:left="720"/>
        <w:numPr>
          <w:ilvl w:val="0"/>
          <w:numId w:val="3"/>
        </w:numPr>
      </w:pPr>
      <w:r>
        <w:rPr/>
        <w:t xml:space="preserve">Training, validation, and test splits must not overlap.</w:t>
      </w:r>
    </w:p>
    <w:p>
      <w:pPr>
        <w:spacing w:before="0" w:after="0"/>
        <w:pStyle w:val="ListParagraph"/>
        <w:ind w:left="720"/>
        <w:numPr>
          <w:ilvl w:val="0"/>
          <w:numId w:val="3"/>
        </w:numPr>
      </w:pPr>
      <w:r>
        <w:rPr/>
        <w:t xml:space="preserve">Each architectural variant trained with the same optimizer settings unless the ablation explicitly varies them.</w:t>
      </w:r>
    </w:p>
    <w:p>
      <w:pPr/>
      <w:r>
        <w:rPr>
          <w:b/>
        </w:rPr>
        <w:t xml:space="preserve">Evaluation rubric (per component):</w:t>
      </w:r>
    </w:p>
    <w:tbl>
      <w:tblPr>
        <w:tblStyle w:val="TableNorm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200" w:type="dxa"/>
        </w:tblCellMar>
        <w:tblLook w:val="04A0" w:firstRow="0" w:lastRow="0" w:firstColumn="0" w:lastColumn="0" w:noHBand="1" w:noVBand="1"/>
      </w:tblPr>
      <w:tblGrid>
        <w:gridCol w:w="2500"/>
        <w:gridCol w:w="2500"/>
        <w:gridCol w:w="2500"/>
        <w:gridCol w:w="2500"/>
      </w:tblGrid>
      <w:tr>
        <w:tc>
          <w:tcPr/>
          <w:p>
            <w:pPr>
              <w:spacing w:before="0" w:after="0"/>
            </w:pPr>
            <w:r>
              <w:rPr>
                <w:b/>
              </w:rPr>
              <w:t xml:space="preserve">
            Criterion
          </w:t>
            </w:r>
          </w:p>
        </w:tc>
        <w:tc>
          <w:tcPr/>
          <w:p>
            <w:pPr>
              <w:spacing w:before="0" w:after="0"/>
            </w:pPr>
            <w:r>
              <w:rPr>
                <w:b/>
              </w:rPr>
              <w:t xml:space="preserve">
            Excellent (A)
          </w:t>
            </w:r>
          </w:p>
        </w:tc>
        <w:tc>
          <w:tcPr/>
          <w:p>
            <w:pPr>
              <w:spacing w:before="0" w:after="0"/>
            </w:pPr>
            <w:r>
              <w:rPr>
                <w:b/>
              </w:rPr>
              <w:t xml:space="preserve">
            Satisfactory (B)
          </w:t>
            </w:r>
          </w:p>
        </w:tc>
        <w:tc>
          <w:tcPr/>
          <w:p>
            <w:pPr>
              <w:spacing w:before="0" w:after="0"/>
            </w:pPr>
            <w:r>
              <w:rPr>
                <w:b/>
              </w:rPr>
              <w:t xml:space="preserve">
            Needs Work (C)
          </w:t>
            </w:r>
          </w:p>
        </w:tc>
      </w:tr>
      <w:tr>
        <w:tc>
          <w:tcPr/>
          <w:p>
            <w:pPr>
              <w:spacing w:before="0" w:after="0"/>
            </w:pPr>
            <w:r>
              <w:rPr/>
              <w:t xml:space="preserve">Mathematical rigor</w:t>
            </w:r>
          </w:p>
        </w:tc>
        <w:tc>
          <w:tcPr/>
          <w:p>
            <w:pPr>
              <w:spacing w:before="0" w:after="0"/>
            </w:pPr>
            <w:r>
              <w:rPr/>
              <w:t xml:space="preserve">Derivations complete, notation consistent with course</w:t>
            </w:r>
          </w:p>
        </w:tc>
        <w:tc>
          <w:tcPr/>
          <w:p>
            <w:pPr>
              <w:spacing w:before="0" w:after="0"/>
            </w:pPr>
            <w:r>
              <w:rPr/>
              <w:t xml:space="preserve">Minor gaps, correct conclusions</w:t>
            </w:r>
          </w:p>
        </w:tc>
        <w:tc>
          <w:tcPr/>
          <w:p>
            <w:pPr>
              <w:spacing w:before="0" w:after="0"/>
            </w:pPr>
            <w:r>
              <w:rPr/>
              <w:t xml:space="preserve">Derivations missing or incorrect</w:t>
            </w:r>
          </w:p>
        </w:tc>
      </w:tr>
      <w:tr>
        <w:tc>
          <w:tcPr/>
          <w:p>
            <w:pPr>
              <w:spacing w:before="0" w:after="0"/>
            </w:pPr>
            <w:r>
              <w:rPr/>
              <w:t xml:space="preserve">Experimental design</w:t>
            </w:r>
          </w:p>
        </w:tc>
        <w:tc>
          <w:tcPr/>
          <w:p>
            <w:pPr>
              <w:spacing w:before="0" w:after="0"/>
            </w:pPr>
            <w:r>
              <w:rPr/>
              <w:t xml:space="preserve">Ablations isolate one variable at a time, metrics appropriate</w:t>
            </w:r>
          </w:p>
        </w:tc>
        <w:tc>
          <w:tcPr/>
          <w:p>
            <w:pPr>
              <w:spacing w:before="0" w:after="0"/>
            </w:pPr>
            <w:r>
              <w:rPr/>
              <w:t xml:space="preserve">Some confounding factors</w:t>
            </w:r>
          </w:p>
        </w:tc>
        <w:tc>
          <w:tcPr/>
          <w:p>
            <w:pPr>
              <w:spacing w:before="0" w:after="0"/>
            </w:pPr>
            <w:r>
              <w:rPr/>
              <w:t xml:space="preserve">No controlled ablation</w:t>
            </w:r>
          </w:p>
        </w:tc>
      </w:tr>
      <w:tr>
        <w:tc>
          <w:tcPr/>
          <w:p>
            <w:pPr>
              <w:spacing w:before="0" w:after="0"/>
            </w:pPr>
            <w:r>
              <w:rPr/>
              <w:t xml:space="preserve">Code quality</w:t>
            </w:r>
          </w:p>
        </w:tc>
        <w:tc>
          <w:tcPr/>
          <w:p>
            <w:pPr>
              <w:spacing w:before="0" w:after="0"/>
            </w:pPr>
            <w:r>
              <w:rPr/>
              <w:t xml:space="preserve">Modular, documented, reproducible</w:t>
            </w:r>
          </w:p>
        </w:tc>
        <w:tc>
          <w:tcPr/>
          <w:p>
            <w:pPr>
              <w:spacing w:before="0" w:after="0"/>
            </w:pPr>
            <w:r>
              <w:rPr/>
              <w:t xml:space="preserve">Runs but poorly organized</w:t>
            </w:r>
          </w:p>
        </w:tc>
        <w:tc>
          <w:tcPr/>
          <w:p>
            <w:pPr>
              <w:spacing w:before="0" w:after="0"/>
            </w:pPr>
            <w:r>
              <w:rPr/>
              <w:t xml:space="preserve">Does not run</w:t>
            </w:r>
          </w:p>
        </w:tc>
      </w:tr>
      <w:tr>
        <w:tc>
          <w:tcPr/>
          <w:p>
            <w:pPr>
              <w:spacing w:before="0" w:after="0"/>
            </w:pPr>
            <w:r>
              <w:rPr/>
              <w:t xml:space="preserve">Communication</w:t>
            </w:r>
          </w:p>
        </w:tc>
        <w:tc>
          <w:tcPr/>
          <w:p>
            <w:pPr>
              <w:spacing w:before="0" w:after="0"/>
            </w:pPr>
            <w:r>
              <w:rPr/>
              <w:t xml:space="preserve">Clear narrative connecting math to results</w:t>
            </w:r>
          </w:p>
        </w:tc>
        <w:tc>
          <w:tcPr/>
          <w:p>
            <w:pPr>
              <w:spacing w:before="0" w:after="0"/>
            </w:pPr>
            <w:r>
              <w:rPr/>
              <w:t xml:space="preserve">Readable but disconnected</w:t>
            </w:r>
          </w:p>
        </w:tc>
        <w:tc>
          <w:tcPr/>
          <w:p>
            <w:pPr>
              <w:spacing w:before="0" w:after="0"/>
            </w:pPr>
            <w:r>
              <w:rPr/>
              <w:t xml:space="preserve">Hard to follow</w:t>
            </w:r>
          </w:p>
        </w:tc>
      </w:tr>
    </w:tbl>
    <w:p>
      <w:pPr>
        <w:pBdr>
          <w:bottom w:val="single" w:sz="6" w:space="1" w:color="auto"/>
        </w:pBdr>
        <w:spacing w:before="0" w:after="0" w:line="1" w:lineRule="auto"/>
      </w:pPr>
    </w:p>
    <w:p>
      <w:pPr>
        <w:pStyle w:val="Heading2"/>
        <w:keepNext/>
      </w:pPr>
      <w:r>
        <w:rPr/>
        <w:t xml:space="preserve">Project Topics</w:t>
      </w:r>
    </w:p>
    <w:p>
      <w:pPr>
        <w:pBdr>
          <w:bottom w:val="single" w:sz="6" w:space="1" w:color="auto"/>
        </w:pBdr>
        <w:spacing w:before="0" w:after="0" w:line="1" w:lineRule="auto"/>
      </w:pPr>
    </w:p>
    <w:p>
      <w:pPr>
        <w:pStyle w:val="Heading2"/>
        <w:keepNext/>
      </w:pPr>
      <w:r>
        <w:rPr/>
        <w:t xml:space="preserve">Project 1: SVD-Driven Medical Image Compression and Pathology Detection</w:t>
      </w:r>
    </w:p>
    <w:p>
      <w:pPr/>
      <w:r>
        <w:rPr>
          <w:b/>
        </w:rPr>
        <w:t xml:space="preserve">Domain:</w:t>
      </w:r>
      <w:r>
        <w:rPr/>
        <w:t xml:space="preserve"> Healthcare </w:t>
      </w:r>
      <w:r>
        <w:rPr>
          <w:b/>
        </w:rPr>
        <w:t xml:space="preserve">Modality:</w:t>
      </w:r>
      <w:r>
        <w:rPr/>
        <w:t xml:space="preserve"> Image </w:t>
      </w:r>
      <w:r>
        <w:rPr>
          <w:b/>
        </w:rPr>
        <w:t xml:space="preserve">Core Course Concepts:</w:t>
      </w:r>
      <w:r>
        <w:rPr/>
        <w:t xml:space="preserve"> SVD and low-rank approximation (Ch 4), Frobenius norm (Ch 4 Lec 5), condition number (Ch 4 Lec 5), PCA (Ch 4 Lec 6), convolutional architectures (Ch 10–11), cross-entropy loss (Ch 6)</w:t>
      </w:r>
    </w:p>
    <w:p>
      <w:pPr>
        <w:pStyle w:val="Heading3"/>
        <w:keepNext/>
      </w:pPr>
      <w:r>
        <w:rPr/>
        <w:t xml:space="preserve">Motivation</w:t>
      </w:r>
    </w:p>
    <w:p>
      <w:pPr/>
      <w:r>
        <w:rPr/>
        <w:t xml:space="preserve">Medical imaging datasets are large and often transmitted across bandwidth-limited clinical networks. Lossy compression via truncated SVD provides a mathematically principled form of dimensionality reduction whose approximation error is exactly characterized by the discarded singular values. This project asks: </w:t>
      </w:r>
      <w:r>
        <w:rPr>
          <w:i/>
        </w:rPr>
        <w:t xml:space="preserve">how much structural information does a CNN pathology detector retain as image rank decreases, and can training on compressed images itself act as a data augmentation or regularization strategy?</w:t>
      </w:r>
    </w:p>
    <w:p>
      <w:pPr>
        <w:pStyle w:val="Heading3"/>
        <w:keepNext/>
      </w:pPr>
      <w:r>
        <w:rPr/>
        <w:t xml:space="preserve">Learning Objectives</w:t>
      </w:r>
    </w:p>
    <w:p>
      <w:pPr>
        <w:spacing w:before="0" w:after="0"/>
        <w:pStyle w:val="ListParagraph"/>
        <w:ind w:left="720"/>
        <w:numPr>
          <w:ilvl w:val="0"/>
          <w:numId w:val="4"/>
        </w:numPr>
      </w:pPr>
      <w:r>
        <w:rPr/>
        <w:t xml:space="preserve">Implement and interpret truncated SVD as an image compression operator.</w:t>
      </w:r>
    </w:p>
    <w:p>
      <w:pPr>
        <w:spacing w:before="0" w:after="0"/>
        <w:pStyle w:val="ListParagraph"/>
        <w:ind w:left="720"/>
        <w:numPr>
          <w:ilvl w:val="0"/>
          <w:numId w:val="4"/>
        </w:numPr>
      </w:pPr>
      <w:r>
        <w:rPr/>
        <w:t xml:space="preserve">Quantify reconstruction fidelity using the Frobenius norm and relate it to the singular value spectrum.</w:t>
      </w:r>
    </w:p>
    <w:p>
      <w:pPr>
        <w:spacing w:before="0" w:after="0"/>
        <w:pStyle w:val="ListParagraph"/>
        <w:ind w:left="720"/>
        <w:numPr>
          <w:ilvl w:val="0"/>
          <w:numId w:val="4"/>
        </w:numPr>
      </w:pPr>
      <w:r>
        <w:rPr/>
        <w:t xml:space="preserve">Build a CNN classifier and measure the coupling between compression rank and downstream diagnostic accuracy.</w:t>
      </w:r>
    </w:p>
    <w:p>
      <w:pPr>
        <w:spacing w:before="0" w:after="0"/>
        <w:pStyle w:val="ListParagraph"/>
        <w:ind w:left="720"/>
        <w:numPr>
          <w:ilvl w:val="0"/>
          <w:numId w:val="4"/>
        </w:numPr>
      </w:pPr>
      <w:r>
        <w:rPr/>
        <w:t xml:space="preserve">Connect the condition number of the image covariance to the difficulty of learning.</w:t>
      </w:r>
    </w:p>
    <w:p>
      <w:pPr>
        <w:pStyle w:val="Heading3"/>
        <w:keepNext/>
      </w:pPr>
      <w:r>
        <w:rPr/>
        <w:t xml:space="preserve">Suggested Dataset</w:t>
      </w:r>
    </w:p>
    <w:p>
      <w:pPr>
        <w:spacing w:before="0" w:after="0"/>
        <w:pStyle w:val="ListParagraph"/>
        <w:ind w:left="720"/>
        <w:numPr>
          <w:ilvl w:val="0"/>
          <w:numId w:val="5"/>
        </w:numPr>
      </w:pPr>
      <w:r>
        <w:rPr>
          <w:b/>
        </w:rPr>
        <w:t xml:space="preserve">NIH ChestX-ray14</w:t>
      </w:r>
      <w:r>
        <w:rPr/>
        <w:t xml:space="preserve"> (112,000 frontal-view chest X-rays, 14 pathology labels) — publicly available.</w:t>
      </w:r>
    </w:p>
    <w:p>
      <w:pPr>
        <w:spacing w:before="0" w:after="0"/>
        <w:pStyle w:val="ListParagraph"/>
        <w:ind w:left="720"/>
        <w:numPr>
          <w:ilvl w:val="0"/>
          <w:numId w:val="5"/>
        </w:numPr>
      </w:pPr>
      <w:r>
        <w:rPr/>
        <w:t xml:space="preserve">Fallback: </w:t>
      </w:r>
      <w:r>
        <w:rPr>
          <w:b/>
        </w:rPr>
        <w:t xml:space="preserve">CBIS-DDSM</w:t>
      </w:r>
      <w:r>
        <w:rPr/>
        <w:t xml:space="preserve"> (mammography) or </w:t>
      </w:r>
      <w:r>
        <w:rPr>
          <w:b/>
        </w:rPr>
        <w:t xml:space="preserve">APTOS 2019 Blindness Detection</w:t>
      </w:r>
      <w:r>
        <w:rPr/>
        <w:t xml:space="preserve"> (retinal fundus images, Kaggle).</w:t>
      </w:r>
    </w:p>
    <w:p>
      <w:pPr>
        <w:pStyle w:val="Heading3"/>
        <w:keepNext/>
      </w:pPr>
      <w:r>
        <w:rPr/>
        <w:t xml:space="preserve">Implementation Steps</w:t>
      </w:r>
    </w:p>
    <w:p>
      <w:pPr/>
      <w:r>
        <w:rPr>
          <w:b/>
        </w:rPr>
        <w:t xml:space="preserve">Step 1 — Environment and Data Setup</w:t>
      </w:r>
    </w:p>
    <w:p>
      <w:pPr>
        <w:spacing w:before="0" w:after="0"/>
        <w:pStyle w:val="ListParagraph"/>
        <w:ind w:left="720"/>
        <w:numPr>
          <w:ilvl w:val="0"/>
          <w:numId w:val="6"/>
        </w:numPr>
      </w:pPr>
      <w:r>
        <w:rPr/>
        <w:t xml:space="preserve">Install dependencies: </w:t>
      </w:r>
      <w:r>
        <w:rPr>
          <w:rStyle w:val="Code"/>
        </w:rPr>
        <w:t xml:space="preserve">torch</w:t>
      </w:r>
      <w:r>
        <w:rPr/>
        <w:t xml:space="preserve">, </w:t>
      </w:r>
      <w:r>
        <w:rPr>
          <w:rStyle w:val="Code"/>
        </w:rPr>
        <w:t xml:space="preserve">torchvision</w:t>
      </w:r>
      <w:r>
        <w:rPr/>
        <w:t xml:space="preserve">, </w:t>
      </w:r>
      <w:r>
        <w:rPr>
          <w:rStyle w:val="Code"/>
        </w:rPr>
        <w:t xml:space="preserve">numpy</w:t>
      </w:r>
      <w:r>
        <w:rPr/>
        <w:t xml:space="preserve">, </w:t>
      </w:r>
      <w:r>
        <w:rPr>
          <w:rStyle w:val="Code"/>
        </w:rPr>
        <w:t xml:space="preserve">matplotlib</w:t>
      </w:r>
      <w:r>
        <w:rPr/>
        <w:t xml:space="preserve">, </w:t>
      </w:r>
      <w:r>
        <w:rPr>
          <w:rStyle w:val="Code"/>
        </w:rPr>
        <w:t xml:space="preserve">scikit-learn</w:t>
      </w:r>
      <w:r>
        <w:rPr/>
        <w:t xml:space="preserve">, </w:t>
      </w:r>
      <w:r>
        <w:rPr>
          <w:rStyle w:val="Code"/>
        </w:rPr>
        <w:t xml:space="preserve">pandas</w:t>
      </w:r>
      <w:r>
        <w:rPr/>
        <w:t xml:space="preserve">.</w:t>
      </w:r>
    </w:p>
    <w:p>
      <w:pPr>
        <w:spacing w:before="0" w:after="0"/>
        <w:pStyle w:val="ListParagraph"/>
        <w:ind w:left="720"/>
        <w:numPr>
          <w:ilvl w:val="0"/>
          <w:numId w:val="6"/>
        </w:numPr>
      </w:pPr>
      <w:r>
        <w:rPr/>
        <w:t xml:space="preserve">Download and organize the dataset. For ChestX-ray14, use the official train/val/test split CSV files. Resize all images to 224×224 grayscale; normalize pixel values to ([0, 1]).</w:t>
      </w:r>
    </w:p>
    <w:p>
      <w:pPr>
        <w:spacing w:before="0" w:after="0"/>
        <w:pStyle w:val="ListParagraph"/>
        <w:ind w:left="720"/>
        <w:numPr>
          <w:ilvl w:val="0"/>
          <w:numId w:val="6"/>
        </w:numPr>
      </w:pPr>
      <w:r>
        <w:rPr/>
        <w:t xml:space="preserve">Compute class frequencies and report the label distribution. Note any severe imbalance and plan to address it (e.g., weighted cross-entropy or oversampling).</w:t>
      </w:r>
    </w:p>
    <w:p>
      <w:pPr>
        <w:spacing w:before="0" w:after="0"/>
        <w:pStyle w:val="ListParagraph"/>
        <w:ind w:left="720"/>
        <w:numPr>
          <w:ilvl w:val="0"/>
          <w:numId w:val="6"/>
        </w:numPr>
      </w:pPr>
      <w:r>
        <w:rPr/>
        <w:t xml:space="preserve">Write a </w:t>
      </w:r>
      <w:r>
        <w:rPr>
          <w:rStyle w:val="Code"/>
        </w:rPr>
        <w:t xml:space="preserve">ChestXrayDataset</w:t>
      </w:r>
      <w:r>
        <w:rPr/>
        <w:t xml:space="preserve"> class (subclassing </w:t>
      </w:r>
      <w:r>
        <w:rPr>
          <w:rStyle w:val="Code"/>
        </w:rPr>
        <w:t xml:space="preserve">torch.utils.data.Dataset</w:t>
      </w:r>
      <w:r>
        <w:rPr/>
        <w:t xml:space="preserve">) with configurable rank parameter </w:t>
      </w:r>
      <w:r>
        <w:rPr>
          <w:rStyle w:val="Code"/>
        </w:rPr>
        <w:t xml:space="preserve">r</w:t>
      </w:r>
      <w:r>
        <w:rPr/>
        <w:t xml:space="preserve">.</w:t>
      </w:r>
    </w:p>
    <w:p>
      <w:pPr/>
      <w:r>
        <w:rPr>
          <w:b/>
        </w:rPr>
        <w:t xml:space="preserve">Step 2 — SVD Compression Pipeline</w:t>
      </w:r>
    </w:p>
    <w:p>
      <w:pPr>
        <w:spacing w:before="0" w:after="0"/>
        <w:pStyle w:val="ListParagraph"/>
        <w:ind w:left="720"/>
        <w:numPr>
          <w:ilvl w:val="0"/>
          <w:numId w:val="7"/>
        </w:numPr>
      </w:pPr>
      <w:r>
        <w:rPr/>
        <w:t xml:space="preserve">For a single-channel image matrix (A \in \mathbb{R}</w:t>
      </w:r>
      <w:r>
        <w:rPr>
          <w:vertAlign w:val="superscript"/>
        </w:rPr>
        <w:t xml:space="preserve">{224</w:t>
      </w:r>
      <w:r>
        <w:rPr/>
        <w:t xml:space="preserve"> \times 224}), compute the full SVD: (A = U \Sigma V</w:t>
      </w:r>
      <w:r>
        <w:rPr>
          <w:vertAlign w:val="superscript"/>
        </w:rPr>
        <w:t xml:space="preserve">T</w:t>
      </w:r>
      <w:r>
        <w:rPr/>
        <w:t xml:space="preserve">) using </w:t>
      </w:r>
      <w:r>
        <w:rPr>
          <w:rStyle w:val="Code"/>
        </w:rPr>
        <w:t xml:space="preserve">torch.linalg.svd</w:t>
      </w:r>
      <w:r>
        <w:rPr/>
        <w:t xml:space="preserve">.</w:t>
      </w:r>
    </w:p>
    <w:p>
      <w:pPr>
        <w:spacing w:before="0" w:after="0"/>
        <w:pStyle w:val="ListParagraph"/>
        <w:ind w:left="720"/>
        <w:numPr>
          <w:ilvl w:val="0"/>
          <w:numId w:val="7"/>
        </w:numPr>
      </w:pPr>
      <w:r>
        <w:rPr/>
        <w:t xml:space="preserve">Implement a function </w:t>
      </w:r>
      <w:r>
        <w:rPr>
          <w:rStyle w:val="Code"/>
        </w:rPr>
        <w:t xml:space="preserve">compress(A, r)</w:t>
      </w:r>
      <w:r>
        <w:rPr/>
        <w:t xml:space="preserve"> that returns the rank-(r) approximation (A_r = \sum_{i=1}</w:t>
      </w:r>
      <w:r>
        <w:rPr>
          <w:vertAlign w:val="superscript"/>
        </w:rPr>
        <w:t xml:space="preserve">{r}</w:t>
      </w:r>
      <w:r>
        <w:rPr/>
        <w:t xml:space="preserve"> \sigma_i \vec{u}_i \vec{v}_i</w:t>
      </w:r>
      <w:r>
        <w:rPr>
          <w:vertAlign w:val="superscript"/>
        </w:rPr>
        <w:t xml:space="preserve">T</w:t>
      </w:r>
      <w:r>
        <w:rPr/>
        <w:t xml:space="preserve">).</w:t>
      </w:r>
    </w:p>
    <w:p>
      <w:pPr>
        <w:spacing w:before="0" w:after="0"/>
        <w:pStyle w:val="ListParagraph"/>
        <w:ind w:left="720"/>
        <w:numPr>
          <w:ilvl w:val="0"/>
          <w:numId w:val="7"/>
        </w:numPr>
      </w:pPr>
      <w:r>
        <w:rPr/>
        <w:t xml:space="preserve">Compute the </w:t>
      </w:r>
      <w:r>
        <w:rPr>
          <w:b/>
        </w:rPr>
        <w:t xml:space="preserve">Frobenius reconstruction error</w:t>
      </w:r>
      <w:r>
        <w:rPr/>
        <w:t xml:space="preserve"> (|A - A_r|_F = \sqrt{\sum_{i=r+1}</w:t>
      </w:r>
      <w:r>
        <w:rPr>
          <w:vertAlign w:val="superscript"/>
        </w:rPr>
        <w:t xml:space="preserve">{224}</w:t>
      </w:r>
      <w:r>
        <w:rPr/>
        <w:t xml:space="preserve"> \sigma_i</w:t>
      </w:r>
      <w:r>
        <w:rPr>
          <w:vertAlign w:val="superscript"/>
        </w:rPr>
        <w:t xml:space="preserve">2}</w:t>
      </w:r>
      <w:r>
        <w:rPr/>
        <w:t xml:space="preserve">) for each (r \in {5, 10, 20, 50, 100, \text{full}}).</w:t>
      </w:r>
    </w:p>
    <w:p>
      <w:pPr>
        <w:spacing w:before="0" w:after="0"/>
        <w:pStyle w:val="ListParagraph"/>
        <w:ind w:left="720"/>
        <w:numPr>
          <w:ilvl w:val="0"/>
          <w:numId w:val="7"/>
        </w:numPr>
      </w:pPr>
      <w:r>
        <w:rPr/>
        <w:t xml:space="preserve">Plot the </w:t>
      </w:r>
      <w:r>
        <w:rPr>
          <w:b/>
        </w:rPr>
        <w:t xml:space="preserve">singular value spectrum</w:t>
      </w:r>
      <w:r>
        <w:rPr/>
        <w:t xml:space="preserve"> (log scale) for 10 randomly sampled images from each pathology class. Observe how quickly the spectrum decays — this tells you how much intrinsic rank the images have.</w:t>
      </w:r>
    </w:p>
    <w:p>
      <w:pPr>
        <w:spacing w:before="0" w:after="0"/>
        <w:pStyle w:val="ListParagraph"/>
        <w:ind w:left="720"/>
        <w:numPr>
          <w:ilvl w:val="0"/>
          <w:numId w:val="7"/>
        </w:numPr>
      </w:pPr>
      <w:r>
        <w:rPr/>
        <w:t xml:space="preserve">Plot </w:t>
      </w:r>
      <w:r>
        <w:rPr>
          <w:b/>
        </w:rPr>
        <w:t xml:space="preserve">percent variance explained</w:t>
      </w:r>
      <w:r>
        <w:rPr/>
        <w:t xml:space="preserve"> vs. rank (analogous to the PCA scree plot from Ch 4 Lec 6). At what rank is 90% of the variance captured?</w:t>
      </w:r>
    </w:p>
    <w:p>
      <w:pPr>
        <w:spacing w:before="0" w:after="0"/>
        <w:pStyle w:val="ListParagraph"/>
        <w:ind w:left="720"/>
        <w:numPr>
          <w:ilvl w:val="0"/>
          <w:numId w:val="7"/>
        </w:numPr>
      </w:pPr>
      <w:r>
        <w:rPr/>
        <w:t xml:space="preserve">Visually inspect compressed images at each rank. Note when diagnostically relevant features (nodules, effusions, cardiomegaly) become visually detectable.</w:t>
      </w:r>
    </w:p>
    <w:p>
      <w:pPr/>
      <w:r>
        <w:rPr>
          <w:b/>
        </w:rPr>
        <w:t xml:space="preserve">Step 3 — PCA of Image Features</w:t>
      </w:r>
    </w:p>
    <w:p>
      <w:pPr>
        <w:spacing w:before="0" w:after="0"/>
        <w:pStyle w:val="ListParagraph"/>
        <w:ind w:left="720"/>
        <w:numPr>
          <w:ilvl w:val="0"/>
          <w:numId w:val="8"/>
        </w:numPr>
      </w:pPr>
      <w:r>
        <w:rPr/>
        <w:t xml:space="preserve">Sample 2,000 images, flatten each (224 \times 224) image to a vector, and compute the covariance matrix of a 50-dimensional random-projection of these vectors (full 50176-dim covariance is intractable; use </w:t>
      </w:r>
      <w:r>
        <w:rPr>
          <w:rStyle w:val="Code"/>
        </w:rPr>
        <w:t xml:space="preserve">torch.linalg.svd</w:t>
      </w:r>
      <w:r>
        <w:rPr/>
        <w:t xml:space="preserve"> on the (2000 \times 50) projected matrix instead).</w:t>
      </w:r>
    </w:p>
    <w:p>
      <w:pPr>
        <w:spacing w:before="0" w:after="0"/>
        <w:pStyle w:val="ListParagraph"/>
        <w:ind w:left="720"/>
        <w:numPr>
          <w:ilvl w:val="0"/>
          <w:numId w:val="8"/>
        </w:numPr>
      </w:pPr>
      <w:r>
        <w:rPr/>
        <w:t xml:space="preserve">Report the </w:t>
      </w:r>
      <w:r>
        <w:rPr>
          <w:b/>
        </w:rPr>
        <w:t xml:space="preserve">condition number</w:t>
      </w:r>
      <w:r>
        <w:rPr/>
        <w:t xml:space="preserve"> (\kappa = \lambda_{\max}/\lambda_{\min}) of the sample covariance. Discuss what a large condition number implies for gradient descent convergence on a linear model trained on these features (connect to Ch 4 Lec 5, Section 10).</w:t>
      </w:r>
    </w:p>
    <w:p>
      <w:pPr>
        <w:spacing w:before="0" w:after="0"/>
        <w:pStyle w:val="ListParagraph"/>
        <w:ind w:left="720"/>
        <w:numPr>
          <w:ilvl w:val="0"/>
          <w:numId w:val="8"/>
        </w:numPr>
      </w:pPr>
      <w:r>
        <w:rPr/>
        <w:t xml:space="preserve">Visualize the top-5 principal components as images. What structures do they capture?</w:t>
      </w:r>
    </w:p>
    <w:p>
      <w:pPr/>
      <w:r>
        <w:rPr>
          <w:b/>
        </w:rPr>
        <w:t xml:space="preserve">Step 4 — Baseline CNN Classifier</w:t>
      </w:r>
    </w:p>
    <w:p>
      <w:pPr>
        <w:spacing w:before="0" w:after="0"/>
        <w:pStyle w:val="ListParagraph"/>
        <w:ind w:left="720"/>
        <w:numPr>
          <w:ilvl w:val="0"/>
          <w:numId w:val="9"/>
        </w:numPr>
      </w:pPr>
      <w:r>
        <w:rPr/>
        <w:t xml:space="preserve">Implement a </w:t>
      </w:r>
      <w:r>
        <w:rPr>
          <w:b/>
        </w:rPr>
        <w:t xml:space="preserve">LeNet-style</w:t>
      </w:r>
      <w:r>
        <w:rPr/>
        <w:t xml:space="preserve"> CNN (two conv layers, two FC layers) as the baseline architecture (Ch 11 Lec).</w:t>
      </w:r>
    </w:p>
    <w:p>
      <w:pPr>
        <w:spacing w:before="0" w:after="0"/>
        <w:pStyle w:val="ListParagraph"/>
        <w:ind w:left="720"/>
        <w:numPr>
          <w:ilvl w:val="0"/>
          <w:numId w:val="9"/>
        </w:numPr>
      </w:pPr>
      <w:r>
        <w:rPr/>
        <w:t xml:space="preserve">Train on </w:t>
      </w:r>
      <w:r>
        <w:rPr>
          <w:b/>
        </w:rPr>
        <w:t xml:space="preserve">full-rank</w:t>
      </w:r>
      <w:r>
        <w:rPr/>
        <w:t xml:space="preserve"> (uncompressed) images for the binary task "Normal vs. Pathological" (or select one pathology label). Use binary cross-entropy loss with positive-class weighting to handle imbalance.</w:t>
      </w:r>
    </w:p>
    <w:p>
      <w:pPr>
        <w:spacing w:before="0" w:after="0"/>
        <w:pStyle w:val="ListParagraph"/>
        <w:ind w:left="720"/>
        <w:numPr>
          <w:ilvl w:val="0"/>
          <w:numId w:val="9"/>
        </w:numPr>
      </w:pPr>
      <w:r>
        <w:rPr/>
        <w:t xml:space="preserve">Report AUC-ROC, F1, and per-class accuracy on the held-out test set.</w:t>
      </w:r>
    </w:p>
    <w:p>
      <w:pPr>
        <w:spacing w:before="0" w:after="0"/>
        <w:pStyle w:val="ListParagraph"/>
        <w:ind w:left="720"/>
        <w:numPr>
          <w:ilvl w:val="0"/>
          <w:numId w:val="9"/>
        </w:numPr>
      </w:pPr>
      <w:r>
        <w:rPr/>
        <w:t xml:space="preserve">Log training and validation loss curves. Verify that the model converges (gradient norm → 0, loss plateaus).</w:t>
      </w:r>
    </w:p>
    <w:p>
      <w:pPr/>
      <w:r>
        <w:rPr>
          <w:b/>
        </w:rPr>
        <w:t xml:space="preserve">Step 5 — Architecture Progression</w:t>
      </w:r>
    </w:p>
    <w:p>
      <w:pPr>
        <w:spacing w:before="0" w:after="0"/>
        <w:pStyle w:val="ListParagraph"/>
        <w:ind w:left="720"/>
        <w:numPr>
          <w:ilvl w:val="0"/>
          <w:numId w:val="10"/>
        </w:numPr>
      </w:pPr>
      <w:r>
        <w:rPr/>
        <w:t xml:space="preserve">Replace the LeNet backbone with a </w:t>
      </w:r>
      <w:r>
        <w:rPr>
          <w:b/>
        </w:rPr>
        <w:t xml:space="preserve">ResNet-18</w:t>
      </w:r>
      <w:r>
        <w:rPr/>
        <w:t xml:space="preserve"> (use </w:t>
      </w:r>
      <w:r>
        <w:rPr>
          <w:rStyle w:val="Code"/>
        </w:rPr>
        <w:t xml:space="preserve">torchvision.models.resnet18(pretrained=False)</w:t>
      </w:r>
      <w:r>
        <w:rPr/>
        <w:t xml:space="preserve"> and modify the first conv layer for grayscale input).</w:t>
      </w:r>
    </w:p>
    <w:p>
      <w:pPr>
        <w:spacing w:before="0" w:after="0"/>
        <w:pStyle w:val="ListParagraph"/>
        <w:ind w:left="720"/>
        <w:numPr>
          <w:ilvl w:val="0"/>
          <w:numId w:val="10"/>
        </w:numPr>
      </w:pPr>
      <w:r>
        <w:rPr/>
        <w:t xml:space="preserve">Re-train with identical hyperparameters. Compare to the LeNet baseline. Explain the performance difference in terms of depth, skip connections, and representational capacity.</w:t>
      </w:r>
    </w:p>
    <w:p>
      <w:pPr>
        <w:spacing w:before="0" w:after="0"/>
        <w:pStyle w:val="ListParagraph"/>
        <w:ind w:left="720"/>
        <w:numPr>
          <w:ilvl w:val="0"/>
          <w:numId w:val="10"/>
        </w:numPr>
      </w:pPr>
      <w:r>
        <w:rPr/>
        <w:t xml:space="preserve">Optionally add a </w:t>
      </w:r>
      <w:r>
        <w:rPr>
          <w:b/>
        </w:rPr>
        <w:t xml:space="preserve">VGG-style</w:t>
      </w:r>
      <w:r>
        <w:rPr/>
        <w:t xml:space="preserve"> variant with batch normalization to form a three-way architecture comparison.</w:t>
      </w:r>
    </w:p>
    <w:p>
      <w:pPr/>
      <w:r>
        <w:rPr>
          <w:b/>
        </w:rPr>
        <w:t xml:space="preserve">Step 6 — Rank Sweep Experiment</w:t>
      </w:r>
    </w:p>
    <w:p>
      <w:pPr>
        <w:spacing w:before="0" w:after="0"/>
        <w:pStyle w:val="ListParagraph"/>
        <w:ind w:left="720"/>
        <w:numPr>
          <w:ilvl w:val="0"/>
          <w:numId w:val="11"/>
        </w:numPr>
      </w:pPr>
      <w:r>
        <w:rPr/>
        <w:t xml:space="preserve">For each rank (r \in {5, 10, 20, 50, 100, \text{full}}), create a compressed dataset (compress all images at that rank before training) and train the </w:t>
      </w:r>
      <w:r>
        <w:rPr>
          <w:b/>
        </w:rPr>
        <w:t xml:space="preserve">best architecture</w:t>
      </w:r>
      <w:r>
        <w:rPr/>
        <w:t xml:space="preserve"> from Step 5 from scratch.</w:t>
      </w:r>
    </w:p>
    <w:p>
      <w:pPr>
        <w:spacing w:before="0" w:after="0"/>
        <w:pStyle w:val="ListParagraph"/>
        <w:ind w:left="720"/>
        <w:numPr>
          <w:ilvl w:val="0"/>
          <w:numId w:val="11"/>
        </w:numPr>
      </w:pPr>
      <w:r>
        <w:rPr/>
        <w:t xml:space="preserve">Record: Frobenius reconstruction error, test AUC-ROC, test F1, and number of epochs to convergence.</w:t>
      </w:r>
    </w:p>
    <w:p>
      <w:pPr>
        <w:spacing w:before="0" w:after="0"/>
        <w:pStyle w:val="ListParagraph"/>
        <w:ind w:left="720"/>
        <w:numPr>
          <w:ilvl w:val="0"/>
          <w:numId w:val="11"/>
        </w:numPr>
      </w:pPr>
      <w:r>
        <w:rPr/>
        <w:t xml:space="preserve">Produce a dual-axis plot: Frobenius error (left axis) and AUC-ROC (right axis) as functions of (r). Identify the "knee" — the rank at which classification accuracy plateaus while compression error is still large.</w:t>
      </w:r>
    </w:p>
    <w:p>
      <w:pPr/>
      <w:r>
        <w:rPr>
          <w:b/>
        </w:rPr>
        <w:t xml:space="preserve">Step 7 — Compression-Augmented Training</w:t>
      </w:r>
    </w:p>
    <w:p>
      <w:pPr>
        <w:spacing w:before="0" w:after="0"/>
        <w:pStyle w:val="ListParagraph"/>
        <w:ind w:left="720"/>
        <w:numPr>
          <w:ilvl w:val="0"/>
          <w:numId w:val="12"/>
        </w:numPr>
      </w:pPr>
      <w:r>
        <w:rPr/>
        <w:t xml:space="preserve">Train the best architecture on a mixed dataset: 50% full-rank images, 50% rank-20 compressed images (randomly mixed per batch). This is a form of data augmentation that implicitly teaches the model to be robust to missing high-frequency components.</w:t>
      </w:r>
    </w:p>
    <w:p>
      <w:pPr>
        <w:spacing w:before="0" w:after="0"/>
        <w:pStyle w:val="ListParagraph"/>
        <w:ind w:left="720"/>
        <w:numPr>
          <w:ilvl w:val="0"/>
          <w:numId w:val="12"/>
        </w:numPr>
      </w:pPr>
      <w:r>
        <w:rPr/>
        <w:t xml:space="preserve">Compare test AUC-ROC to the pure full-rank baseline. Does compression augmentation act as regularization?</w:t>
      </w:r>
    </w:p>
    <w:p>
      <w:pPr/>
      <w:r>
        <w:rPr>
          <w:b/>
        </w:rPr>
        <w:t xml:space="preserve">Step 8 — Mathematical Analysis Section</w:t>
      </w:r>
    </w:p>
    <w:p>
      <w:pPr>
        <w:spacing w:before="0" w:after="0"/>
        <w:pStyle w:val="ListParagraph"/>
        <w:ind w:left="720"/>
        <w:numPr>
          <w:ilvl w:val="0"/>
          <w:numId w:val="13"/>
        </w:numPr>
      </w:pPr>
      <w:r>
        <w:rPr/>
        <w:t xml:space="preserve">In your report, derive from scratch why (A_r = U_r \Sigma_r V_r</w:t>
      </w:r>
      <w:r>
        <w:rPr>
          <w:vertAlign w:val="superscript"/>
        </w:rPr>
        <w:t xml:space="preserve">T</w:t>
      </w:r>
      <w:r>
        <w:rPr/>
        <w:t xml:space="preserve">) is the </w:t>
      </w:r>
      <w:r>
        <w:rPr>
          <w:b/>
        </w:rPr>
        <w:t xml:space="preserve">best rank-(r) approximation</w:t>
      </w:r>
      <w:r>
        <w:rPr/>
        <w:t xml:space="preserve"> of (A) in the Frobenius norm (Eckart–Young–Mirsky theorem — this is a direct consequence of the SVD properties in Ch 4).</w:t>
      </w:r>
    </w:p>
    <w:p>
      <w:pPr>
        <w:spacing w:before="0" w:after="0"/>
        <w:pStyle w:val="ListParagraph"/>
        <w:ind w:left="720"/>
        <w:numPr>
          <w:ilvl w:val="0"/>
          <w:numId w:val="13"/>
        </w:numPr>
      </w:pPr>
      <w:r>
        <w:rPr/>
        <w:t xml:space="preserve">Show the relationship (|A|_F</w:t>
      </w:r>
      <w:r>
        <w:rPr>
          <w:vertAlign w:val="superscript"/>
        </w:rPr>
        <w:t xml:space="preserve">2</w:t>
      </w:r>
      <w:r>
        <w:rPr/>
        <w:t xml:space="preserve"> = \sum_i \sigma_i</w:t>
      </w:r>
      <w:r>
        <w:rPr>
          <w:vertAlign w:val="superscript"/>
        </w:rPr>
        <w:t xml:space="preserve">2</w:t>
      </w:r>
      <w:r>
        <w:rPr/>
        <w:t xml:space="preserve">) and how it implies the error formula used in your experiments.</w:t>
      </w:r>
    </w:p>
    <w:p>
      <w:pPr>
        <w:spacing w:before="0" w:after="0"/>
        <w:pStyle w:val="ListParagraph"/>
        <w:ind w:left="720"/>
        <w:numPr>
          <w:ilvl w:val="0"/>
          <w:numId w:val="13"/>
        </w:numPr>
      </w:pPr>
      <w:r>
        <w:rPr/>
        <w:t xml:space="preserve">Provide a table mapping each singular value to the fraction of total "energy" it carries.</w:t>
      </w:r>
    </w:p>
    <w:p>
      <w:pPr/>
      <w:r>
        <w:rPr>
          <w:b/>
        </w:rPr>
        <w:t xml:space="preserve">Step 9 — Ablation and Reporting</w:t>
      </w:r>
    </w:p>
    <w:p>
      <w:pPr>
        <w:spacing w:before="0" w:after="0"/>
        <w:pStyle w:val="ListParagraph"/>
        <w:ind w:left="720"/>
        <w:numPr>
          <w:ilvl w:val="0"/>
          <w:numId w:val="14"/>
        </w:numPr>
      </w:pPr>
      <w:r>
        <w:rPr/>
        <w:t xml:space="preserve">Ablation table: architecture × rank → AUC-ROC. At least 3 architectures × 6 rank levels = 18 configurations.</w:t>
      </w:r>
    </w:p>
    <w:p>
      <w:pPr>
        <w:spacing w:before="0" w:after="0"/>
        <w:pStyle w:val="ListParagraph"/>
        <w:ind w:left="720"/>
        <w:numPr>
          <w:ilvl w:val="0"/>
          <w:numId w:val="14"/>
        </w:numPr>
      </w:pPr>
      <w:r>
        <w:rPr/>
        <w:t xml:space="preserve">Statistical significance: report mean ± std over 3 random seeds for the main configuration.</w:t>
      </w:r>
    </w:p>
    <w:p>
      <w:pPr>
        <w:spacing w:before="0" w:after="0"/>
        <w:pStyle w:val="ListParagraph"/>
        <w:ind w:left="720"/>
        <w:numPr>
          <w:ilvl w:val="0"/>
          <w:numId w:val="14"/>
        </w:numPr>
      </w:pPr>
      <w:r>
        <w:rPr/>
        <w:t xml:space="preserve">Discuss: does the singular value decay rate of pathological images differ from normal images? Plot the mean spectra side by side.</w:t>
      </w:r>
    </w:p>
    <w:p>
      <w:pPr>
        <w:pBdr>
          <w:bottom w:val="single" w:sz="6" w:space="1" w:color="auto"/>
        </w:pBdr>
        <w:spacing w:before="0" w:after="0" w:line="1" w:lineRule="auto"/>
      </w:pPr>
    </w:p>
    <w:p>
      <w:pPr>
        <w:pStyle w:val="Heading2"/>
        <w:keepNext/>
      </w:pPr>
      <w:r>
        <w:rPr/>
        <w:t xml:space="preserve">Project 2: Variational Autoencoder for Latent-Space Drug Discovery in Biological Sequences</w:t>
      </w:r>
    </w:p>
    <w:p>
      <w:pPr/>
      <w:r>
        <w:rPr>
          <w:b/>
        </w:rPr>
        <w:t xml:space="preserve">Domain:</w:t>
      </w:r>
      <w:r>
        <w:rPr/>
        <w:t xml:space="preserve"> Biological Networks </w:t>
      </w:r>
      <w:r>
        <w:rPr>
          <w:b/>
        </w:rPr>
        <w:t xml:space="preserve">Modality:</w:t>
      </w:r>
      <w:r>
        <w:rPr/>
        <w:t xml:space="preserve"> Sequence (SMILES strings or amino-acid sequences) </w:t>
      </w:r>
      <w:r>
        <w:rPr>
          <w:b/>
        </w:rPr>
        <w:t xml:space="preserve">Core Course Concepts:</w:t>
      </w:r>
      <w:r>
        <w:rPr/>
        <w:t xml:space="preserve"> Cross-entropy (Ch 6), KL divergence (Ch 6), entropy (Ch 6), MLE (Ch 5–6), VAE / autoencoder (Ch 14), 1-D convolution (Ch 10), gradient descent (Ch 3), PCA (Ch 4)</w:t>
      </w:r>
    </w:p>
    <w:p>
      <w:pPr>
        <w:pStyle w:val="Heading3"/>
        <w:keepNext/>
      </w:pPr>
      <w:r>
        <w:rPr/>
        <w:t xml:space="preserve">Motivation</w:t>
      </w:r>
    </w:p>
    <w:p>
      <w:pPr/>
      <w:r>
        <w:rPr/>
        <w:t xml:space="preserve">Small molecules and proteins are naturally represented as sequences. A Variational Autoencoder (VAE) learns a continuous, differentiable latent space over discrete sequences, enabling </w:t>
      </w:r>
      <w:r>
        <w:rPr>
          <w:i/>
        </w:rPr>
        <w:t xml:space="preserve">interpolation</w:t>
      </w:r>
      <w:r>
        <w:rPr/>
        <w:t xml:space="preserve"> between molecules and </w:t>
      </w:r>
      <w:r>
        <w:rPr>
          <w:i/>
        </w:rPr>
        <w:t xml:space="preserve">latent-space optimization</w:t>
      </w:r>
      <w:r>
        <w:rPr/>
        <w:t xml:space="preserve"> toward desired properties — a strategy used in modern computational drug discovery. The VAE objective is a direct application of the KL divergence and cross-entropy losses studied in Ch 6 and Ch 14.</w:t>
      </w:r>
    </w:p>
    <w:p>
      <w:pPr>
        <w:pStyle w:val="Heading3"/>
        <w:keepNext/>
      </w:pPr>
      <w:r>
        <w:rPr/>
        <w:t xml:space="preserve">Learning Objectives</w:t>
      </w:r>
    </w:p>
    <w:p>
      <w:pPr>
        <w:spacing w:before="0" w:after="0"/>
        <w:pStyle w:val="ListParagraph"/>
        <w:ind w:left="720"/>
        <w:numPr>
          <w:ilvl w:val="0"/>
          <w:numId w:val="15"/>
        </w:numPr>
      </w:pPr>
      <w:r>
        <w:rPr/>
        <w:t xml:space="preserve">Derive the VAE Evidence Lower Bound (ELBO) from the KL divergence and cross-entropy definitions in the course.</w:t>
      </w:r>
    </w:p>
    <w:p>
      <w:pPr>
        <w:spacing w:before="0" w:after="0"/>
        <w:pStyle w:val="ListParagraph"/>
        <w:ind w:left="720"/>
        <w:numPr>
          <w:ilvl w:val="0"/>
          <w:numId w:val="15"/>
        </w:numPr>
      </w:pPr>
      <w:r>
        <w:rPr/>
        <w:t xml:space="preserve">Implement a 1-D convolutional encoder and decoder for sequence data.</w:t>
      </w:r>
    </w:p>
    <w:p>
      <w:pPr>
        <w:spacing w:before="0" w:after="0"/>
        <w:pStyle w:val="ListParagraph"/>
        <w:ind w:left="720"/>
        <w:numPr>
          <w:ilvl w:val="0"/>
          <w:numId w:val="15"/>
        </w:numPr>
      </w:pPr>
      <w:r>
        <w:rPr/>
        <w:t xml:space="preserve">Visualize and interpret the latent space using PCA.</w:t>
      </w:r>
    </w:p>
    <w:p>
      <w:pPr>
        <w:spacing w:before="0" w:after="0"/>
        <w:pStyle w:val="ListParagraph"/>
        <w:ind w:left="720"/>
        <w:numPr>
          <w:ilvl w:val="0"/>
          <w:numId w:val="15"/>
        </w:numPr>
      </w:pPr>
      <w:r>
        <w:rPr/>
        <w:t xml:space="preserve">Perform latent-space interpolation and connect the smoothness of the space to the KL regularization strength.</w:t>
      </w:r>
    </w:p>
    <w:p>
      <w:pPr>
        <w:pStyle w:val="Heading3"/>
        <w:keepNext/>
      </w:pPr>
      <w:r>
        <w:rPr/>
        <w:t xml:space="preserve">Suggested Dataset</w:t>
      </w:r>
    </w:p>
    <w:p>
      <w:pPr>
        <w:spacing w:before="0" w:after="0"/>
        <w:pStyle w:val="ListParagraph"/>
        <w:ind w:left="720"/>
        <w:numPr>
          <w:ilvl w:val="0"/>
          <w:numId w:val="16"/>
        </w:numPr>
      </w:pPr>
      <w:r>
        <w:rPr>
          <w:b/>
        </w:rPr>
        <w:t xml:space="preserve">ZINC250k</w:t>
      </w:r>
      <w:r>
        <w:rPr/>
        <w:t xml:space="preserve"> (250,000 drug-like SMILES strings, commonly used in molecular generative modeling; available on Kaggle and via the </w:t>
      </w:r>
      <w:r>
        <w:rPr>
          <w:rStyle w:val="Code"/>
        </w:rPr>
        <w:t xml:space="preserve">moses</w:t>
      </w:r>
      <w:r>
        <w:rPr/>
        <w:t xml:space="preserve"> benchmarking library).</w:t>
      </w:r>
    </w:p>
    <w:p>
      <w:pPr>
        <w:spacing w:before="0" w:after="0"/>
        <w:pStyle w:val="ListParagraph"/>
        <w:ind w:left="720"/>
        <w:numPr>
          <w:ilvl w:val="0"/>
          <w:numId w:val="16"/>
        </w:numPr>
      </w:pPr>
      <w:r>
        <w:rPr/>
        <w:t xml:space="preserve">Fallback: </w:t>
      </w:r>
      <w:r>
        <w:rPr>
          <w:b/>
        </w:rPr>
        <w:t xml:space="preserve">UniProt Swiss-Prot</w:t>
      </w:r>
      <w:r>
        <w:rPr/>
        <w:t xml:space="preserve"> (reviewed protein sequences, ~570,000 entries; use a single protein family such as kinases for tractable vocabulary).</w:t>
      </w:r>
    </w:p>
    <w:p>
      <w:pPr>
        <w:pStyle w:val="Heading3"/>
        <w:keepNext/>
      </w:pPr>
      <w:r>
        <w:rPr/>
        <w:t xml:space="preserve">Implementation Steps</w:t>
      </w:r>
    </w:p>
    <w:p>
      <w:pPr/>
      <w:r>
        <w:rPr>
          <w:b/>
        </w:rPr>
        <w:t xml:space="preserve">Step 1 — Sequence Preprocessing</w:t>
      </w:r>
    </w:p>
    <w:p>
      <w:pPr>
        <w:spacing w:before="0" w:after="0"/>
        <w:pStyle w:val="ListParagraph"/>
        <w:ind w:left="720"/>
        <w:numPr>
          <w:ilvl w:val="0"/>
          <w:numId w:val="17"/>
        </w:numPr>
      </w:pPr>
      <w:r>
        <w:rPr/>
        <w:t xml:space="preserve">Load the dataset. For SMILES, filter sequences to length ≤ 120 characters. Build a character-level vocabulary (all unique characters in the dataset, plus </w:t>
      </w:r>
      <w:r>
        <w:rPr>
          <w:rStyle w:val="Code"/>
        </w:rPr>
        <w:t xml:space="preserve">&lt;PAD&gt;</w:t>
      </w:r>
      <w:r>
        <w:rPr/>
        <w:t xml:space="preserve">, </w:t>
      </w:r>
      <w:r>
        <w:rPr>
          <w:rStyle w:val="Code"/>
        </w:rPr>
        <w:t xml:space="preserve">&lt;SOS&gt;</w:t>
      </w:r>
      <w:r>
        <w:rPr/>
        <w:t xml:space="preserve">, </w:t>
      </w:r>
      <w:r>
        <w:rPr>
          <w:rStyle w:val="Code"/>
        </w:rPr>
        <w:t xml:space="preserve">&lt;EOS&gt;</w:t>
      </w:r>
      <w:r>
        <w:rPr/>
        <w:t xml:space="preserve"> tokens). Report vocabulary size and sequence length distribution.</w:t>
      </w:r>
    </w:p>
    <w:p>
      <w:pPr>
        <w:spacing w:before="0" w:after="0"/>
        <w:pStyle w:val="ListParagraph"/>
        <w:ind w:left="720"/>
        <w:numPr>
          <w:ilvl w:val="0"/>
          <w:numId w:val="17"/>
        </w:numPr>
      </w:pPr>
      <w:r>
        <w:rPr/>
        <w:t xml:space="preserve">One-hot encode each sequence into a matrix of shape </w:t>
      </w:r>
      <w:r>
        <w:rPr>
          <w:rStyle w:val="Code"/>
        </w:rPr>
        <w:t xml:space="preserve">(seq_len, vocab_size)</w:t>
      </w:r>
      <w:r>
        <w:rPr/>
        <w:t xml:space="preserve">. Pad shorter sequences to the maximum length.</w:t>
      </w:r>
    </w:p>
    <w:p>
      <w:pPr>
        <w:spacing w:before="0" w:after="0"/>
        <w:pStyle w:val="ListParagraph"/>
        <w:ind w:left="720"/>
        <w:numPr>
          <w:ilvl w:val="0"/>
          <w:numId w:val="17"/>
        </w:numPr>
      </w:pPr>
      <w:r>
        <w:rPr/>
        <w:t xml:space="preserve">Compute the </w:t>
      </w:r>
      <w:r>
        <w:rPr>
          <w:b/>
        </w:rPr>
        <w:t xml:space="preserve">Shannon entropy</w:t>
      </w:r>
      <w:r>
        <w:rPr/>
        <w:t xml:space="preserve"> of the character frequency distribution: (H = -\sum_c p_c \log_2 p_c). A higher entropy means a richer vocabulary with more uniform usage. Compare the entropy of SMILES characters to English letters to develop intuition.</w:t>
      </w:r>
    </w:p>
    <w:p>
      <w:pPr>
        <w:spacing w:before="0" w:after="0"/>
        <w:pStyle w:val="ListParagraph"/>
        <w:ind w:left="720"/>
        <w:numPr>
          <w:ilvl w:val="0"/>
          <w:numId w:val="17"/>
        </w:numPr>
      </w:pPr>
      <w:r>
        <w:rPr/>
        <w:t xml:space="preserve">Split into 80% train / 10% val / 10% test. Verify no sequence leakage between splits.</w:t>
      </w:r>
    </w:p>
    <w:p>
      <w:pPr/>
      <w:r>
        <w:rPr>
          <w:b/>
        </w:rPr>
        <w:t xml:space="preserve">Step 2 — MLP Autoencoder Baseline</w:t>
      </w:r>
    </w:p>
    <w:p>
      <w:pPr>
        <w:spacing w:before="0" w:after="0"/>
        <w:pStyle w:val="ListParagraph"/>
        <w:ind w:left="720"/>
        <w:numPr>
          <w:ilvl w:val="0"/>
          <w:numId w:val="18"/>
        </w:numPr>
      </w:pPr>
      <w:r>
        <w:rPr/>
        <w:t xml:space="preserve">Build a flat </w:t>
      </w:r>
      <w:r>
        <w:rPr>
          <w:b/>
        </w:rPr>
        <w:t xml:space="preserve">MLP autoencoder</w:t>
      </w:r>
      <w:r>
        <w:rPr/>
        <w:t xml:space="preserve">: encoder = </w:t>
      </w:r>
      <w:r>
        <w:rPr>
          <w:rStyle w:val="Code"/>
        </w:rPr>
        <w:t xml:space="preserve">[Linear(seq_len × vocab_size → 512) → ReLU → Linear(512 → latent_dim)]</w:t>
      </w:r>
      <w:r>
        <w:rPr/>
        <w:t xml:space="preserve">, decoder = mirror of encoder ending in a </w:t>
      </w:r>
      <w:r>
        <w:rPr>
          <w:rStyle w:val="Code"/>
        </w:rPr>
        <w:t xml:space="preserve">Linear → Softmax</w:t>
      </w:r>
      <w:r>
        <w:rPr/>
        <w:t xml:space="preserve"> over the vocabulary at each position.</w:t>
      </w:r>
    </w:p>
    <w:p>
      <w:pPr>
        <w:spacing w:before="0" w:after="0"/>
        <w:pStyle w:val="ListParagraph"/>
        <w:ind w:left="720"/>
        <w:numPr>
          <w:ilvl w:val="0"/>
          <w:numId w:val="18"/>
        </w:numPr>
      </w:pPr>
      <w:r>
        <w:rPr/>
        <w:t xml:space="preserve">Train with </w:t>
      </w:r>
      <w:r>
        <w:rPr>
          <w:b/>
        </w:rPr>
        <w:t xml:space="preserve">per-position cross-entropy loss</w:t>
      </w:r>
      <w:r>
        <w:rPr/>
        <w:t xml:space="preserve"> (reconstruction loss): (\mathcal{L}_{\text{recon}} = -\sum_{t=1}</w:t>
      </w:r>
      <w:r>
        <w:rPr>
          <w:vertAlign w:val="superscript"/>
        </w:rPr>
        <w:t xml:space="preserve">{T}</w:t>
      </w:r>
      <w:r>
        <w:rPr/>
        <w:t xml:space="preserve"> \sum_c y_{t,c} \log \hat{y}_{t,c}). This is directly the multi-class cross-entropy from Ch 6 applied at each time step.</w:t>
      </w:r>
    </w:p>
    <w:p>
      <w:pPr>
        <w:spacing w:before="0" w:after="0"/>
        <w:pStyle w:val="ListParagraph"/>
        <w:ind w:left="720"/>
        <w:numPr>
          <w:ilvl w:val="0"/>
          <w:numId w:val="18"/>
        </w:numPr>
      </w:pPr>
      <w:r>
        <w:rPr/>
        <w:t xml:space="preserve">Report </w:t>
      </w:r>
      <w:r>
        <w:rPr>
          <w:b/>
        </w:rPr>
        <w:t xml:space="preserve">reconstruction accuracy</w:t>
      </w:r>
      <w:r>
        <w:rPr/>
        <w:t xml:space="preserve"> (fraction of positions correctly recovered on validation sequences) and </w:t>
      </w:r>
      <w:r>
        <w:rPr>
          <w:b/>
        </w:rPr>
        <w:t xml:space="preserve">validity</w:t>
      </w:r>
      <w:r>
        <w:rPr/>
        <w:t xml:space="preserve"> (fraction of reconstructed SMILES that parse as valid molecules, using </w:t>
      </w:r>
      <w:r>
        <w:rPr>
          <w:rStyle w:val="Code"/>
        </w:rPr>
        <w:t xml:space="preserve">rdkit.Chem.MolFromSmiles</w:t>
      </w:r>
      <w:r>
        <w:rPr/>
        <w:t xml:space="preserve">).</w:t>
      </w:r>
    </w:p>
    <w:p>
      <w:pPr/>
      <w:r>
        <w:rPr>
          <w:b/>
        </w:rPr>
        <w:t xml:space="preserve">Step 3 — VAE Derivation and Implementation</w:t>
      </w:r>
    </w:p>
    <w:p>
      <w:pPr>
        <w:spacing w:before="0" w:after="0"/>
        <w:pStyle w:val="ListParagraph"/>
        <w:ind w:left="720"/>
        <w:numPr>
          <w:ilvl w:val="0"/>
          <w:numId w:val="19"/>
        </w:numPr>
      </w:pPr>
      <w:r>
        <w:rPr/>
        <w:t xml:space="preserve">In your report, derive the </w:t>
      </w:r>
      <w:r>
        <w:rPr>
          <w:b/>
        </w:rPr>
        <w:t xml:space="preserve">ELBO</w:t>
      </w:r>
      <w:r>
        <w:rPr/>
        <w:t xml:space="preserve"> from scratch: [ \log p(\mathbf{x}) \geq \mathbb{E}_{q(\mathbf{z}|\mathbf{x})}\left[\log p(\mathbf{x}|\mathbf{z})\right] - D</w:t>
      </w:r>
      <w:r>
        <w:rPr>
          <w:i/>
        </w:rPr>
        <w:t xml:space="preserve">{\mathrm{KL}}!\left(q(\mathbf{z}|\mathbf{x}) \,|\, p(\mathbf{z})\right) ] where (p(\mathbf{z}) = \mathcal{N}(\mathbf{0}, \mathbf{I})), (q(\mathbf{z}|\mathbf{x}) = \mathcal{N}(\boldsymbol{\mu}</w:t>
      </w:r>
      <w:r>
        <w:rPr/>
        <w:t xml:space="preserve">\phi, \text{diag}(\boldsymbol{\sigma}_\phi</w:t>
      </w:r>
      <w:r>
        <w:rPr>
          <w:vertAlign w:val="superscript"/>
        </w:rPr>
        <w:t xml:space="preserve">2</w:t>
      </w:r>
      <w:r>
        <w:rPr/>
        <w:t xml:space="preserve">))).</w:t>
      </w:r>
    </w:p>
    <w:p>
      <w:pPr>
        <w:spacing w:before="0" w:after="0"/>
        <w:pStyle w:val="ListParagraph"/>
        <w:ind w:left="720"/>
        <w:numPr>
          <w:ilvl w:val="0"/>
          <w:numId w:val="19"/>
        </w:numPr>
      </w:pPr>
      <w:r>
        <w:rPr/>
        <w:t xml:space="preserve">Show that the KL term between two Gaussians has a closed form: (D_{\mathrm{KL}} = \frac{1}{2}\sum_j\left(\sigma_j</w:t>
      </w:r>
      <w:r>
        <w:rPr>
          <w:vertAlign w:val="superscript"/>
        </w:rPr>
        <w:t xml:space="preserve">2</w:t>
      </w:r>
      <w:r>
        <w:rPr/>
        <w:t xml:space="preserve"> + \mu_j</w:t>
      </w:r>
      <w:r>
        <w:rPr>
          <w:vertAlign w:val="superscript"/>
        </w:rPr>
        <w:t xml:space="preserve">2</w:t>
      </w:r>
      <w:r>
        <w:rPr/>
        <w:t xml:space="preserve"> - 1 - \log \sigma_j</w:t>
      </w:r>
      <w:r>
        <w:rPr>
          <w:vertAlign w:val="superscript"/>
        </w:rPr>
        <w:t xml:space="preserve">2</w:t>
      </w:r>
      <w:r>
        <w:rPr/>
        <w:t xml:space="preserve">\right)). Connect this formula to the entropy and cross-entropy definitions from Ch 6.</w:t>
      </w:r>
    </w:p>
    <w:p>
      <w:pPr>
        <w:spacing w:before="0" w:after="0"/>
        <w:pStyle w:val="ListParagraph"/>
        <w:ind w:left="720"/>
        <w:numPr>
          <w:ilvl w:val="0"/>
          <w:numId w:val="19"/>
        </w:numPr>
      </w:pPr>
      <w:r>
        <w:rPr/>
        <w:t xml:space="preserve">Implement the VAE: encoder outputs ((\boldsymbol{\mu}, \log\boldsymbol{\sigma}</w:t>
      </w:r>
      <w:r>
        <w:rPr>
          <w:vertAlign w:val="superscript"/>
        </w:rPr>
        <w:t xml:space="preserve">2</w:t>
      </w:r>
      <w:r>
        <w:rPr/>
        <w:t xml:space="preserve">)); use the </w:t>
      </w:r>
      <w:r>
        <w:rPr>
          <w:b/>
        </w:rPr>
        <w:t xml:space="preserve">reparameterization trick</w:t>
      </w:r>
      <w:r>
        <w:rPr/>
        <w:t xml:space="preserve"> (\mathbf{z} = \boldsymbol{\mu} + \boldsymbol{\sigma} \odot \boldsymbol{\epsilon}), (\boldsymbol{\epsilon} \sim \mathcal{N}(\mathbf{0},\mathbf{I})) to keep gradients flowing.</w:t>
      </w:r>
    </w:p>
    <w:p>
      <w:pPr>
        <w:spacing w:before="0" w:after="0"/>
        <w:pStyle w:val="ListParagraph"/>
        <w:ind w:left="720"/>
        <w:numPr>
          <w:ilvl w:val="0"/>
          <w:numId w:val="19"/>
        </w:numPr>
      </w:pPr>
      <w:r>
        <w:rPr/>
        <w:t xml:space="preserve">Total loss: (\mathcal{L} = \mathcal{L}_{\text{recon}} + \beta \cdot D_{\mathrm{KL}}). Start with (\beta = 1); the (\beta)-VAE ablation in Step 7 will vary this.</w:t>
      </w:r>
    </w:p>
    <w:p>
      <w:pPr/>
      <w:r>
        <w:rPr>
          <w:b/>
        </w:rPr>
        <w:t xml:space="preserve">Step 4 — 1-D Convolutional Encoder/Decoder</w:t>
      </w:r>
    </w:p>
    <w:p>
      <w:pPr>
        <w:spacing w:before="0" w:after="0"/>
        <w:pStyle w:val="ListParagraph"/>
        <w:ind w:left="720"/>
        <w:numPr>
          <w:ilvl w:val="0"/>
          <w:numId w:val="20"/>
        </w:numPr>
      </w:pPr>
      <w:r>
        <w:rPr/>
        <w:t xml:space="preserve">Replace the MLP encoder with a </w:t>
      </w:r>
      <w:r>
        <w:rPr>
          <w:b/>
        </w:rPr>
        <w:t xml:space="preserve">1-D CNN encoder</w:t>
      </w:r>
      <w:r>
        <w:rPr/>
        <w:t xml:space="preserve">: stack of </w:t>
      </w:r>
      <w:r>
        <w:rPr>
          <w:rStyle w:val="Code"/>
        </w:rPr>
        <w:t xml:space="preserve">Conv1d</w:t>
      </w:r>
      <w:r>
        <w:rPr/>
        <w:t xml:space="preserve"> layers with increasing dilation (dilation = 1, 2, 4) to capture local and medium-range dependencies in the sequence. Apply batch normalization and ReLU after each layer. Global average pool the final feature map and pass through a linear layer to produce ((\boldsymbol{\mu}, \log\boldsymbol{\sigma}</w:t>
      </w:r>
      <w:r>
        <w:rPr>
          <w:vertAlign w:val="superscript"/>
        </w:rPr>
        <w:t xml:space="preserve">2</w:t>
      </w:r>
      <w:r>
        <w:rPr/>
        <w:t xml:space="preserve">)).</w:t>
      </w:r>
    </w:p>
    <w:p>
      <w:pPr>
        <w:spacing w:before="0" w:after="0"/>
        <w:pStyle w:val="ListParagraph"/>
        <w:ind w:left="720"/>
        <w:numPr>
          <w:ilvl w:val="0"/>
          <w:numId w:val="20"/>
        </w:numPr>
      </w:pPr>
      <w:r>
        <w:rPr/>
        <w:t xml:space="preserve">Decoder: linear layer maps (\mathbf{z}) → flattened feature map, then </w:t>
      </w:r>
      <w:r>
        <w:rPr>
          <w:rStyle w:val="Code"/>
        </w:rPr>
        <w:t xml:space="preserve">ConvTranspose1d</w:t>
      </w:r>
      <w:r>
        <w:rPr/>
        <w:t xml:space="preserve"> (transpose convolution, Ch 10) layers to upsample back to the original sequence length. Final layer: </w:t>
      </w:r>
      <w:r>
        <w:rPr>
          <w:rStyle w:val="Code"/>
        </w:rPr>
        <w:t xml:space="preserve">Conv1d → Softmax</w:t>
      </w:r>
      <w:r>
        <w:rPr/>
        <w:t xml:space="preserve"> over vocabulary.</w:t>
      </w:r>
    </w:p>
    <w:p>
      <w:pPr>
        <w:spacing w:before="0" w:after="0"/>
        <w:pStyle w:val="ListParagraph"/>
        <w:ind w:left="720"/>
        <w:numPr>
          <w:ilvl w:val="0"/>
          <w:numId w:val="20"/>
        </w:numPr>
      </w:pPr>
      <w:r>
        <w:rPr/>
        <w:t xml:space="preserve">Use the same ELBO loss. Compare reconstruction accuracy and validity against the MLP baseline.</w:t>
      </w:r>
    </w:p>
    <w:p>
      <w:pPr/>
      <w:r>
        <w:rPr>
          <w:b/>
        </w:rPr>
        <w:t xml:space="preserve">Step 5 — Latent Space Visualization via PCA</w:t>
      </w:r>
    </w:p>
    <w:p>
      <w:pPr>
        <w:spacing w:before="0" w:after="0"/>
        <w:pStyle w:val="ListParagraph"/>
        <w:ind w:left="720"/>
        <w:numPr>
          <w:ilvl w:val="0"/>
          <w:numId w:val="21"/>
        </w:numPr>
      </w:pPr>
      <w:r>
        <w:rPr/>
        <w:t xml:space="preserve">Encode all validation sequences to get (\boldsymbol{\mu}) vectors. Collect them into a matrix (Z \in \mathbb{R}</w:t>
      </w:r>
      <w:r>
        <w:rPr>
          <w:vertAlign w:val="superscript"/>
        </w:rPr>
        <w:t xml:space="preserve">{N</w:t>
      </w:r>
      <w:r>
        <w:rPr/>
        <w:t xml:space="preserve"> \times d}) where (d) is the latent dimension.</w:t>
      </w:r>
    </w:p>
    <w:p>
      <w:pPr>
        <w:spacing w:before="0" w:after="0"/>
        <w:pStyle w:val="ListParagraph"/>
        <w:ind w:left="720"/>
        <w:numPr>
          <w:ilvl w:val="0"/>
          <w:numId w:val="21"/>
        </w:numPr>
      </w:pPr>
      <w:r>
        <w:rPr/>
        <w:t xml:space="preserve">Apply PCA (from scratch using </w:t>
      </w:r>
      <w:r>
        <w:rPr>
          <w:rStyle w:val="Code"/>
        </w:rPr>
        <w:t xml:space="preserve">torch.linalg.svd</w:t>
      </w:r>
      <w:r>
        <w:rPr/>
        <w:t xml:space="preserve"> on the centered (Z), as in Ch 4) and project to 2-D.</w:t>
      </w:r>
    </w:p>
    <w:p>
      <w:pPr>
        <w:spacing w:before="0" w:after="0"/>
        <w:pStyle w:val="ListParagraph"/>
        <w:ind w:left="720"/>
        <w:numPr>
          <w:ilvl w:val="0"/>
          <w:numId w:val="21"/>
        </w:numPr>
      </w:pPr>
      <w:r>
        <w:rPr/>
        <w:t xml:space="preserve">Color the 2-D scatter plot by a molecular property (e.g., molecular weight, logP, or QED drug-likeness score from </w:t>
      </w:r>
      <w:r>
        <w:rPr>
          <w:rStyle w:val="Code"/>
        </w:rPr>
        <w:t xml:space="preserve">rdkit</w:t>
      </w:r>
      <w:r>
        <w:rPr/>
        <w:t xml:space="preserve">). Observe whether the latent space is organized by these properties.</w:t>
      </w:r>
    </w:p>
    <w:p>
      <w:pPr>
        <w:spacing w:before="0" w:after="0"/>
        <w:pStyle w:val="ListParagraph"/>
        <w:ind w:left="720"/>
        <w:numPr>
          <w:ilvl w:val="0"/>
          <w:numId w:val="21"/>
        </w:numPr>
      </w:pPr>
      <w:r>
        <w:rPr/>
        <w:t xml:space="preserve">Report the </w:t>
      </w:r>
      <w:r>
        <w:rPr>
          <w:b/>
        </w:rPr>
        <w:t xml:space="preserve">variance explained</w:t>
      </w:r>
      <w:r>
        <w:rPr/>
        <w:t xml:space="preserve"> by the top-2 and top-10 principal components. Discuss: if 90% of variance is explained by 2 PCs, the model has found a low-dimensional manifold — a sign of structured representation.</w:t>
      </w:r>
    </w:p>
    <w:p>
      <w:pPr/>
      <w:r>
        <w:rPr>
          <w:b/>
        </w:rPr>
        <w:t xml:space="preserve">Step 6 — Latent-Space Interpolation</w:t>
      </w:r>
    </w:p>
    <w:p>
      <w:pPr>
        <w:spacing w:before="0" w:after="0"/>
        <w:pStyle w:val="ListParagraph"/>
        <w:ind w:left="720"/>
        <w:numPr>
          <w:ilvl w:val="0"/>
          <w:numId w:val="22"/>
        </w:numPr>
      </w:pPr>
      <w:r>
        <w:rPr/>
        <w:t xml:space="preserve">Select two seed molecules with known properties (e.g., aspirin and ibuprofen, or two molecules with very different QED scores).</w:t>
      </w:r>
    </w:p>
    <w:p>
      <w:pPr>
        <w:spacing w:before="0" w:after="0"/>
        <w:pStyle w:val="ListParagraph"/>
        <w:ind w:left="720"/>
        <w:numPr>
          <w:ilvl w:val="0"/>
          <w:numId w:val="22"/>
        </w:numPr>
      </w:pPr>
      <w:r>
        <w:rPr/>
        <w:t xml:space="preserve">Encode each to its latent mean vector (\boldsymbol{\mu}_A) and (\boldsymbol{\mu}_B).</w:t>
      </w:r>
    </w:p>
    <w:p>
      <w:pPr>
        <w:spacing w:before="0" w:after="0"/>
        <w:pStyle w:val="ListParagraph"/>
        <w:ind w:left="720"/>
        <w:numPr>
          <w:ilvl w:val="0"/>
          <w:numId w:val="22"/>
        </w:numPr>
      </w:pPr>
      <w:r>
        <w:rPr/>
        <w:t xml:space="preserve">Generate 10 interpolated points: (\mathbf{z}_\alpha = (1-\alpha)\boldsymbol{\mu}_A + \alpha \boldsymbol{\mu}_B) for (\alpha \in {0, 0.1, \ldots, 1.0}). Decode each point and check validity. Report what fraction of interpolated points yield valid molecules.</w:t>
      </w:r>
    </w:p>
    <w:p>
      <w:pPr>
        <w:spacing w:before="0" w:after="0"/>
        <w:pStyle w:val="ListParagraph"/>
        <w:ind w:left="720"/>
        <w:numPr>
          <w:ilvl w:val="0"/>
          <w:numId w:val="22"/>
        </w:numPr>
      </w:pPr>
      <w:r>
        <w:rPr/>
        <w:t xml:space="preserve">Plot the QED score along the interpolation path. Does it vary smoothly? Discuss in terms of the continuity induced by the KL regularizer.</w:t>
      </w:r>
    </w:p>
    <w:p>
      <w:pPr/>
      <w:r>
        <w:rPr>
          <w:b/>
        </w:rPr>
        <w:t xml:space="preserve">Step 7 — Beta-VAE Ablation</w:t>
      </w:r>
    </w:p>
    <w:p>
      <w:pPr>
        <w:spacing w:before="0" w:after="0"/>
        <w:pStyle w:val="ListParagraph"/>
        <w:ind w:left="720"/>
        <w:numPr>
          <w:ilvl w:val="0"/>
          <w:numId w:val="23"/>
        </w:numPr>
      </w:pPr>
      <w:r>
        <w:rPr/>
        <w:t xml:space="preserve">Train VAE variants with (\beta \in {0.1, 0.5, 1, 5, 10}). For each, record:</w:t>
      </w:r>
    </w:p>
    <w:p>
      <w:pPr>
        <w:spacing w:before="0" w:after="0"/>
        <w:pStyle w:val="ListParagraph"/>
        <w:ind w:left="720"/>
        <w:numPr>
          <w:ilvl w:val="0"/>
          <w:numId w:val="23"/>
        </w:numPr>
      </w:pPr>
      <w:r>
        <w:rPr/>
        <w:t xml:space="preserve">Reconstruction accuracy (recon loss)</w:t>
      </w:r>
    </w:p>
    <w:p>
      <w:pPr>
        <w:spacing w:before="0" w:after="0"/>
        <w:pStyle w:val="ListParagraph"/>
        <w:ind w:left="720"/>
        <w:numPr>
          <w:ilvl w:val="0"/>
          <w:numId w:val="23"/>
        </w:numPr>
      </w:pPr>
      <w:r>
        <w:rPr/>
        <w:t xml:space="preserve">Posterior collapse rate (fraction of latent dimensions with KL ≈ 0)</w:t>
      </w:r>
    </w:p>
    <w:p>
      <w:pPr>
        <w:spacing w:before="0" w:after="0"/>
        <w:pStyle w:val="ListParagraph"/>
        <w:ind w:left="720"/>
        <w:numPr>
          <w:ilvl w:val="0"/>
          <w:numId w:val="23"/>
        </w:numPr>
      </w:pPr>
      <w:r>
        <w:rPr/>
        <w:t xml:space="preserve">Interpolation validity rate (from Step 6)</w:t>
      </w:r>
    </w:p>
    <w:p>
      <w:pPr>
        <w:spacing w:before="0" w:after="0"/>
        <w:pStyle w:val="ListParagraph"/>
        <w:ind w:left="720"/>
        <w:numPr>
          <w:ilvl w:val="0"/>
          <w:numId w:val="23"/>
        </w:numPr>
      </w:pPr>
      <w:r>
        <w:rPr/>
        <w:t xml:space="preserve">Variance explained by top-2 PCs of the latent space</w:t>
      </w:r>
    </w:p>
    <w:p>
      <w:pPr>
        <w:spacing w:before="0" w:after="0"/>
        <w:pStyle w:val="ListParagraph"/>
        <w:ind w:left="720"/>
        <w:numPr>
          <w:ilvl w:val="0"/>
          <w:numId w:val="23"/>
        </w:numPr>
      </w:pPr>
      <w:r>
        <w:rPr/>
        <w:t xml:space="preserve">Tabulate results and plot reconstruction accuracy vs. (\beta). Explain the tradeoff: large (\beta) enforces a more Gaussian posterior (good for interpolation) but hurts reconstruction; small (\beta) → the model ignores the prior and collapses to a deterministic autoencoder.</w:t>
      </w:r>
    </w:p>
    <w:p>
      <w:pPr/>
      <w:r>
        <w:rPr>
          <w:b/>
        </w:rPr>
        <w:t xml:space="preserve">Step 8 — Latent Dimension Ablation</w:t>
      </w:r>
    </w:p>
    <w:p>
      <w:pPr>
        <w:spacing w:before="0" w:after="0"/>
        <w:pStyle w:val="ListParagraph"/>
        <w:ind w:left="720"/>
        <w:numPr>
          <w:ilvl w:val="0"/>
          <w:numId w:val="24"/>
        </w:numPr>
      </w:pPr>
      <w:r>
        <w:rPr/>
        <w:t xml:space="preserve">Fix (\beta = 1) and vary latent dimension (d \in {8, 16, 32, 64, 128}).</w:t>
      </w:r>
    </w:p>
    <w:p>
      <w:pPr>
        <w:spacing w:before="0" w:after="0"/>
        <w:pStyle w:val="ListParagraph"/>
        <w:ind w:left="720"/>
        <w:numPr>
          <w:ilvl w:val="0"/>
          <w:numId w:val="24"/>
        </w:numPr>
      </w:pPr>
      <w:r>
        <w:rPr/>
        <w:t xml:space="preserve">For each, compute: reconstruction accuracy, percent validity, KL value, and PCA variance explained by top-2 PCs.</w:t>
      </w:r>
    </w:p>
    <w:p>
      <w:pPr>
        <w:spacing w:before="0" w:after="0"/>
        <w:pStyle w:val="ListParagraph"/>
        <w:ind w:left="720"/>
        <w:numPr>
          <w:ilvl w:val="0"/>
          <w:numId w:val="24"/>
        </w:numPr>
      </w:pPr>
      <w:r>
        <w:rPr/>
        <w:t xml:space="preserve">Discuss: is there a minimum (d) beyond which performance saturates? Connect to the concept of intrinsic dimensionality (analogous to the number of PCs needed to capture 90% variance in Ch 4 Lec 6).</w:t>
      </w:r>
    </w:p>
    <w:p>
      <w:pPr/>
      <w:r>
        <w:rPr>
          <w:b/>
        </w:rPr>
        <w:t xml:space="preserve">Step 9 — Mathematical Analysis Section</w:t>
      </w:r>
    </w:p>
    <w:p>
      <w:pPr>
        <w:spacing w:before="0" w:after="0"/>
        <w:pStyle w:val="ListParagraph"/>
        <w:ind w:left="720"/>
        <w:numPr>
          <w:ilvl w:val="0"/>
          <w:numId w:val="25"/>
        </w:numPr>
      </w:pPr>
      <w:r>
        <w:rPr/>
        <w:t xml:space="preserve">Derive the entropy (H(\mathcal{N}(\mu, \sigma</w:t>
      </w:r>
      <w:r>
        <w:rPr>
          <w:vertAlign w:val="superscript"/>
        </w:rPr>
        <w:t xml:space="preserve">2</w:t>
      </w:r>
      <w:r>
        <w:rPr/>
        <w:t xml:space="preserve">)) = \frac{1}{2}\log(2\pi e \sigma</w:t>
      </w:r>
      <w:r>
        <w:rPr>
          <w:vertAlign w:val="superscript"/>
        </w:rPr>
        <w:t xml:space="preserve">2</w:t>
      </w:r>
      <w:r>
        <w:rPr/>
        <w:t xml:space="preserve">)) and show how maximizing entropy of the posterior relates to the KL minimization objective.</w:t>
      </w:r>
    </w:p>
    <w:p>
      <w:pPr>
        <w:spacing w:before="0" w:after="0"/>
        <w:pStyle w:val="ListParagraph"/>
        <w:ind w:left="720"/>
        <w:numPr>
          <w:ilvl w:val="0"/>
          <w:numId w:val="25"/>
        </w:numPr>
      </w:pPr>
      <w:r>
        <w:rPr/>
        <w:t xml:space="preserve">Show that the MLE of a Gaussian from samples is the sample mean and variance (from Ch 5), and connect this to what the VAE encoder is learning.</w:t>
      </w:r>
    </w:p>
    <w:p>
      <w:pPr>
        <w:spacing w:before="0" w:after="0"/>
        <w:pStyle w:val="ListParagraph"/>
        <w:ind w:left="720"/>
        <w:numPr>
          <w:ilvl w:val="0"/>
          <w:numId w:val="25"/>
        </w:numPr>
      </w:pPr>
      <w:r>
        <w:rPr/>
        <w:t xml:space="preserve">Provide a boxplot of KL values per latent dimension for the best model, identifying which dimensions are "active" (KL &gt;&gt; 0) vs. "dead" (KL ≈ 0).</w:t>
      </w:r>
    </w:p>
    <w:p>
      <w:pPr>
        <w:pBdr>
          <w:bottom w:val="single" w:sz="6" w:space="1" w:color="auto"/>
        </w:pBdr>
        <w:spacing w:before="0" w:after="0" w:line="1" w:lineRule="auto"/>
      </w:pPr>
    </w:p>
    <w:p>
      <w:pPr>
        <w:pStyle w:val="Heading2"/>
        <w:keepNext/>
      </w:pPr>
      <w:r>
        <w:rPr/>
        <w:t xml:space="preserve">Project 3: PCA-Informed EEG Spectral Architecture for Neural State Classification</w:t>
      </w:r>
    </w:p>
    <w:p>
      <w:pPr/>
      <w:r>
        <w:rPr>
          <w:b/>
        </w:rPr>
        <w:t xml:space="preserve">Domain:</w:t>
      </w:r>
      <w:r>
        <w:rPr/>
        <w:t xml:space="preserve"> Neuroscience </w:t>
      </w:r>
      <w:r>
        <w:rPr>
          <w:b/>
        </w:rPr>
        <w:t xml:space="preserve">Modality:</w:t>
      </w:r>
      <w:r>
        <w:rPr/>
        <w:t xml:space="preserve"> Sequence (multi-channel time series) </w:t>
      </w:r>
      <w:r>
        <w:rPr>
          <w:b/>
        </w:rPr>
        <w:t xml:space="preserve">Core Course Concepts:</w:t>
      </w:r>
      <w:r>
        <w:rPr/>
        <w:t xml:space="preserve"> Covariance matrix (Ch 4 Lec 6), PCA and variance explained (Ch 4 Lec 6), condition number (Ch 4 Lec 5), PSD matrices (Ch 4 Lec 5), cross-entropy (Ch 6), gradient descent (Ch 3), 1-D convolution (Ch 10), MLP (Ch 7–8)</w:t>
      </w:r>
    </w:p>
    <w:p>
      <w:pPr>
        <w:pStyle w:val="Heading3"/>
        <w:keepNext/>
      </w:pPr>
      <w:r>
        <w:rPr/>
        <w:t xml:space="preserve">Motivation</w:t>
      </w:r>
    </w:p>
    <w:p>
      <w:pPr/>
      <w:r>
        <w:rPr/>
        <w:t xml:space="preserve">EEG recordings capture electrical activity from the brain through multiple electrodes simultaneously. Each trial is a multi-channel time series where correlations between channels carry information about cognitive states. This project connects the mathematical structure of the channel covariance matrix — eigenvalues, positive semi-definiteness, condition number — to the choice of deep learning architecture for decoding mental states from EEG.</w:t>
      </w:r>
    </w:p>
    <w:p>
      <w:pPr>
        <w:pStyle w:val="Heading3"/>
        <w:keepNext/>
      </w:pPr>
      <w:r>
        <w:rPr/>
        <w:t xml:space="preserve">Learning Objectives</w:t>
      </w:r>
    </w:p>
    <w:p>
      <w:pPr>
        <w:spacing w:before="0" w:after="0"/>
        <w:pStyle w:val="ListParagraph"/>
        <w:ind w:left="720"/>
        <w:numPr>
          <w:ilvl w:val="0"/>
          <w:numId w:val="26"/>
        </w:numPr>
      </w:pPr>
      <w:r>
        <w:rPr/>
        <w:t xml:space="preserve">Compute and interpret the channel covariance matrix and its eigenspectrum.</w:t>
      </w:r>
    </w:p>
    <w:p>
      <w:pPr>
        <w:spacing w:before="0" w:after="0"/>
        <w:pStyle w:val="ListParagraph"/>
        <w:ind w:left="720"/>
        <w:numPr>
          <w:ilvl w:val="0"/>
          <w:numId w:val="26"/>
        </w:numPr>
      </w:pPr>
      <w:r>
        <w:rPr/>
        <w:t xml:space="preserve">Use PCA as a preprocessing step and measure how many principal components preserve classification-relevant information.</w:t>
      </w:r>
    </w:p>
    <w:p>
      <w:pPr>
        <w:spacing w:before="0" w:after="0"/>
        <w:pStyle w:val="ListParagraph"/>
        <w:ind w:left="720"/>
        <w:numPr>
          <w:ilvl w:val="0"/>
          <w:numId w:val="26"/>
        </w:numPr>
      </w:pPr>
      <w:r>
        <w:rPr/>
        <w:t xml:space="preserve">Connect the condition number of the covariance to convergence behavior in gradient descent.</w:t>
      </w:r>
    </w:p>
    <w:p>
      <w:pPr>
        <w:spacing w:before="0" w:after="0"/>
        <w:pStyle w:val="ListParagraph"/>
        <w:ind w:left="720"/>
        <w:numPr>
          <w:ilvl w:val="0"/>
          <w:numId w:val="26"/>
        </w:numPr>
      </w:pPr>
      <w:r>
        <w:rPr/>
        <w:t xml:space="preserve">Compare PCA-preprocessing + MLP, 1-D CNN, and multi-head self-attention architectures on the same classification task.</w:t>
      </w:r>
    </w:p>
    <w:p>
      <w:pPr>
        <w:pStyle w:val="Heading3"/>
        <w:keepNext/>
      </w:pPr>
      <w:r>
        <w:rPr/>
        <w:t xml:space="preserve">Suggested Dataset</w:t>
      </w:r>
    </w:p>
    <w:p>
      <w:pPr>
        <w:spacing w:before="0" w:after="0"/>
        <w:pStyle w:val="ListParagraph"/>
        <w:ind w:left="720"/>
        <w:numPr>
          <w:ilvl w:val="0"/>
          <w:numId w:val="27"/>
        </w:numPr>
      </w:pPr>
      <w:r>
        <w:rPr>
          <w:b/>
        </w:rPr>
        <w:t xml:space="preserve">BCI Competition IV Dataset 2a</w:t>
      </w:r>
      <w:r>
        <w:rPr/>
        <w:t xml:space="preserve"> (9 subjects, 4-class motor imagery EEG, 22 channels, 250 Hz, freely downloadable from the BCI competition archive).</w:t>
      </w:r>
    </w:p>
    <w:p>
      <w:pPr>
        <w:spacing w:before="0" w:after="0"/>
        <w:pStyle w:val="ListParagraph"/>
        <w:ind w:left="720"/>
        <w:numPr>
          <w:ilvl w:val="0"/>
          <w:numId w:val="27"/>
        </w:numPr>
      </w:pPr>
      <w:r>
        <w:rPr/>
        <w:t xml:space="preserve">Fallback: </w:t>
      </w:r>
      <w:r>
        <w:rPr>
          <w:b/>
        </w:rPr>
        <w:t xml:space="preserve">PhysioNet EEG Motor Movement/Imagery Dataset</w:t>
      </w:r>
      <w:r>
        <w:rPr/>
        <w:t xml:space="preserve"> (109 subjects, 64 channels, binary or 4-class, available via </w:t>
      </w:r>
      <w:r>
        <w:rPr>
          <w:rStyle w:val="Code"/>
        </w:rPr>
        <w:t xml:space="preserve">mne</w:t>
      </w:r>
      <w:r>
        <w:rPr/>
        <w:t xml:space="preserve"> library with one function call).</w:t>
      </w:r>
    </w:p>
    <w:p>
      <w:pPr>
        <w:pStyle w:val="Heading3"/>
        <w:keepNext/>
      </w:pPr>
      <w:r>
        <w:rPr/>
        <w:t xml:space="preserve">Implementation Steps</w:t>
      </w:r>
    </w:p>
    <w:p>
      <w:pPr/>
      <w:r>
        <w:rPr>
          <w:b/>
        </w:rPr>
        <w:t xml:space="preserve">Step 1 — Data Loading and Epoching</w:t>
      </w:r>
    </w:p>
    <w:p>
      <w:pPr>
        <w:spacing w:before="0" w:after="0"/>
        <w:pStyle w:val="ListParagraph"/>
        <w:ind w:left="720"/>
        <w:numPr>
          <w:ilvl w:val="0"/>
          <w:numId w:val="28"/>
        </w:numPr>
      </w:pPr>
      <w:r>
        <w:rPr/>
        <w:t xml:space="preserve">Use the </w:t>
      </w:r>
      <w:r>
        <w:rPr>
          <w:rStyle w:val="Code"/>
        </w:rPr>
        <w:t xml:space="preserve">mne</w:t>
      </w:r>
      <w:r>
        <w:rPr/>
        <w:t xml:space="preserve"> library to load raw EEG files. Band-pass filter the raw signal to 4–40 Hz (covers theta, alpha, beta, and low gamma bands — the frequency ranges most informative for motor imagery).</w:t>
      </w:r>
    </w:p>
    <w:p>
      <w:pPr>
        <w:spacing w:before="0" w:after="0"/>
        <w:pStyle w:val="ListParagraph"/>
        <w:ind w:left="720"/>
        <w:numPr>
          <w:ilvl w:val="0"/>
          <w:numId w:val="28"/>
        </w:numPr>
      </w:pPr>
      <w:r>
        <w:rPr/>
        <w:t xml:space="preserve">Epoch the continuous signal around event markers (e.g., motor imagery cue onset). Use a window of ([-0.5, 4.0]) seconds relative to the cue, yielding trials of shape </w:t>
      </w:r>
      <w:r>
        <w:rPr>
          <w:rStyle w:val="Code"/>
        </w:rPr>
        <w:t xml:space="preserve">(n_channels, n_timepoints)</w:t>
      </w:r>
      <w:r>
        <w:rPr/>
        <w:t xml:space="preserve">.</w:t>
      </w:r>
    </w:p>
    <w:p>
      <w:pPr>
        <w:spacing w:before="0" w:after="0"/>
        <w:pStyle w:val="ListParagraph"/>
        <w:ind w:left="720"/>
        <w:numPr>
          <w:ilvl w:val="0"/>
          <w:numId w:val="28"/>
        </w:numPr>
      </w:pPr>
      <w:r>
        <w:rPr/>
        <w:t xml:space="preserve">Apply baseline correction: subtract the mean of the ([-0.5, 0]) pre-stimulus window from each channel.</w:t>
      </w:r>
    </w:p>
    <w:p>
      <w:pPr>
        <w:spacing w:before="0" w:after="0"/>
        <w:pStyle w:val="ListParagraph"/>
        <w:ind w:left="720"/>
        <w:numPr>
          <w:ilvl w:val="0"/>
          <w:numId w:val="28"/>
        </w:numPr>
      </w:pPr>
      <w:r>
        <w:rPr/>
        <w:t xml:space="preserve">Report trial counts per class. For BCI IV 2a: 4 classes (left hand, right hand, feet, tongue), ~72 trials per class per subject. Ensure balanced splits.</w:t>
      </w:r>
    </w:p>
    <w:p>
      <w:pPr>
        <w:spacing w:before="0" w:after="0"/>
        <w:pStyle w:val="ListParagraph"/>
        <w:ind w:left="720"/>
        <w:numPr>
          <w:ilvl w:val="0"/>
          <w:numId w:val="28"/>
        </w:numPr>
      </w:pPr>
      <w:r>
        <w:rPr/>
        <w:t xml:space="preserve">Standardize each channel to zero mean and unit variance across the training set. Apply the same statistics (computed on the training set only) to validation and test.</w:t>
      </w:r>
    </w:p>
    <w:p>
      <w:pPr/>
      <w:r>
        <w:rPr>
          <w:b/>
        </w:rPr>
        <w:t xml:space="preserve">Step 2 — Covariance Matrix Analysis</w:t>
      </w:r>
    </w:p>
    <w:p>
      <w:pPr>
        <w:spacing w:before="0" w:after="0"/>
        <w:pStyle w:val="ListParagraph"/>
        <w:ind w:left="720"/>
        <w:numPr>
          <w:ilvl w:val="0"/>
          <w:numId w:val="29"/>
        </w:numPr>
      </w:pPr>
      <w:r>
        <w:rPr/>
        <w:t xml:space="preserve">For each subject, compute the </w:t>
      </w:r>
      <w:r>
        <w:rPr>
          <w:b/>
        </w:rPr>
        <w:t xml:space="preserve">trial-averaged spatial covariance matrix</w:t>
      </w:r>
      <w:r>
        <w:rPr/>
        <w:t xml:space="preserve"> (C \in \mathbb{R}</w:t>
      </w:r>
      <w:r>
        <w:rPr>
          <w:vertAlign w:val="superscript"/>
        </w:rPr>
        <w:t xml:space="preserve">{n</w:t>
      </w:r>
      <w:r>
        <w:rPr/>
        <w:t xml:space="preserve">_{\text{ch}} \times n_{\text{ch}}}) from the training trials: [ C = \frac{1}{N T} \sum_{i=1}</w:t>
      </w:r>
      <w:r>
        <w:rPr>
          <w:vertAlign w:val="superscript"/>
        </w:rPr>
        <w:t xml:space="preserve">{N}</w:t>
      </w:r>
      <w:r>
        <w:rPr/>
        <w:t xml:space="preserve"> X_i X_i</w:t>
      </w:r>
      <w:r>
        <w:rPr>
          <w:vertAlign w:val="superscript"/>
        </w:rPr>
        <w:t xml:space="preserve">T</w:t>
      </w:r>
      <w:r>
        <w:rPr/>
        <w:t xml:space="preserve"> ] where (X_i \in \mathbb{R}</w:t>
      </w:r>
      <w:r>
        <w:rPr>
          <w:vertAlign w:val="superscript"/>
        </w:rPr>
        <w:t xml:space="preserve">{n</w:t>
      </w:r>
      <w:r>
        <w:rPr/>
        <w:t xml:space="preserve">_{\text{ch}} \times T}) is trial (i), (N) is the number of training trials, and (T) is the number of time points.</w:t>
      </w:r>
    </w:p>
    <w:p>
      <w:pPr>
        <w:spacing w:before="0" w:after="0"/>
        <w:pStyle w:val="ListParagraph"/>
        <w:ind w:left="720"/>
        <w:numPr>
          <w:ilvl w:val="0"/>
          <w:numId w:val="29"/>
        </w:numPr>
      </w:pPr>
      <w:r>
        <w:rPr/>
        <w:t xml:space="preserve">Verify that (C) is </w:t>
      </w:r>
      <w:r>
        <w:rPr>
          <w:b/>
        </w:rPr>
        <w:t xml:space="preserve">positive semi-definite</w:t>
      </w:r>
      <w:r>
        <w:rPr/>
        <w:t xml:space="preserve"> by checking that all eigenvalues are non-negative. Report whether any eigenvalues are exactly zero (indicating linearly dependent channels).</w:t>
      </w:r>
    </w:p>
    <w:p>
      <w:pPr>
        <w:spacing w:before="0" w:after="0"/>
        <w:pStyle w:val="ListParagraph"/>
        <w:ind w:left="720"/>
        <w:numPr>
          <w:ilvl w:val="0"/>
          <w:numId w:val="29"/>
        </w:numPr>
      </w:pPr>
      <w:r>
        <w:rPr/>
        <w:t xml:space="preserve">Compute the </w:t>
      </w:r>
      <w:r>
        <w:rPr>
          <w:b/>
        </w:rPr>
        <w:t xml:space="preserve">condition number</w:t>
      </w:r>
      <w:r>
        <w:rPr/>
        <w:t xml:space="preserve"> (\kappa(C) = \lambda_{\max}/\lambda_{\min}). A large (\kappa) means the loss landscape in the channel-feature space has elongated elliptical level contours (directly from Ch 4 Lec 5, Section 10). Report (\kappa) for each subject and discuss subject-to-subject variability.</w:t>
      </w:r>
    </w:p>
    <w:p>
      <w:pPr>
        <w:spacing w:before="0" w:after="0"/>
        <w:pStyle w:val="ListParagraph"/>
        <w:ind w:left="720"/>
        <w:numPr>
          <w:ilvl w:val="0"/>
          <w:numId w:val="29"/>
        </w:numPr>
      </w:pPr>
      <w:r>
        <w:rPr/>
        <w:t xml:space="preserve">Plot the covariance matrix as a heatmap and visualize the electrode-space structure. Do adjacent electrodes co-vary more?</w:t>
      </w:r>
    </w:p>
    <w:p>
      <w:pPr/>
      <w:r>
        <w:rPr>
          <w:b/>
        </w:rPr>
        <w:t xml:space="preserve">Step 3 — PCA Preprocessing</w:t>
      </w:r>
    </w:p>
    <w:p>
      <w:pPr>
        <w:spacing w:before="0" w:after="0"/>
        <w:pStyle w:val="ListParagraph"/>
        <w:ind w:left="720"/>
        <w:numPr>
          <w:ilvl w:val="0"/>
          <w:numId w:val="30"/>
        </w:numPr>
      </w:pPr>
      <w:r>
        <w:rPr/>
        <w:t xml:space="preserve">Decompose (C = Q \Lambda Q</w:t>
      </w:r>
      <w:r>
        <w:rPr>
          <w:vertAlign w:val="superscript"/>
        </w:rPr>
        <w:t xml:space="preserve">T</w:t>
      </w:r>
      <w:r>
        <w:rPr/>
        <w:t xml:space="preserve">) using </w:t>
      </w:r>
      <w:r>
        <w:rPr>
          <w:rStyle w:val="Code"/>
        </w:rPr>
        <w:t xml:space="preserve">torch.linalg.eigh</w:t>
      </w:r>
      <w:r>
        <w:rPr/>
        <w:t xml:space="preserve"> (for symmetric matrices). Sort eigenvalues in descending order.</w:t>
      </w:r>
    </w:p>
    <w:p>
      <w:pPr>
        <w:spacing w:before="0" w:after="0"/>
        <w:pStyle w:val="ListParagraph"/>
        <w:ind w:left="720"/>
        <w:numPr>
          <w:ilvl w:val="0"/>
          <w:numId w:val="30"/>
        </w:numPr>
      </w:pPr>
      <w:r>
        <w:rPr/>
        <w:t xml:space="preserve">Plot the </w:t>
      </w:r>
      <w:r>
        <w:rPr>
          <w:b/>
        </w:rPr>
        <w:t xml:space="preserve">explained variance ratio</w:t>
      </w:r>
      <w:r>
        <w:rPr/>
        <w:t xml:space="preserve"> (\lambda_k / \sum_j \lambda_j) as a function of the number of components (k). Determine (k_{90}), (k_{95}), and (k_{99}) — the number of PCs needed to explain 90%, 95%, and 99% of variance.</w:t>
      </w:r>
    </w:p>
    <w:p>
      <w:pPr>
        <w:spacing w:before="0" w:after="0"/>
        <w:pStyle w:val="ListParagraph"/>
        <w:ind w:left="720"/>
        <w:numPr>
          <w:ilvl w:val="0"/>
          <w:numId w:val="30"/>
        </w:numPr>
      </w:pPr>
      <w:r>
        <w:rPr/>
        <w:t xml:space="preserve">Project all training and test trials onto the top-(k) principal spatial components: (\tilde{X}_i = Q_k</w:t>
      </w:r>
      <w:r>
        <w:rPr>
          <w:vertAlign w:val="superscript"/>
        </w:rPr>
        <w:t xml:space="preserve">T</w:t>
      </w:r>
      <w:r>
        <w:rPr/>
        <w:t xml:space="preserve"> X_i \in \mathbb{R}</w:t>
      </w:r>
      <w:r>
        <w:rPr>
          <w:vertAlign w:val="superscript"/>
        </w:rPr>
        <w:t xml:space="preserve">{k</w:t>
      </w:r>
      <w:r>
        <w:rPr/>
        <w:t xml:space="preserve"> \times T}). This is </w:t>
      </w:r>
      <w:r>
        <w:rPr>
          <w:b/>
        </w:rPr>
        <w:t xml:space="preserve">spatial PCA filtering</w:t>
      </w:r>
      <w:r>
        <w:rPr/>
        <w:t xml:space="preserve">, a standard EEG preprocessing technique.</w:t>
      </w:r>
    </w:p>
    <w:p>
      <w:pPr>
        <w:spacing w:before="0" w:after="0"/>
        <w:pStyle w:val="ListParagraph"/>
        <w:ind w:left="720"/>
        <w:numPr>
          <w:ilvl w:val="0"/>
          <w:numId w:val="30"/>
        </w:numPr>
      </w:pPr>
      <w:r>
        <w:rPr/>
        <w:t xml:space="preserve">Visualize the top-3 spatial filters (the columns of (Q_k)) as scalp topographies using </w:t>
      </w:r>
      <w:r>
        <w:rPr>
          <w:rStyle w:val="Code"/>
        </w:rPr>
        <w:t xml:space="preserve">mne.viz.plot_topomap</w:t>
      </w:r>
      <w:r>
        <w:rPr/>
        <w:t xml:space="preserve">. Identify which brain regions each spatial filter activates.</w:t>
      </w:r>
    </w:p>
    <w:p>
      <w:pPr/>
      <w:r>
        <w:rPr>
          <w:b/>
        </w:rPr>
        <w:t xml:space="preserve">Step 4 — PCA + MLP Baseline</w:t>
      </w:r>
    </w:p>
    <w:p>
      <w:pPr>
        <w:spacing w:before="0" w:after="0"/>
        <w:pStyle w:val="ListParagraph"/>
        <w:ind w:left="720"/>
        <w:numPr>
          <w:ilvl w:val="0"/>
          <w:numId w:val="31"/>
        </w:numPr>
      </w:pPr>
      <w:r>
        <w:rPr/>
        <w:t xml:space="preserve">After spatial PCA, compute band-power features: for each PC (k), compute the log-variance of the projected signal in the theta (4–8 Hz), alpha (8–13 Hz), and beta (13–30 Hz) bands using the Welch periodogram.</w:t>
      </w:r>
    </w:p>
    <w:p>
      <w:pPr>
        <w:spacing w:before="0" w:after="0"/>
        <w:pStyle w:val="ListParagraph"/>
        <w:ind w:left="720"/>
        <w:numPr>
          <w:ilvl w:val="0"/>
          <w:numId w:val="31"/>
        </w:numPr>
      </w:pPr>
      <w:r>
        <w:rPr/>
        <w:t xml:space="preserve">Concatenate the band-power features across all retained PCs into a flat feature vector of length (k \times 3).</w:t>
      </w:r>
    </w:p>
    <w:p>
      <w:pPr>
        <w:spacing w:before="0" w:after="0"/>
        <w:pStyle w:val="ListParagraph"/>
        <w:ind w:left="720"/>
        <w:numPr>
          <w:ilvl w:val="0"/>
          <w:numId w:val="31"/>
        </w:numPr>
      </w:pPr>
      <w:r>
        <w:rPr/>
        <w:t xml:space="preserve">Train a 2-hidden-layer </w:t>
      </w:r>
      <w:r>
        <w:rPr>
          <w:b/>
        </w:rPr>
        <w:t xml:space="preserve">MLP</w:t>
      </w:r>
      <w:r>
        <w:rPr/>
        <w:t xml:space="preserve"> (512 → 256 → 4 classes) with ReLU activations, dropout (rate 0.5), and cross-entropy loss.</w:t>
      </w:r>
    </w:p>
    <w:p>
      <w:pPr>
        <w:spacing w:before="0" w:after="0"/>
        <w:pStyle w:val="ListParagraph"/>
        <w:ind w:left="720"/>
        <w:numPr>
          <w:ilvl w:val="0"/>
          <w:numId w:val="31"/>
        </w:numPr>
      </w:pPr>
      <w:r>
        <w:rPr/>
        <w:t xml:space="preserve">Evaluate with </w:t>
      </w:r>
      <w:r>
        <w:rPr>
          <w:b/>
        </w:rPr>
        <w:t xml:space="preserve">subject-specific</w:t>
      </w:r>
      <w:r>
        <w:rPr/>
        <w:t xml:space="preserve"> training (one model per subject) and report mean ± std accuracy across subjects.</w:t>
      </w:r>
    </w:p>
    <w:p>
      <w:pPr/>
      <w:r>
        <w:rPr>
          <w:b/>
        </w:rPr>
        <w:t xml:space="preserve">Step 5 — 1-D CNN Architecture</w:t>
      </w:r>
    </w:p>
    <w:p>
      <w:pPr>
        <w:spacing w:before="0" w:after="0"/>
        <w:pStyle w:val="ListParagraph"/>
        <w:ind w:left="720"/>
        <w:numPr>
          <w:ilvl w:val="0"/>
          <w:numId w:val="32"/>
        </w:numPr>
      </w:pPr>
      <w:r>
        <w:rPr/>
        <w:t xml:space="preserve">Use the raw (spatially PCA-filtered, (k \times T)) epoch directly as input to a </w:t>
      </w:r>
      <w:r>
        <w:rPr>
          <w:b/>
        </w:rPr>
        <w:t xml:space="preserve">1-D CNN</w:t>
      </w:r>
      <w:r>
        <w:rPr/>
        <w:t xml:space="preserve"> (treating the spatial dimension as channels).</w:t>
      </w:r>
    </w:p>
    <w:p>
      <w:pPr>
        <w:spacing w:before="0" w:after="0"/>
        <w:pStyle w:val="ListParagraph"/>
        <w:ind w:left="720"/>
        <w:numPr>
          <w:ilvl w:val="0"/>
          <w:numId w:val="32"/>
        </w:numPr>
      </w:pPr>
      <w:r>
        <w:rPr/>
        <w:t xml:space="preserve">Architecture: </w:t>
      </w:r>
      <w:r>
        <w:rPr>
          <w:rStyle w:val="Code"/>
        </w:rPr>
        <w:t xml:space="preserve">Conv1d(k, 32, kernel_size=25) → BN → ReLU → Conv1d(32, 64, kernel_size=10) → BN → ReLU → AdaptiveAvgPool1d(1) → Linear(64, 4)</w:t>
      </w:r>
      <w:r>
        <w:rPr/>
        <w:t xml:space="preserve">.</w:t>
      </w:r>
    </w:p>
    <w:p>
      <w:pPr>
        <w:spacing w:before="0" w:after="0"/>
        <w:pStyle w:val="ListParagraph"/>
        <w:ind w:left="720"/>
        <w:numPr>
          <w:ilvl w:val="0"/>
          <w:numId w:val="32"/>
        </w:numPr>
      </w:pPr>
      <w:r>
        <w:rPr/>
        <w:t xml:space="preserve">Train with cross-entropy loss and the Adam optimizer ((\eta = 10</w:t>
      </w:r>
      <w:r>
        <w:rPr>
          <w:vertAlign w:val="superscript"/>
        </w:rPr>
        <w:t xml:space="preserve">{-3}</w:t>
      </w:r>
      <w:r>
        <w:rPr/>
        <w:t xml:space="preserve">), weight decay = (10</w:t>
      </w:r>
      <w:r>
        <w:rPr>
          <w:vertAlign w:val="superscript"/>
        </w:rPr>
        <w:t xml:space="preserve">{-4}</w:t>
      </w:r>
      <w:r>
        <w:rPr/>
        <w:t xml:space="preserve">)).</w:t>
      </w:r>
    </w:p>
    <w:p>
      <w:pPr>
        <w:spacing w:before="0" w:after="0"/>
        <w:pStyle w:val="ListParagraph"/>
        <w:ind w:left="720"/>
        <w:numPr>
          <w:ilvl w:val="0"/>
          <w:numId w:val="32"/>
        </w:numPr>
      </w:pPr>
      <w:r>
        <w:rPr/>
        <w:t xml:space="preserve">Report classification accuracy and compare to the MLP baseline. Discuss what temporal structures the convolutional kernels may be detecting (e.g., event-related synchronization patterns).</w:t>
      </w:r>
    </w:p>
    <w:p>
      <w:pPr/>
      <w:r>
        <w:rPr>
          <w:b/>
        </w:rPr>
        <w:t xml:space="preserve">Step 6 — Multi-Head Self-Attention Architecture</w:t>
      </w:r>
    </w:p>
    <w:p>
      <w:pPr>
        <w:spacing w:before="0" w:after="0"/>
        <w:pStyle w:val="ListParagraph"/>
        <w:ind w:left="720"/>
        <w:numPr>
          <w:ilvl w:val="0"/>
          <w:numId w:val="33"/>
        </w:numPr>
      </w:pPr>
      <w:r>
        <w:rPr/>
        <w:t xml:space="preserve">Treat each time step as a token of dimensionality (k). Apply positional encoding (sinusoidal or learned).</w:t>
      </w:r>
    </w:p>
    <w:p>
      <w:pPr>
        <w:spacing w:before="0" w:after="0"/>
        <w:pStyle w:val="ListParagraph"/>
        <w:ind w:left="720"/>
        <w:numPr>
          <w:ilvl w:val="0"/>
          <w:numId w:val="33"/>
        </w:numPr>
      </w:pPr>
      <w:r>
        <w:rPr/>
        <w:t xml:space="preserve">Build a 2-layer </w:t>
      </w:r>
      <w:r>
        <w:rPr>
          <w:b/>
        </w:rPr>
        <w:t xml:space="preserve">Transformer encoder</w:t>
      </w:r>
      <w:r>
        <w:rPr/>
        <w:t xml:space="preserve"> (4 attention heads, hidden dimension 64, feedforward dimension 256) followed by global average pooling and a linear classification head.</w:t>
      </w:r>
    </w:p>
    <w:p>
      <w:pPr>
        <w:spacing w:before="0" w:after="0"/>
        <w:pStyle w:val="ListParagraph"/>
        <w:ind w:left="720"/>
        <w:numPr>
          <w:ilvl w:val="0"/>
          <w:numId w:val="33"/>
        </w:numPr>
      </w:pPr>
      <w:r>
        <w:rPr/>
        <w:t xml:space="preserve">Train and evaluate. Compare to CNN and MLP baselines.</w:t>
      </w:r>
    </w:p>
    <w:p>
      <w:pPr>
        <w:spacing w:before="0" w:after="0"/>
        <w:pStyle w:val="ListParagraph"/>
        <w:ind w:left="720"/>
        <w:numPr>
          <w:ilvl w:val="0"/>
          <w:numId w:val="33"/>
        </w:numPr>
      </w:pPr>
      <w:r>
        <w:rPr/>
        <w:t xml:space="preserve">Visualize the attention maps for a few correctly classified and a few misclassified trials. Do the attention heads focus on specific time windows (e.g., the imagery period vs. the baseline)?</w:t>
      </w:r>
    </w:p>
    <w:p>
      <w:pPr/>
      <w:r>
        <w:rPr>
          <w:b/>
        </w:rPr>
        <w:t xml:space="preserve">Step 7 — PCA Dimension Ablation</w:t>
      </w:r>
    </w:p>
    <w:p>
      <w:pPr>
        <w:spacing w:before="0" w:after="0"/>
        <w:pStyle w:val="ListParagraph"/>
        <w:ind w:left="720"/>
        <w:numPr>
          <w:ilvl w:val="0"/>
          <w:numId w:val="34"/>
        </w:numPr>
      </w:pPr>
      <w:r>
        <w:rPr/>
        <w:t xml:space="preserve">Fix the architecture to the best performer and vary the number of retained PCs (k \in {2, 5, 10, 15, k_{90}, k_{95}, \text{all channels}}).</w:t>
      </w:r>
    </w:p>
    <w:p>
      <w:pPr>
        <w:spacing w:before="0" w:after="0"/>
        <w:pStyle w:val="ListParagraph"/>
        <w:ind w:left="720"/>
        <w:numPr>
          <w:ilvl w:val="0"/>
          <w:numId w:val="34"/>
        </w:numPr>
      </w:pPr>
      <w:r>
        <w:rPr/>
        <w:t xml:space="preserve">For each (k), record: classification accuracy, training loss at convergence, and number of epochs to convergence.</w:t>
      </w:r>
    </w:p>
    <w:p>
      <w:pPr>
        <w:spacing w:before="0" w:after="0"/>
        <w:pStyle w:val="ListParagraph"/>
        <w:ind w:left="720"/>
        <w:numPr>
          <w:ilvl w:val="0"/>
          <w:numId w:val="34"/>
        </w:numPr>
      </w:pPr>
      <w:r>
        <w:rPr/>
        <w:t xml:space="preserve">Plot accuracy vs. (k) and overlay the variance-explained curve from Step 3. Identify whether the accuracy knee aligns with (k_{90}) or (k_{95}).</w:t>
      </w:r>
    </w:p>
    <w:p>
      <w:pPr>
        <w:spacing w:before="0" w:after="0"/>
        <w:pStyle w:val="ListParagraph"/>
        <w:ind w:left="720"/>
        <w:numPr>
          <w:ilvl w:val="0"/>
          <w:numId w:val="34"/>
        </w:numPr>
      </w:pPr>
      <w:r>
        <w:rPr/>
        <w:t xml:space="preserve">Compute the condition number (\kappa(C_k)) of the reduced covariance (C_k = Q_k \Lambda_k Q_k</w:t>
      </w:r>
      <w:r>
        <w:rPr>
          <w:vertAlign w:val="superscript"/>
        </w:rPr>
        <w:t xml:space="preserve">T</w:t>
      </w:r>
      <w:r>
        <w:rPr/>
        <w:t xml:space="preserve">) for each (k). Plot (\kappa) vs. (k). Discuss: does reducing (k) also reduce the condition number, and does a smaller (\kappa) correlate with faster convergence?</w:t>
      </w:r>
    </w:p>
    <w:p>
      <w:pPr/>
      <w:r>
        <w:rPr>
          <w:b/>
        </w:rPr>
        <w:t xml:space="preserve">Step 8 — Subject Generalization Experiment</w:t>
      </w:r>
    </w:p>
    <w:p>
      <w:pPr>
        <w:spacing w:before="0" w:after="0"/>
        <w:pStyle w:val="ListParagraph"/>
        <w:ind w:left="720"/>
        <w:numPr>
          <w:ilvl w:val="0"/>
          <w:numId w:val="35"/>
        </w:numPr>
      </w:pPr>
      <w:r>
        <w:rPr/>
        <w:t xml:space="preserve">Train on 7 subjects and test on the 2 held-out subjects (leave-two-subjects-out cross-validation). This tests whether the learned spatial filters generalize across individuals.</w:t>
      </w:r>
    </w:p>
    <w:p>
      <w:pPr>
        <w:spacing w:before="0" w:after="0"/>
        <w:pStyle w:val="ListParagraph"/>
        <w:ind w:left="720"/>
        <w:numPr>
          <w:ilvl w:val="0"/>
          <w:numId w:val="35"/>
        </w:numPr>
      </w:pPr>
      <w:r>
        <w:rPr/>
        <w:t xml:space="preserve">Compare subject-specific vs. cross-subject accuracy for all three architectures. Which architecture generalizes best and why?</w:t>
      </w:r>
    </w:p>
    <w:p>
      <w:pPr/>
      <w:r>
        <w:rPr>
          <w:b/>
        </w:rPr>
        <w:t xml:space="preserve">Step 9 — Mathematical Analysis Section</w:t>
      </w:r>
    </w:p>
    <w:p>
      <w:pPr>
        <w:spacing w:before="0" w:after="0"/>
        <w:pStyle w:val="ListParagraph"/>
        <w:ind w:left="720"/>
        <w:numPr>
          <w:ilvl w:val="0"/>
          <w:numId w:val="36"/>
        </w:numPr>
      </w:pPr>
      <w:r>
        <w:rPr/>
        <w:t xml:space="preserve">Prove that the spatial covariance matrix (C) is always PSD (using the definition (\vec{v}</w:t>
      </w:r>
      <w:r>
        <w:rPr>
          <w:vertAlign w:val="superscript"/>
        </w:rPr>
        <w:t xml:space="preserve">T</w:t>
      </w:r>
      <w:r>
        <w:rPr/>
        <w:t xml:space="preserve"> C \vec{v} = \frac{1}{NT}\sum_i |X_i</w:t>
      </w:r>
      <w:r>
        <w:rPr>
          <w:vertAlign w:val="superscript"/>
        </w:rPr>
        <w:t xml:space="preserve">T</w:t>
      </w:r>
      <w:r>
        <w:rPr/>
        <w:t xml:space="preserve"> \vec{v}|^2 \geq 0)). Identify when it is PD (when no channel is linearly redundant).</w:t>
      </w:r>
    </w:p>
    <w:p>
      <w:pPr>
        <w:spacing w:before="0" w:after="0"/>
        <w:pStyle w:val="ListParagraph"/>
        <w:ind w:left="720"/>
        <w:numPr>
          <w:ilvl w:val="0"/>
          <w:numId w:val="36"/>
        </w:numPr>
      </w:pPr>
      <w:r>
        <w:rPr/>
        <w:t xml:space="preserve">Derive the projection (\tilde{X} = Q_k</w:t>
      </w:r>
      <w:r>
        <w:rPr>
          <w:vertAlign w:val="superscript"/>
        </w:rPr>
        <w:t xml:space="preserve">T</w:t>
      </w:r>
      <w:r>
        <w:rPr/>
        <w:t xml:space="preserve"> X) and show that it maximizes the retained variance subject to an orthogonality constraint on the projection directions — directly applying the quadratic form maximization result from Ch 4 Lec 5.</w:t>
      </w:r>
    </w:p>
    <w:p>
      <w:pPr>
        <w:spacing w:before="0" w:after="0"/>
        <w:pStyle w:val="ListParagraph"/>
        <w:ind w:left="720"/>
        <w:numPr>
          <w:ilvl w:val="0"/>
          <w:numId w:val="36"/>
        </w:numPr>
      </w:pPr>
      <w:r>
        <w:rPr/>
        <w:t xml:space="preserve">Connect the condition number of (C) to the eccentricity of the loss surface's level contours (Ch 4 Lec 5, Section 10) and predict qualitatively which subjects should show slower convergence.</w:t>
      </w:r>
    </w:p>
    <w:p>
      <w:pPr>
        <w:pBdr>
          <w:bottom w:val="single" w:sz="6" w:space="1" w:color="auto"/>
        </w:pBdr>
        <w:spacing w:before="0" w:after="0" w:line="1" w:lineRule="auto"/>
      </w:pPr>
    </w:p>
    <w:p>
      <w:pPr>
        <w:pStyle w:val="Heading2"/>
        <w:keepNext/>
      </w:pPr>
      <w:r>
        <w:rPr/>
        <w:t xml:space="preserve">Project 4: Bayesian Uncertainty Quantification for Clinical NLP Triage</w:t>
      </w:r>
    </w:p>
    <w:p>
      <w:pPr/>
      <w:r>
        <w:rPr>
          <w:b/>
        </w:rPr>
        <w:t xml:space="preserve">Domain:</w:t>
      </w:r>
      <w:r>
        <w:rPr/>
        <w:t xml:space="preserve"> Healthcare </w:t>
      </w:r>
      <w:r>
        <w:rPr>
          <w:b/>
        </w:rPr>
        <w:t xml:space="preserve">Modality:</w:t>
      </w:r>
      <w:r>
        <w:rPr/>
        <w:t xml:space="preserve"> Text </w:t>
      </w:r>
      <w:r>
        <w:rPr>
          <w:b/>
        </w:rPr>
        <w:t xml:space="preserve">Core Course Concepts:</w:t>
      </w:r>
      <w:r>
        <w:rPr/>
        <w:t xml:space="preserve"> Bayes theorem (Ch 5), KL divergence (Ch 6), Shannon entropy (Ch 6), cross-entropy loss (Ch 6), MLE vs. MAP (Ch 5–6), Bayesian inference (Ch 13), gradient descent (Ch 3), MLP (Ch 7–8)</w:t>
      </w:r>
    </w:p>
    <w:p>
      <w:pPr>
        <w:pStyle w:val="Heading3"/>
        <w:keepNext/>
      </w:pPr>
      <w:r>
        <w:rPr/>
        <w:t xml:space="preserve">Motivation</w:t>
      </w:r>
    </w:p>
    <w:p>
      <w:pPr/>
      <w:r>
        <w:rPr/>
        <w:t xml:space="preserve">A clinical triage model that says "I am 95% confident this is a high-acuity patient" and "I am uncertain about this case" is far more useful than one that provides only a hard prediction. Uncertainty quantification (UQ) is grounded in Bayesian probability theory: the </w:t>
      </w:r>
      <w:r>
        <w:rPr>
          <w:i/>
        </w:rPr>
        <w:t xml:space="preserve">entropy</w:t>
      </w:r>
      <w:r>
        <w:rPr/>
        <w:t xml:space="preserve"> of the predictive distribution measures uncertainty, and the KL divergence measures how far the posterior is from the prior. This project builds a clinical NLP classifier and adds Bayesian UQ on top, connecting the course's information-theoretic content to a practical safety-critical application.</w:t>
      </w:r>
    </w:p>
    <w:p>
      <w:pPr>
        <w:pStyle w:val="Heading3"/>
        <w:keepNext/>
      </w:pPr>
      <w:r>
        <w:rPr/>
        <w:t xml:space="preserve">Learning Objectives</w:t>
      </w:r>
    </w:p>
    <w:p>
      <w:pPr>
        <w:spacing w:before="0" w:after="0"/>
        <w:pStyle w:val="ListParagraph"/>
        <w:ind w:left="720"/>
        <w:numPr>
          <w:ilvl w:val="0"/>
          <w:numId w:val="37"/>
        </w:numPr>
      </w:pPr>
      <w:r>
        <w:rPr/>
        <w:t xml:space="preserve">Apply Bayes theorem to compute posterior predictive distributions for text classification.</w:t>
      </w:r>
    </w:p>
    <w:p>
      <w:pPr>
        <w:spacing w:before="0" w:after="0"/>
        <w:pStyle w:val="ListParagraph"/>
        <w:ind w:left="720"/>
        <w:numPr>
          <w:ilvl w:val="0"/>
          <w:numId w:val="37"/>
        </w:numPr>
      </w:pPr>
      <w:r>
        <w:rPr/>
        <w:t xml:space="preserve">Use Shannon entropy to quantify predictive uncertainty and distinguish aleatoric from epistemic uncertainty.</w:t>
      </w:r>
    </w:p>
    <w:p>
      <w:pPr>
        <w:spacing w:before="0" w:after="0"/>
        <w:pStyle w:val="ListParagraph"/>
        <w:ind w:left="720"/>
        <w:numPr>
          <w:ilvl w:val="0"/>
          <w:numId w:val="37"/>
        </w:numPr>
      </w:pPr>
      <w:r>
        <w:rPr/>
        <w:t xml:space="preserve">Implement and compare deterministic (cross-entropy-trained) and Bayesian (MC-Dropout or mean-field variational) classification heads.</w:t>
      </w:r>
    </w:p>
    <w:p>
      <w:pPr>
        <w:spacing w:before="0" w:after="0"/>
        <w:pStyle w:val="ListParagraph"/>
        <w:ind w:left="720"/>
        <w:numPr>
          <w:ilvl w:val="0"/>
          <w:numId w:val="37"/>
        </w:numPr>
      </w:pPr>
      <w:r>
        <w:rPr/>
        <w:t xml:space="preserve">Produce calibration curves and connect miscalibration to information-theoretic concepts.</w:t>
      </w:r>
    </w:p>
    <w:p>
      <w:pPr>
        <w:pStyle w:val="Heading3"/>
        <w:keepNext/>
      </w:pPr>
      <w:r>
        <w:rPr/>
        <w:t xml:space="preserve">Suggested Dataset</w:t>
      </w:r>
    </w:p>
    <w:p>
      <w:pPr>
        <w:spacing w:before="0" w:after="0"/>
        <w:pStyle w:val="ListParagraph"/>
        <w:ind w:left="720"/>
        <w:numPr>
          <w:ilvl w:val="0"/>
          <w:numId w:val="38"/>
        </w:numPr>
      </w:pPr>
      <w:r>
        <w:rPr>
          <w:b/>
        </w:rPr>
        <w:t xml:space="preserve">MedNLI</w:t>
      </w:r>
      <w:r>
        <w:rPr/>
        <w:t xml:space="preserve"> (natural language inference on clinical notes derived from MIMIC-III; 14,049 premise-hypothesis pairs with entailment/neutral/contradiction labels; freely available on PhysioNet with credentialed access).</w:t>
      </w:r>
    </w:p>
    <w:p>
      <w:pPr>
        <w:spacing w:before="0" w:after="0"/>
        <w:pStyle w:val="ListParagraph"/>
        <w:ind w:left="720"/>
        <w:numPr>
          <w:ilvl w:val="0"/>
          <w:numId w:val="38"/>
        </w:numPr>
      </w:pPr>
      <w:r>
        <w:rPr/>
        <w:t xml:space="preserve">Fallback (no credentialing required): </w:t>
      </w:r>
      <w:r>
        <w:rPr>
          <w:b/>
        </w:rPr>
        <w:t xml:space="preserve">BioASQ</w:t>
      </w:r>
      <w:r>
        <w:rPr/>
        <w:t xml:space="preserve"> challenge data (biomedical question answering, public), or </w:t>
      </w:r>
      <w:r>
        <w:rPr>
          <w:b/>
        </w:rPr>
        <w:t xml:space="preserve">PubMedQA</w:t>
      </w:r>
      <w:r>
        <w:rPr/>
        <w:t xml:space="preserve"> (500 expert-labeled PubMed abstracts with yes/no/maybe answers, available on HuggingFace).</w:t>
      </w:r>
    </w:p>
    <w:p>
      <w:pPr>
        <w:spacing w:before="0" w:after="0"/>
        <w:pStyle w:val="ListParagraph"/>
        <w:ind w:left="720"/>
        <w:numPr>
          <w:ilvl w:val="0"/>
          <w:numId w:val="38"/>
        </w:numPr>
      </w:pPr>
      <w:r>
        <w:rPr/>
        <w:t xml:space="preserve">Simpler fallback: </w:t>
      </w:r>
      <w:r>
        <w:rPr>
          <w:b/>
        </w:rPr>
        <w:t xml:space="preserve">Medical Transcriptions</w:t>
      </w:r>
      <w:r>
        <w:rPr/>
        <w:t xml:space="preserve"> dataset (Kaggle, medical specialty classification, ~5,000 samples, no access restrictions).</w:t>
      </w:r>
    </w:p>
    <w:p>
      <w:pPr>
        <w:pStyle w:val="Heading3"/>
        <w:keepNext/>
      </w:pPr>
      <w:r>
        <w:rPr/>
        <w:t xml:space="preserve">Implementation Steps</w:t>
      </w:r>
    </w:p>
    <w:p>
      <w:pPr/>
      <w:r>
        <w:rPr>
          <w:b/>
        </w:rPr>
        <w:t xml:space="preserve">Step 1 — Data Loading and Tokenization</w:t>
      </w:r>
    </w:p>
    <w:p>
      <w:pPr>
        <w:spacing w:before="0" w:after="0"/>
        <w:pStyle w:val="ListParagraph"/>
        <w:ind w:left="720"/>
        <w:numPr>
          <w:ilvl w:val="0"/>
          <w:numId w:val="39"/>
        </w:numPr>
      </w:pPr>
      <w:r>
        <w:rPr/>
        <w:t xml:space="preserve">Load the chosen dataset. Report label distribution and, for text data, the distribution of sequence lengths (number of words or tokens).</w:t>
      </w:r>
    </w:p>
    <w:p>
      <w:pPr>
        <w:spacing w:before="0" w:after="0"/>
        <w:pStyle w:val="ListParagraph"/>
        <w:ind w:left="720"/>
        <w:numPr>
          <w:ilvl w:val="0"/>
          <w:numId w:val="39"/>
        </w:numPr>
      </w:pPr>
      <w:r>
        <w:rPr/>
        <w:t xml:space="preserve">Tokenize using a </w:t>
      </w:r>
      <w:r>
        <w:rPr>
          <w:b/>
        </w:rPr>
        <w:t xml:space="preserve">pre-trained tokenizer</w:t>
      </w:r>
      <w:r>
        <w:rPr/>
        <w:t xml:space="preserve"> consistent with your encoder: use </w:t>
      </w:r>
      <w:r>
        <w:rPr>
          <w:rStyle w:val="Code"/>
        </w:rPr>
        <w:t xml:space="preserve">bert-base-uncased</w:t>
      </w:r>
      <w:r>
        <w:rPr/>
        <w:t xml:space="preserve"> from HuggingFace Transformers as the default. Truncate to a maximum of 256 tokens; pad shorter sequences.</w:t>
      </w:r>
    </w:p>
    <w:p>
      <w:pPr>
        <w:spacing w:before="0" w:after="0"/>
        <w:pStyle w:val="ListParagraph"/>
        <w:ind w:left="720"/>
        <w:numPr>
          <w:ilvl w:val="0"/>
          <w:numId w:val="39"/>
        </w:numPr>
      </w:pPr>
      <w:r>
        <w:rPr/>
        <w:t xml:space="preserve">Compute the </w:t>
      </w:r>
      <w:r>
        <w:rPr>
          <w:b/>
        </w:rPr>
        <w:t xml:space="preserve">cross-entropy</w:t>
      </w:r>
      <w:r>
        <w:rPr/>
        <w:t xml:space="preserve"> between the empirical label distribution and the uniform distribution to quantify how imbalanced the dataset is. If imbalanced, apply class-weighted cross-entropy loss during training.</w:t>
      </w:r>
    </w:p>
    <w:p>
      <w:pPr>
        <w:spacing w:before="0" w:after="0"/>
        <w:pStyle w:val="ListParagraph"/>
        <w:ind w:left="720"/>
        <w:numPr>
          <w:ilvl w:val="0"/>
          <w:numId w:val="39"/>
        </w:numPr>
      </w:pPr>
      <w:r>
        <w:rPr/>
        <w:t xml:space="preserve">Split into 70% train / 15% val / 15% test.</w:t>
      </w:r>
    </w:p>
    <w:p>
      <w:pPr/>
      <w:r>
        <w:rPr>
          <w:b/>
        </w:rPr>
        <w:t xml:space="preserve">Step 2 — Deterministic Baseline (MLE Model)</w:t>
      </w:r>
    </w:p>
    <w:p>
      <w:pPr>
        <w:spacing w:before="0" w:after="0"/>
        <w:pStyle w:val="ListParagraph"/>
        <w:ind w:left="720"/>
        <w:numPr>
          <w:ilvl w:val="0"/>
          <w:numId w:val="40"/>
        </w:numPr>
      </w:pPr>
      <w:r>
        <w:rPr/>
        <w:t xml:space="preserve">Load </w:t>
      </w:r>
      <w:r>
        <w:rPr>
          <w:rStyle w:val="Code"/>
        </w:rPr>
        <w:t xml:space="preserve">bert-base-uncased</w:t>
      </w:r>
      <w:r>
        <w:rPr/>
        <w:t xml:space="preserve"> (or </w:t>
      </w:r>
      <w:r>
        <w:rPr>
          <w:rStyle w:val="Code"/>
        </w:rPr>
        <w:t xml:space="preserve">distilbert-base-uncased</w:t>
      </w:r>
      <w:r>
        <w:rPr/>
        <w:t xml:space="preserve"> for faster iteration) and attach a two-layer MLP classification head: </w:t>
      </w:r>
      <w:r>
        <w:rPr>
          <w:rStyle w:val="Code"/>
        </w:rPr>
        <w:t xml:space="preserve">Linear(768 → 256) → ReLU → Dropout(0.1) → Linear(256 → n_classes)</w:t>
      </w:r>
      <w:r>
        <w:rPr/>
        <w:t xml:space="preserve">.</w:t>
      </w:r>
    </w:p>
    <w:p>
      <w:pPr>
        <w:spacing w:before="0" w:after="0"/>
        <w:pStyle w:val="ListParagraph"/>
        <w:ind w:left="720"/>
        <w:numPr>
          <w:ilvl w:val="0"/>
          <w:numId w:val="40"/>
        </w:numPr>
      </w:pPr>
      <w:r>
        <w:rPr/>
        <w:t xml:space="preserve">Fine-tune for 3–5 epochs with AdamW ((\eta = 2 \times 10</w:t>
      </w:r>
      <w:r>
        <w:rPr>
          <w:vertAlign w:val="superscript"/>
        </w:rPr>
        <w:t xml:space="preserve">{-5}</w:t>
      </w:r>
      <w:r>
        <w:rPr/>
        <w:t xml:space="preserve">), weight decay = 0.01) and a linear learning-rate warmup over the first 10% of steps.</w:t>
      </w:r>
    </w:p>
    <w:p>
      <w:pPr>
        <w:spacing w:before="0" w:after="0"/>
        <w:pStyle w:val="ListParagraph"/>
        <w:ind w:left="720"/>
        <w:numPr>
          <w:ilvl w:val="0"/>
          <w:numId w:val="40"/>
        </w:numPr>
      </w:pPr>
      <w:r>
        <w:rPr/>
        <w:t xml:space="preserve">Report accuracy, macro-F1, and the </w:t>
      </w:r>
      <w:r>
        <w:rPr>
          <w:b/>
        </w:rPr>
        <w:t xml:space="preserve">cross-entropy loss on the test set</w:t>
      </w:r>
      <w:r>
        <w:rPr/>
        <w:t xml:space="preserve">. This is the MLE model: it maximizes (\log p(\mathcal{D} | \theta)) over the training data.</w:t>
      </w:r>
    </w:p>
    <w:p>
      <w:pPr>
        <w:spacing w:before="0" w:after="0"/>
        <w:pStyle w:val="ListParagraph"/>
        <w:ind w:left="720"/>
        <w:numPr>
          <w:ilvl w:val="0"/>
          <w:numId w:val="40"/>
        </w:numPr>
      </w:pPr>
      <w:r>
        <w:rPr/>
        <w:t xml:space="preserve">Produce a </w:t>
      </w:r>
      <w:r>
        <w:rPr>
          <w:b/>
        </w:rPr>
        <w:t xml:space="preserve">confusion matrix</w:t>
      </w:r>
      <w:r>
        <w:rPr/>
        <w:t xml:space="preserve"> and identify the most commonly confused label pairs.</w:t>
      </w:r>
    </w:p>
    <w:p>
      <w:pPr/>
      <w:r>
        <w:rPr>
          <w:b/>
        </w:rPr>
        <w:t xml:space="preserve">Step 3 — Probabilistic Interpretation of the Softmax</w:t>
      </w:r>
    </w:p>
    <w:p>
      <w:pPr>
        <w:spacing w:before="0" w:after="0"/>
        <w:pStyle w:val="ListParagraph"/>
        <w:ind w:left="720"/>
        <w:numPr>
          <w:ilvl w:val="0"/>
          <w:numId w:val="41"/>
        </w:numPr>
      </w:pPr>
      <w:r>
        <w:rPr/>
        <w:t xml:space="preserve">For the deterministic model, collect softmax output vectors (\hat{\vec{y}}) for all test examples.</w:t>
      </w:r>
    </w:p>
    <w:p>
      <w:pPr>
        <w:spacing w:before="0" w:after="0"/>
        <w:pStyle w:val="ListParagraph"/>
        <w:ind w:left="720"/>
        <w:numPr>
          <w:ilvl w:val="0"/>
          <w:numId w:val="41"/>
        </w:numPr>
      </w:pPr>
      <w:r>
        <w:rPr/>
        <w:t xml:space="preserve">Compute the </w:t>
      </w:r>
      <w:r>
        <w:rPr>
          <w:b/>
        </w:rPr>
        <w:t xml:space="preserve">Shannon entropy</w:t>
      </w:r>
      <w:r>
        <w:rPr/>
        <w:t xml:space="preserve"> of each prediction: (H(\hat{\vec{y}}) = -\sum_k \hat{y}_k \log_2 \hat{y}_k). High entropy ↔ uncertain prediction; low entropy ↔ confident prediction.</w:t>
      </w:r>
    </w:p>
    <w:p>
      <w:pPr>
        <w:spacing w:before="0" w:after="0"/>
        <w:pStyle w:val="ListParagraph"/>
        <w:ind w:left="720"/>
        <w:numPr>
          <w:ilvl w:val="0"/>
          <w:numId w:val="41"/>
        </w:numPr>
      </w:pPr>
      <w:r>
        <w:rPr/>
        <w:t xml:space="preserve">Bin test examples by entropy (e.g., quartiles) and compute accuracy within each bin. You expect accuracy to decrease as entropy increases — high-entropy predictions are less reliable.</w:t>
      </w:r>
    </w:p>
    <w:p>
      <w:pPr>
        <w:spacing w:before="0" w:after="0"/>
        <w:pStyle w:val="ListParagraph"/>
        <w:ind w:left="720"/>
        <w:numPr>
          <w:ilvl w:val="0"/>
          <w:numId w:val="41"/>
        </w:numPr>
      </w:pPr>
      <w:r>
        <w:rPr/>
        <w:t xml:space="preserve">Discuss the limitation: the softmax entropy reflects </w:t>
      </w:r>
      <w:r>
        <w:rPr>
          <w:i/>
        </w:rPr>
        <w:t xml:space="preserve">overconfidence</w:t>
      </w:r>
      <w:r>
        <w:rPr/>
        <w:t xml:space="preserve"> in many deterministic neural networks (the entropy is low even for wrong predictions after calibration). This motivates the Bayesian approach.</w:t>
      </w:r>
    </w:p>
    <w:p>
      <w:pPr/>
      <w:r>
        <w:rPr>
          <w:b/>
        </w:rPr>
        <w:t xml:space="preserve">Step 4 — MC-Dropout Bayesian Approximation</w:t>
      </w:r>
    </w:p>
    <w:p>
      <w:pPr>
        <w:spacing w:before="0" w:after="0"/>
        <w:pStyle w:val="ListParagraph"/>
        <w:ind w:left="720"/>
        <w:numPr>
          <w:ilvl w:val="0"/>
          <w:numId w:val="42"/>
        </w:numPr>
      </w:pPr>
      <w:r>
        <w:rPr/>
        <w:t xml:space="preserve">During </w:t>
      </w:r>
      <w:r>
        <w:rPr>
          <w:b/>
        </w:rPr>
        <w:t xml:space="preserve">inference</w:t>
      </w:r>
      <w:r>
        <w:rPr/>
        <w:t xml:space="preserve"> (not training), enable dropout by calling </w:t>
      </w:r>
      <w:r>
        <w:rPr>
          <w:rStyle w:val="Code"/>
        </w:rPr>
        <w:t xml:space="preserve">model.train()</w:t>
      </w:r>
      <w:r>
        <w:rPr/>
        <w:t xml:space="preserve"> inside a </w:t>
      </w:r>
      <w:r>
        <w:rPr>
          <w:rStyle w:val="Code"/>
        </w:rPr>
        <w:t xml:space="preserve">torch.no_grad()</w:t>
      </w:r>
      <w:r>
        <w:rPr/>
        <w:t xml:space="preserve"> block. Run (T = 50) stochastic forward passes for each test example, obtaining a distribution of (T) softmax vectors ({\hat{\vec{y}}</w:t>
      </w:r>
      <w:r>
        <w:rPr>
          <w:vertAlign w:val="superscript"/>
        </w:rPr>
        <w:t xml:space="preserve">{(t)}\}_{t=1}</w:t>
      </w:r>
      <w:r>
        <w:rPr/>
        <w:t xml:space="preserve">T).</w:t>
      </w:r>
    </w:p>
    <w:p>
      <w:pPr>
        <w:spacing w:before="0" w:after="0"/>
        <w:pStyle w:val="ListParagraph"/>
        <w:ind w:left="720"/>
        <w:numPr>
          <w:ilvl w:val="0"/>
          <w:numId w:val="42"/>
        </w:numPr>
      </w:pPr>
      <w:r>
        <w:rPr/>
        <w:t xml:space="preserve">Estimate the </w:t>
      </w:r>
      <w:r>
        <w:rPr>
          <w:b/>
        </w:rPr>
        <w:t xml:space="preserve">predictive mean</w:t>
      </w:r>
      <w:r>
        <w:rPr/>
        <w:t xml:space="preserve">: (\bar{\vec{y}} = \frac{1}{T}\sum_{t=1}</w:t>
      </w:r>
      <w:r>
        <w:rPr>
          <w:vertAlign w:val="superscript"/>
        </w:rPr>
        <w:t xml:space="preserve">T</w:t>
      </w:r>
      <w:r>
        <w:rPr/>
        <w:t xml:space="preserve"> \hat{\vec{y}}</w:t>
      </w:r>
      <w:r>
        <w:rPr>
          <w:vertAlign w:val="superscript"/>
        </w:rPr>
        <w:t xml:space="preserve">{</w:t>
      </w:r>
      <w:r>
        <w:rPr/>
        <w:t xml:space="preserve">(t)}).</w:t>
      </w:r>
    </w:p>
    <w:p>
      <w:pPr>
        <w:spacing w:before="0" w:after="0"/>
        <w:pStyle w:val="ListParagraph"/>
        <w:ind w:left="720"/>
        <w:numPr>
          <w:ilvl w:val="0"/>
          <w:numId w:val="42"/>
        </w:numPr>
      </w:pPr>
      <w:r>
        <w:rPr/>
        <w:t xml:space="preserve">Make the final prediction as (\arg\max_k \bar{y}_k). Compare accuracy to the single-pass deterministic model.</w:t>
      </w:r>
    </w:p>
    <w:p>
      <w:pPr>
        <w:spacing w:before="0" w:after="0"/>
        <w:pStyle w:val="ListParagraph"/>
        <w:ind w:left="720"/>
        <w:numPr>
          <w:ilvl w:val="0"/>
          <w:numId w:val="42"/>
        </w:numPr>
      </w:pPr>
      <w:r>
        <w:rPr/>
        <w:t xml:space="preserve">Estimate </w:t>
      </w:r>
      <w:r>
        <w:rPr>
          <w:b/>
        </w:rPr>
        <w:t xml:space="preserve">predictive uncertainty</w:t>
      </w:r>
      <w:r>
        <w:rPr/>
        <w:t xml:space="preserve"> as the entropy of the predictive mean: (H(\bar{\vec{y}})).</w:t>
      </w:r>
    </w:p>
    <w:p>
      <w:pPr>
        <w:spacing w:before="0" w:after="0"/>
        <w:pStyle w:val="ListParagraph"/>
        <w:ind w:left="720"/>
        <w:numPr>
          <w:ilvl w:val="0"/>
          <w:numId w:val="42"/>
        </w:numPr>
      </w:pPr>
      <w:r>
        <w:rPr/>
        <w:t xml:space="preserve">Decompose uncertainty:</w:t>
      </w:r>
    </w:p>
    <w:p>
      <w:pPr>
        <w:spacing w:before="0" w:after="0"/>
        <w:pStyle w:val="ListParagraph"/>
        <w:ind w:left="720"/>
        <w:numPr>
          <w:ilvl w:val="0"/>
          <w:numId w:val="42"/>
        </w:numPr>
      </w:pPr>
      <w:r>
        <w:rPr>
          <w:b/>
        </w:rPr>
        <w:t xml:space="preserve">Aleatoric (data) uncertainty</w:t>
      </w:r>
      <w:r>
        <w:rPr/>
        <w:t xml:space="preserve">: (\frac{1}{T}\sum_t H(\hat{\vec{y}}</w:t>
      </w:r>
      <w:r>
        <w:rPr>
          <w:vertAlign w:val="superscript"/>
        </w:rPr>
        <w:t xml:space="preserve">{</w:t>
      </w:r>
      <w:r>
        <w:rPr/>
        <w:t xml:space="preserve">(t)})) — the average entropy of individual predictions.</w:t>
      </w:r>
    </w:p>
    <w:p>
      <w:pPr>
        <w:spacing w:before="0" w:after="0"/>
        <w:pStyle w:val="ListParagraph"/>
        <w:ind w:left="720"/>
        <w:numPr>
          <w:ilvl w:val="0"/>
          <w:numId w:val="42"/>
        </w:numPr>
      </w:pPr>
      <w:r>
        <w:rPr>
          <w:b/>
        </w:rPr>
        <w:t xml:space="preserve">Epistemic (model) uncertainty</w:t>
      </w:r>
      <w:r>
        <w:rPr/>
        <w:t xml:space="preserve">: (H(\bar{\vec{y}}) - \frac{1}{T}\sum_t H(\hat{\vec{y}}</w:t>
      </w:r>
      <w:r>
        <w:rPr>
          <w:vertAlign w:val="superscript"/>
        </w:rPr>
        <w:t xml:space="preserve">{</w:t>
      </w:r>
      <w:r>
        <w:rPr/>
        <w:t xml:space="preserve">(t)})) — the extra uncertainty from model parameter uncertainty. Report mean aleatoric and epistemic uncertainty for correct vs. incorrect predictions. The epistemic uncertainty should be higher for wrong predictions.</w:t>
      </w:r>
    </w:p>
    <w:p>
      <w:pPr/>
      <w:r>
        <w:rPr>
          <w:b/>
        </w:rPr>
        <w:t xml:space="preserve">Step 5 — Variational Bayesian Head</w:t>
      </w:r>
    </w:p>
    <w:p>
      <w:pPr>
        <w:spacing w:before="0" w:after="0"/>
        <w:pStyle w:val="ListParagraph"/>
        <w:ind w:left="720"/>
        <w:numPr>
          <w:ilvl w:val="0"/>
          <w:numId w:val="43"/>
        </w:numPr>
      </w:pPr>
      <w:r>
        <w:rPr/>
        <w:t xml:space="preserve">Replace the MLP classification head with a </w:t>
      </w:r>
      <w:r>
        <w:rPr>
          <w:b/>
        </w:rPr>
        <w:t xml:space="preserve">mean-field variational Bayesian linear layer</w:t>
      </w:r>
      <w:r>
        <w:rPr/>
        <w:t xml:space="preserve"> (or use the </w:t>
      </w:r>
      <w:r>
        <w:rPr>
          <w:rStyle w:val="Code"/>
        </w:rPr>
        <w:t xml:space="preserve">torchbnn</w:t>
      </w:r>
      <w:r>
        <w:rPr/>
        <w:t xml:space="preserve"> library). Each weight (w_{ij}) has a learned Gaussian posterior (q(w_{ij}) = \mathcal{N}(\mu_{ij}, \sigma_{ij}</w:t>
      </w:r>
      <w:r>
        <w:rPr>
          <w:vertAlign w:val="superscript"/>
        </w:rPr>
        <w:t xml:space="preserve">2</w:t>
      </w:r>
      <w:r>
        <w:rPr/>
        <w:t xml:space="preserve">)) with prior (p(w) = \mathcal{N}(0, 1)).</w:t>
      </w:r>
    </w:p>
    <w:p>
      <w:pPr>
        <w:spacing w:before="0" w:after="0"/>
        <w:pStyle w:val="ListParagraph"/>
        <w:ind w:left="720"/>
        <w:numPr>
          <w:ilvl w:val="0"/>
          <w:numId w:val="43"/>
        </w:numPr>
      </w:pPr>
      <w:r>
        <w:rPr/>
        <w:t xml:space="preserve">The training loss is the variational ELBO: [ \mathcal{L} = -\mathbb{E}_{q(\theta)}\left[\log p(\mathcal{D}|\theta)\right] + D_{\mathrm{KL}}(q(\theta)|p(\theta)) ] The first term is the expected cross-entropy (from Ch 6); the second term is the KL divergence between the posterior and the prior (from Ch 6 / Ch 13).</w:t>
      </w:r>
    </w:p>
    <w:p>
      <w:pPr>
        <w:spacing w:before="0" w:after="0"/>
        <w:pStyle w:val="ListParagraph"/>
        <w:ind w:left="720"/>
        <w:numPr>
          <w:ilvl w:val="0"/>
          <w:numId w:val="43"/>
        </w:numPr>
      </w:pPr>
      <w:r>
        <w:rPr/>
        <w:t xml:space="preserve">Derive in your report that the KL term for a Gaussian-Gaussian pair has the same closed form as in Project 2, Step 3.</w:t>
      </w:r>
    </w:p>
    <w:p>
      <w:pPr>
        <w:spacing w:before="0" w:after="0"/>
        <w:pStyle w:val="ListParagraph"/>
        <w:ind w:left="720"/>
        <w:numPr>
          <w:ilvl w:val="0"/>
          <w:numId w:val="43"/>
        </w:numPr>
      </w:pPr>
      <w:r>
        <w:rPr/>
        <w:t xml:space="preserve">Run 50 stochastic forward passes at inference using samples from (q(\theta)). Compare accuracy and uncertainty calibration to MC-Dropout.</w:t>
      </w:r>
    </w:p>
    <w:p>
      <w:pPr/>
      <w:r>
        <w:rPr>
          <w:b/>
        </w:rPr>
        <w:t xml:space="preserve">Step 6 — Calibration Analysis</w:t>
      </w:r>
    </w:p>
    <w:p>
      <w:pPr>
        <w:spacing w:before="0" w:after="0"/>
        <w:pStyle w:val="ListParagraph"/>
        <w:ind w:left="720"/>
        <w:numPr>
          <w:ilvl w:val="0"/>
          <w:numId w:val="44"/>
        </w:numPr>
      </w:pPr>
      <w:r>
        <w:rPr/>
        <w:t xml:space="preserve">Produce a </w:t>
      </w:r>
      <w:r>
        <w:rPr>
          <w:b/>
        </w:rPr>
        <w:t xml:space="preserve">reliability (calibration) diagram</w:t>
      </w:r>
      <w:r>
        <w:rPr/>
        <w:t xml:space="preserve"> for all three models (deterministic, MC-Dropout, variational Bayes): bin predictions by confidence (max softmax probability or predictive mean), plot mean confidence vs. fraction correct per bin.</w:t>
      </w:r>
    </w:p>
    <w:p>
      <w:pPr>
        <w:spacing w:before="0" w:after="0"/>
        <w:pStyle w:val="ListParagraph"/>
        <w:ind w:left="720"/>
        <w:numPr>
          <w:ilvl w:val="0"/>
          <w:numId w:val="44"/>
        </w:numPr>
      </w:pPr>
      <w:r>
        <w:rPr/>
        <w:t xml:space="preserve">Compute the </w:t>
      </w:r>
      <w:r>
        <w:rPr>
          <w:b/>
        </w:rPr>
        <w:t xml:space="preserve">Expected Calibration Error (ECE)</w:t>
      </w:r>
      <w:r>
        <w:rPr/>
        <w:t xml:space="preserve">: (\text{ECE} = \sum_b \frac{|B_b|}{N} |\text{acc}(B_b) - \text{conf}(B_b)|).</w:t>
      </w:r>
    </w:p>
    <w:p>
      <w:pPr>
        <w:spacing w:before="0" w:after="0"/>
        <w:pStyle w:val="ListParagraph"/>
        <w:ind w:left="720"/>
        <w:numPr>
          <w:ilvl w:val="0"/>
          <w:numId w:val="44"/>
        </w:numPr>
      </w:pPr>
      <w:r>
        <w:rPr/>
        <w:t xml:space="preserve">A perfectly calibrated model has ECE = 0. Compare ECE across the three models.</w:t>
      </w:r>
    </w:p>
    <w:p>
      <w:pPr>
        <w:spacing w:before="0" w:after="0"/>
        <w:pStyle w:val="ListParagraph"/>
        <w:ind w:left="720"/>
        <w:numPr>
          <w:ilvl w:val="0"/>
          <w:numId w:val="44"/>
        </w:numPr>
      </w:pPr>
      <w:r>
        <w:rPr/>
        <w:t xml:space="preserve">Apply </w:t>
      </w:r>
      <w:r>
        <w:rPr>
          <w:b/>
        </w:rPr>
        <w:t xml:space="preserve">temperature scaling</w:t>
      </w:r>
      <w:r>
        <w:rPr/>
        <w:t xml:space="preserve"> to the deterministic model: divide logits by a scalar (T &gt; 0) (optimized on the validation set). Show how this post-hoc calibration reduces ECE and discuss its connection to entropy scaling.</w:t>
      </w:r>
    </w:p>
    <w:p>
      <w:pPr/>
      <w:r>
        <w:rPr>
          <w:b/>
        </w:rPr>
        <w:t xml:space="preserve">Step 7 — Selective Prediction (Abstention) Experiment</w:t>
      </w:r>
    </w:p>
    <w:p>
      <w:pPr>
        <w:spacing w:before="0" w:after="0"/>
        <w:pStyle w:val="ListParagraph"/>
        <w:ind w:left="720"/>
        <w:numPr>
          <w:ilvl w:val="0"/>
          <w:numId w:val="45"/>
        </w:numPr>
      </w:pPr>
      <w:r>
        <w:rPr/>
        <w:t xml:space="preserve">Define a </w:t>
      </w:r>
      <w:r>
        <w:rPr>
          <w:b/>
        </w:rPr>
        <w:t xml:space="preserve">rejection threshold</w:t>
      </w:r>
      <w:r>
        <w:rPr/>
        <w:t xml:space="preserve"> (\tau): if (H(\bar{\vec{y}}) &gt; \tau), the model abstains ("refer to specialist") rather than predicting.</w:t>
      </w:r>
    </w:p>
    <w:p>
      <w:pPr>
        <w:spacing w:before="0" w:after="0"/>
        <w:pStyle w:val="ListParagraph"/>
        <w:ind w:left="720"/>
        <w:numPr>
          <w:ilvl w:val="0"/>
          <w:numId w:val="45"/>
        </w:numPr>
      </w:pPr>
      <w:r>
        <w:rPr/>
        <w:t xml:space="preserve">Sweep (\tau) to produce a </w:t>
      </w:r>
      <w:r>
        <w:rPr>
          <w:b/>
        </w:rPr>
        <w:t xml:space="preserve">coverage–accuracy tradeoff curve</w:t>
      </w:r>
      <w:r>
        <w:rPr/>
        <w:t xml:space="preserve">: x-axis = fraction of test examples not abstained on; y-axis = accuracy on the covered examples.</w:t>
      </w:r>
    </w:p>
    <w:p>
      <w:pPr>
        <w:spacing w:before="0" w:after="0"/>
        <w:pStyle w:val="ListParagraph"/>
        <w:ind w:left="720"/>
        <w:numPr>
          <w:ilvl w:val="0"/>
          <w:numId w:val="45"/>
        </w:numPr>
      </w:pPr>
      <w:r>
        <w:rPr/>
        <w:t xml:space="preserve">Compare this curve for deterministic, MC-Dropout, and variational Bayes models. A better uncertainty model produces a steeper curve (high accuracy even at high coverage).</w:t>
      </w:r>
    </w:p>
    <w:p>
      <w:pPr>
        <w:spacing w:before="0" w:after="0"/>
        <w:pStyle w:val="ListParagraph"/>
        <w:ind w:left="720"/>
        <w:numPr>
          <w:ilvl w:val="0"/>
          <w:numId w:val="45"/>
        </w:numPr>
      </w:pPr>
      <w:r>
        <w:rPr/>
        <w:t xml:space="preserve">Identify the operating point at which 95% of predictions are correct and report the corresponding coverage.</w:t>
      </w:r>
    </w:p>
    <w:p>
      <w:pPr/>
      <w:r>
        <w:rPr>
          <w:b/>
        </w:rPr>
        <w:t xml:space="preserve">Step 8 — KL and Prior Sensitivity Ablation</w:t>
      </w:r>
    </w:p>
    <w:p>
      <w:pPr>
        <w:spacing w:before="0" w:after="0"/>
        <w:pStyle w:val="ListParagraph"/>
        <w:ind w:left="720"/>
        <w:numPr>
          <w:ilvl w:val="0"/>
          <w:numId w:val="46"/>
        </w:numPr>
      </w:pPr>
      <w:r>
        <w:rPr/>
        <w:t xml:space="preserve">For the variational Bayes model, vary the prior standard deviation (\sigma_0 \in {0.01, 0.1, 1.0, 10.0}) (i.e., (p(w) = \mathcal{N}(0, \sigma_0</w:t>
      </w:r>
      <w:r>
        <w:rPr>
          <w:vertAlign w:val="superscript"/>
        </w:rPr>
        <w:t xml:space="preserve">2</w:t>
      </w:r>
      <w:r>
        <w:rPr/>
        <w:t xml:space="preserve">))).</w:t>
      </w:r>
    </w:p>
    <w:p>
      <w:pPr>
        <w:spacing w:before="0" w:after="0"/>
        <w:pStyle w:val="ListParagraph"/>
        <w:ind w:left="720"/>
        <w:numPr>
          <w:ilvl w:val="0"/>
          <w:numId w:val="46"/>
        </w:numPr>
      </w:pPr>
      <w:r>
        <w:rPr/>
        <w:t xml:space="preserve">Record: test accuracy, ECE, mean posterior KL, and coverage at 95% precision threshold.</w:t>
      </w:r>
    </w:p>
    <w:p>
      <w:pPr>
        <w:spacing w:before="0" w:after="0"/>
        <w:pStyle w:val="ListParagraph"/>
        <w:ind w:left="720"/>
        <w:numPr>
          <w:ilvl w:val="0"/>
          <w:numId w:val="46"/>
        </w:numPr>
      </w:pPr>
      <w:r>
        <w:rPr/>
        <w:t xml:space="preserve">Discuss: a tight prior (small (\sigma_0)) strongly regularizes the model (biases toward small weights); a loose prior (large (\sigma_0)) lets the posterior be driven almost entirely by the data. Connect to the MAP vs. MLE interpretation from Ch 5–6.</w:t>
      </w:r>
    </w:p>
    <w:p>
      <w:pPr/>
      <w:r>
        <w:rPr>
          <w:b/>
        </w:rPr>
        <w:t xml:space="preserve">Step 9 — Mathematical Analysis Section</w:t>
      </w:r>
    </w:p>
    <w:p>
      <w:pPr>
        <w:spacing w:before="0" w:after="0"/>
        <w:pStyle w:val="ListParagraph"/>
        <w:ind w:left="720"/>
        <w:numPr>
          <w:ilvl w:val="0"/>
          <w:numId w:val="47"/>
        </w:numPr>
      </w:pPr>
      <w:r>
        <w:rPr/>
        <w:t xml:space="preserve">Starting from Bayes' theorem (p(\theta|\mathcal{D}) \propto p(\mathcal{D}|\theta)\,p(\theta)), show that maximizing the log posterior is equivalent to minimizing cross-entropy loss plus an L2 weight regularization term when the prior is (\mathcal{N}(0, \sigma_0</w:t>
      </w:r>
      <w:r>
        <w:rPr>
          <w:vertAlign w:val="superscript"/>
        </w:rPr>
        <w:t xml:space="preserve">2</w:t>
      </w:r>
      <w:r>
        <w:rPr/>
        <w:t xml:space="preserve"> I)). This is the MAP–regularization connection from Ch 5–6.</w:t>
      </w:r>
    </w:p>
    <w:p>
      <w:pPr>
        <w:spacing w:before="0" w:after="0"/>
        <w:pStyle w:val="ListParagraph"/>
        <w:ind w:left="720"/>
        <w:numPr>
          <w:ilvl w:val="0"/>
          <w:numId w:val="47"/>
        </w:numPr>
      </w:pPr>
      <w:r>
        <w:rPr/>
        <w:t xml:space="preserve">Prove that the entropy of the predictive distribution upper bounds the probability of prediction error (Fano's inequality). Discuss why entropy is a principled uncertainty measure.</w:t>
      </w:r>
    </w:p>
    <w:p>
      <w:pPr>
        <w:spacing w:before="0" w:after="0"/>
        <w:pStyle w:val="ListParagraph"/>
        <w:ind w:left="720"/>
        <w:numPr>
          <w:ilvl w:val="0"/>
          <w:numId w:val="47"/>
        </w:numPr>
      </w:pPr>
      <w:r>
        <w:rPr/>
        <w:t xml:space="preserve">Provide a scatter plot of epistemic uncertainty vs. prediction error (0/1) for the test set and compute the point-biserial correlation. Report whether uncertainty is a good proxy for correctness.</w:t>
      </w:r>
    </w:p>
    <w:p>
      <w:pPr>
        <w:pBdr>
          <w:bottom w:val="single" w:sz="6" w:space="1" w:color="auto"/>
        </w:pBdr>
        <w:spacing w:before="0" w:after="0" w:line="1" w:lineRule="auto"/>
      </w:pPr>
    </w:p>
    <w:p>
      <w:pPr>
        <w:pStyle w:val="Heading2"/>
        <w:keepNext/>
      </w:pPr>
      <w:r>
        <w:rPr/>
        <w:t xml:space="preserve">Project 5: Graph Spectral Analysis of Brain Connectivity Networks</w:t>
      </w:r>
    </w:p>
    <w:p>
      <w:pPr/>
      <w:r>
        <w:rPr>
          <w:b/>
        </w:rPr>
        <w:t xml:space="preserve">Domain:</w:t>
      </w:r>
      <w:r>
        <w:rPr/>
        <w:t xml:space="preserve"> Neuroscience / Biological Networks </w:t>
      </w:r>
      <w:r>
        <w:rPr>
          <w:b/>
        </w:rPr>
        <w:t xml:space="preserve">Modality:</w:t>
      </w:r>
      <w:r>
        <w:rPr/>
        <w:t xml:space="preserve"> Multi-modal (functional time series + structural connectivity matrix) </w:t>
      </w:r>
      <w:r>
        <w:rPr>
          <w:b/>
        </w:rPr>
        <w:t xml:space="preserve">Core Course Concepts:</w:t>
      </w:r>
      <w:r>
        <w:rPr/>
        <w:t xml:space="preserve"> Eigendecomposition (Ch 2), spectral decomposition (Ch 2, Ch 4), quadratic forms (Ch 4 Lec 5), PSD matrices (Ch 4 Lec 5), low-rank approximation (Ch 4 Lec 6), covariance (Ch 4 Lec 6), cross-entropy (Ch 6), gradient descent (Ch 3), MLP and CNN (Ch 7–11)</w:t>
      </w:r>
    </w:p>
    <w:p>
      <w:pPr>
        <w:pStyle w:val="Heading3"/>
        <w:keepNext/>
      </w:pPr>
      <w:r>
        <w:rPr/>
        <w:t xml:space="preserve">Motivation</w:t>
      </w:r>
    </w:p>
    <w:p>
      <w:pPr/>
      <w:r>
        <w:rPr/>
        <w:t xml:space="preserve">The brain can be modeled as a network: regions of interest (ROIs) are nodes, and functional or structural connections between them are edges. The spectral properties of the graph Laplacian — a matrix whose eigenvalues and eigenvectors encode the network's topology — are a direct generalization of the PCA and SVD tools from Ch 4. This project applies spectral graph theory to distinguish neurological conditions (e.g., autism spectrum disorder vs. neurotypical controls) and asks how many spectral modes of the brain network are needed for accurate classification.</w:t>
      </w:r>
    </w:p>
    <w:p>
      <w:pPr>
        <w:pStyle w:val="Heading3"/>
        <w:keepNext/>
      </w:pPr>
      <w:r>
        <w:rPr/>
        <w:t xml:space="preserve">Learning Objectives</w:t>
      </w:r>
    </w:p>
    <w:p>
      <w:pPr>
        <w:spacing w:before="0" w:after="0"/>
        <w:pStyle w:val="ListParagraph"/>
        <w:ind w:left="720"/>
        <w:numPr>
          <w:ilvl w:val="0"/>
          <w:numId w:val="48"/>
        </w:numPr>
      </w:pPr>
      <w:r>
        <w:rPr/>
        <w:t xml:space="preserve">Construct and interpret the graph Laplacian and connect its eigendecomposition to the SVD/PCA machinery of Ch 2–4.</w:t>
      </w:r>
    </w:p>
    <w:p>
      <w:pPr>
        <w:spacing w:before="0" w:after="0"/>
        <w:pStyle w:val="ListParagraph"/>
        <w:ind w:left="720"/>
        <w:numPr>
          <w:ilvl w:val="0"/>
          <w:numId w:val="48"/>
        </w:numPr>
      </w:pPr>
      <w:r>
        <w:rPr/>
        <w:t xml:space="preserve">Verify PSD properties of the Laplacian from first principles.</w:t>
      </w:r>
    </w:p>
    <w:p>
      <w:pPr>
        <w:spacing w:before="0" w:after="0"/>
        <w:pStyle w:val="ListParagraph"/>
        <w:ind w:left="720"/>
        <w:numPr>
          <w:ilvl w:val="0"/>
          <w:numId w:val="48"/>
        </w:numPr>
      </w:pPr>
      <w:r>
        <w:rPr/>
        <w:t xml:space="preserve">Implement spectral graph convolution as a learned filter in the eigenbasis and compare it to spatial graph convolution and a flat MLP baseline.</w:t>
      </w:r>
    </w:p>
    <w:p>
      <w:pPr>
        <w:spacing w:before="0" w:after="0"/>
        <w:pStyle w:val="ListParagraph"/>
        <w:ind w:left="720"/>
        <w:numPr>
          <w:ilvl w:val="0"/>
          <w:numId w:val="48"/>
        </w:numPr>
      </w:pPr>
      <w:r>
        <w:rPr/>
        <w:t xml:space="preserve">Perform a rank ablation analogous to the PCA variance-explained experiments in Ch 4.</w:t>
      </w:r>
    </w:p>
    <w:p>
      <w:pPr>
        <w:pStyle w:val="Heading3"/>
        <w:keepNext/>
      </w:pPr>
      <w:r>
        <w:rPr/>
        <w:t xml:space="preserve">Suggested Dataset</w:t>
      </w:r>
    </w:p>
    <w:p>
      <w:pPr>
        <w:spacing w:before="0" w:after="0"/>
        <w:pStyle w:val="ListParagraph"/>
        <w:ind w:left="720"/>
        <w:numPr>
          <w:ilvl w:val="0"/>
          <w:numId w:val="49"/>
        </w:numPr>
      </w:pPr>
      <w:r>
        <w:rPr>
          <w:b/>
        </w:rPr>
        <w:t xml:space="preserve">ABIDE I</w:t>
      </w:r>
      <w:r>
        <w:rPr/>
        <w:t xml:space="preserve"> (Autism Brain Imaging Data Exchange, ~1,100 subjects, resting-state fMRI, binary label: ASD vs. neurotypical; functional connectivity matrices precomputed by the Preprocessed Connectomes Project, downloadable with the </w:t>
      </w:r>
      <w:r>
        <w:rPr>
          <w:rStyle w:val="Code"/>
        </w:rPr>
        <w:t xml:space="preserve">nilearn</w:t>
      </w:r>
      <w:r>
        <w:rPr/>
        <w:t xml:space="preserve"> library in a few lines of Python).</w:t>
      </w:r>
    </w:p>
    <w:p>
      <w:pPr>
        <w:spacing w:before="0" w:after="0"/>
        <w:pStyle w:val="ListParagraph"/>
        <w:ind w:left="720"/>
        <w:numPr>
          <w:ilvl w:val="0"/>
          <w:numId w:val="49"/>
        </w:numPr>
      </w:pPr>
      <w:r>
        <w:rPr/>
        <w:t xml:space="preserve">Fallback: </w:t>
      </w:r>
      <w:r>
        <w:rPr>
          <w:b/>
        </w:rPr>
        <w:t xml:space="preserve">HCP (Human Connectome Project)</w:t>
      </w:r>
      <w:r>
        <w:rPr/>
        <w:t xml:space="preserve"> functional connectivity parcellated with the Schaefer or AAL atlas (requires free account registration).</w:t>
      </w:r>
    </w:p>
    <w:p>
      <w:pPr>
        <w:pStyle w:val="Heading3"/>
        <w:keepNext/>
      </w:pPr>
      <w:r>
        <w:rPr/>
        <w:t xml:space="preserve">Implementation Steps</w:t>
      </w:r>
    </w:p>
    <w:p>
      <w:pPr/>
      <w:r>
        <w:rPr>
          <w:b/>
        </w:rPr>
        <w:t xml:space="preserve">Step 1 — Data Loading and Connectivity Matrix Construction</w:t>
      </w:r>
    </w:p>
    <w:p>
      <w:pPr>
        <w:spacing w:before="0" w:after="0"/>
        <w:pStyle w:val="ListParagraph"/>
        <w:ind w:left="720"/>
        <w:numPr>
          <w:ilvl w:val="0"/>
          <w:numId w:val="50"/>
        </w:numPr>
      </w:pPr>
      <w:r>
        <w:rPr/>
        <w:t xml:space="preserve">Use </w:t>
      </w:r>
      <w:r>
        <w:rPr>
          <w:rStyle w:val="Code"/>
        </w:rPr>
        <w:t xml:space="preserve">nilearn.connectome.ConnectivityMeasure</w:t>
      </w:r>
      <w:r>
        <w:rPr/>
        <w:t xml:space="preserve"> with </w:t>
      </w:r>
      <w:r>
        <w:rPr>
          <w:rStyle w:val="Code"/>
        </w:rPr>
        <w:t xml:space="preserve">kind='correlation'</w:t>
      </w:r>
      <w:r>
        <w:rPr/>
        <w:t xml:space="preserve"> to extract a (p \times p) functional connectivity (FC) matrix for each subject from the preprocessed time series, where (p) is the number of ROIs (e.g., (p = 64) with the CC200 atlas or (p = 111) with the AAL atlas).</w:t>
      </w:r>
    </w:p>
    <w:p>
      <w:pPr>
        <w:spacing w:before="0" w:after="0"/>
        <w:pStyle w:val="ListParagraph"/>
        <w:ind w:left="720"/>
        <w:numPr>
          <w:ilvl w:val="0"/>
          <w:numId w:val="50"/>
        </w:numPr>
      </w:pPr>
      <w:r>
        <w:rPr/>
        <w:t xml:space="preserve">Threshold each FC matrix: set negative entries to 0 and keep only the top-(K) strongest positive connections per node (e.g., (K = 10) nearest neighbors). This produces a sparse, non-negative symmetric adjacency matrix (A).</w:t>
      </w:r>
    </w:p>
    <w:p>
      <w:pPr>
        <w:spacing w:before="0" w:after="0"/>
        <w:pStyle w:val="ListParagraph"/>
        <w:ind w:left="720"/>
        <w:numPr>
          <w:ilvl w:val="0"/>
          <w:numId w:val="50"/>
        </w:numPr>
      </w:pPr>
      <w:r>
        <w:rPr/>
        <w:t xml:space="preserve">Report summary statistics: mean ± std degree (sum of edge weights per node), mean clustering coefficient, and label balance (ASD vs. neurotypical).</w:t>
      </w:r>
    </w:p>
    <w:p>
      <w:pPr>
        <w:spacing w:before="0" w:after="0"/>
        <w:pStyle w:val="ListParagraph"/>
        <w:ind w:left="720"/>
        <w:numPr>
          <w:ilvl w:val="0"/>
          <w:numId w:val="50"/>
        </w:numPr>
      </w:pPr>
      <w:r>
        <w:rPr/>
        <w:t xml:space="preserve">Split into 70/15/15 train/val/test. Stratify by site (ABIDE is multi-site) to prevent site effects from confounding classification.</w:t>
      </w:r>
    </w:p>
    <w:p>
      <w:pPr/>
      <w:r>
        <w:rPr>
          <w:b/>
        </w:rPr>
        <w:t xml:space="preserve">Step 2 — Graph Laplacian Construction and Spectral Analysis</w:t>
      </w:r>
    </w:p>
    <w:p>
      <w:pPr>
        <w:spacing w:before="0" w:after="0"/>
        <w:pStyle w:val="ListParagraph"/>
        <w:ind w:left="720"/>
        <w:numPr>
          <w:ilvl w:val="0"/>
          <w:numId w:val="51"/>
        </w:numPr>
      </w:pPr>
      <w:r>
        <w:rPr/>
        <w:t xml:space="preserve">Compute the </w:t>
      </w:r>
      <w:r>
        <w:rPr>
          <w:b/>
        </w:rPr>
        <w:t xml:space="preserve">degree matrix</w:t>
      </w:r>
      <w:r>
        <w:rPr/>
        <w:t xml:space="preserve"> (D = \text{diag}(d_1, \ldots, d_p)) where (d_i = \sum_j A_{ij}).</w:t>
      </w:r>
    </w:p>
    <w:p>
      <w:pPr>
        <w:spacing w:before="0" w:after="0"/>
        <w:pStyle w:val="ListParagraph"/>
        <w:ind w:left="720"/>
        <w:numPr>
          <w:ilvl w:val="0"/>
          <w:numId w:val="51"/>
        </w:numPr>
      </w:pPr>
      <w:r>
        <w:rPr/>
        <w:t xml:space="preserve">Compute the </w:t>
      </w:r>
      <w:r>
        <w:rPr>
          <w:b/>
        </w:rPr>
        <w:t xml:space="preserve">normalized graph Laplacian</w:t>
      </w:r>
      <w:r>
        <w:rPr/>
        <w:t xml:space="preserve">: (\mathcal{L} = I - D</w:t>
      </w:r>
      <w:r>
        <w:rPr>
          <w:vertAlign w:val="superscript"/>
        </w:rPr>
        <w:t xml:space="preserve">{-1</w:t>
      </w:r>
      <w:r>
        <w:rPr/>
        <w:t xml:space="preserve">/2} A D</w:t>
      </w:r>
      <w:r>
        <w:rPr>
          <w:vertAlign w:val="superscript"/>
        </w:rPr>
        <w:t xml:space="preserve">{-1</w:t>
      </w:r>
      <w:r>
        <w:rPr/>
        <w:t xml:space="preserve">/2}).</w:t>
      </w:r>
    </w:p>
    <w:p>
      <w:pPr>
        <w:spacing w:before="0" w:after="0"/>
        <w:pStyle w:val="ListParagraph"/>
        <w:ind w:left="720"/>
        <w:numPr>
          <w:ilvl w:val="0"/>
          <w:numId w:val="51"/>
        </w:numPr>
      </w:pPr>
      <w:r>
        <w:rPr/>
        <w:t xml:space="preserve">Show in your report that (\mathcal{L}) is </w:t>
      </w:r>
      <w:r>
        <w:rPr>
          <w:b/>
        </w:rPr>
        <w:t xml:space="preserve">positive semi-definite</w:t>
      </w:r>
      <w:r>
        <w:rPr/>
        <w:t xml:space="preserve">: for any vector (\vec{v}), [ \vec{v}</w:t>
      </w:r>
      <w:r>
        <w:rPr>
          <w:vertAlign w:val="superscript"/>
        </w:rPr>
        <w:t xml:space="preserve">T</w:t>
      </w:r>
      <w:r>
        <w:rPr/>
        <w:t xml:space="preserve"> \mathcal{L} \vec{v} = \frac{1}{2}\sum_{i,j} A_{ij}\left(\frac{v_i}{\sqrt{d_i}} - \frac{v_j}{\sqrt{d_j}}\right)^2 \geq 0 ] This is a quadratic form (Ch 4 Lec 5) that measures the smoothness of a signal (\vec{v}) on the graph.</w:t>
      </w:r>
    </w:p>
    <w:p>
      <w:pPr>
        <w:spacing w:before="0" w:after="0"/>
        <w:pStyle w:val="ListParagraph"/>
        <w:ind w:left="720"/>
        <w:numPr>
          <w:ilvl w:val="0"/>
          <w:numId w:val="51"/>
        </w:numPr>
      </w:pPr>
      <w:r>
        <w:rPr/>
        <w:t xml:space="preserve">Compute the eigendecomposition (\mathcal{L} = U \Lambda U</w:t>
      </w:r>
      <w:r>
        <w:rPr>
          <w:vertAlign w:val="superscript"/>
        </w:rPr>
        <w:t xml:space="preserve">T</w:t>
      </w:r>
      <w:r>
        <w:rPr/>
        <w:t xml:space="preserve">) using </w:t>
      </w:r>
      <w:r>
        <w:rPr>
          <w:rStyle w:val="Code"/>
        </w:rPr>
        <w:t xml:space="preserve">torch.linalg.eigh</w:t>
      </w:r>
      <w:r>
        <w:rPr/>
        <w:t xml:space="preserve">. Plot the eigenvalue spectrum (sorted ascending). Eigenvalue 0 corresponds to the trivial constant eigenvector; the spectral gap (difference between the first and second eigenvalues) measures how well-connected the graph is.</w:t>
      </w:r>
    </w:p>
    <w:p>
      <w:pPr>
        <w:spacing w:before="0" w:after="0"/>
        <w:pStyle w:val="ListParagraph"/>
        <w:ind w:left="720"/>
        <w:numPr>
          <w:ilvl w:val="0"/>
          <w:numId w:val="51"/>
        </w:numPr>
      </w:pPr>
      <w:r>
        <w:rPr/>
        <w:t xml:space="preserve">Report the </w:t>
      </w:r>
      <w:r>
        <w:rPr>
          <w:b/>
        </w:rPr>
        <w:t xml:space="preserve">condition number</w:t>
      </w:r>
      <w:r>
        <w:rPr/>
        <w:t xml:space="preserve"> (\kappa(\mathcal{L})) (ratio of largest to smallest non-zero eigenvalue). Compare between ASD and neurotypical groups — prior neuroscience literature suggests ASD brains show altered spectral gap.</w:t>
      </w:r>
    </w:p>
    <w:p>
      <w:pPr/>
      <w:r>
        <w:rPr>
          <w:b/>
        </w:rPr>
        <w:t xml:space="preserve">Step 3 — Low-Rank Spectral Approximation of Connectivity</w:t>
      </w:r>
    </w:p>
    <w:p>
      <w:pPr>
        <w:spacing w:before="0" w:after="0"/>
        <w:pStyle w:val="ListParagraph"/>
        <w:ind w:left="720"/>
        <w:numPr>
          <w:ilvl w:val="0"/>
          <w:numId w:val="52"/>
        </w:numPr>
      </w:pPr>
      <w:r>
        <w:rPr/>
        <w:t xml:space="preserve">For each subject, represent the FC matrix as (A = U \Lambda U</w:t>
      </w:r>
      <w:r>
        <w:rPr>
          <w:vertAlign w:val="superscript"/>
        </w:rPr>
        <w:t xml:space="preserve">T</w:t>
      </w:r>
      <w:r>
        <w:rPr/>
        <w:t xml:space="preserve">) and compute the rank-(k) approximation (A_k = \sum_{i=1}</w:t>
      </w:r>
      <w:r>
        <w:rPr>
          <w:vertAlign w:val="superscript"/>
        </w:rPr>
        <w:t xml:space="preserve">{k}</w:t>
      </w:r>
      <w:r>
        <w:rPr/>
        <w:t xml:space="preserve"> \lambda_i \vec{u}_i \vec{u}_i</w:t>
      </w:r>
      <w:r>
        <w:rPr>
          <w:vertAlign w:val="superscript"/>
        </w:rPr>
        <w:t xml:space="preserve">T</w:t>
      </w:r>
      <w:r>
        <w:rPr/>
        <w:t xml:space="preserve">) using only the smallest (k) eigenvalues (the </w:t>
      </w:r>
      <w:r>
        <w:rPr>
          <w:b/>
        </w:rPr>
        <w:t xml:space="preserve">low-frequency</w:t>
      </w:r>
      <w:r>
        <w:rPr/>
        <w:t xml:space="preserve"> spectral components).</w:t>
      </w:r>
    </w:p>
    <w:p>
      <w:pPr>
        <w:spacing w:before="0" w:after="0"/>
        <w:pStyle w:val="ListParagraph"/>
        <w:ind w:left="720"/>
        <w:numPr>
          <w:ilvl w:val="0"/>
          <w:numId w:val="52"/>
        </w:numPr>
      </w:pPr>
      <w:r>
        <w:rPr/>
        <w:t xml:space="preserve">Compute the Frobenius reconstruction error (|A - A_k|_F) for (k \in {2, 5, 10, 20, 30, p}). Plot the mean error across all subjects.</w:t>
      </w:r>
    </w:p>
    <w:p>
      <w:pPr>
        <w:spacing w:before="0" w:after="0"/>
        <w:pStyle w:val="ListParagraph"/>
        <w:ind w:left="720"/>
        <w:numPr>
          <w:ilvl w:val="0"/>
          <w:numId w:val="52"/>
        </w:numPr>
      </w:pPr>
      <w:r>
        <w:rPr/>
        <w:t xml:space="preserve">Also compute </w:t>
      </w:r>
      <w:r>
        <w:rPr>
          <w:b/>
        </w:rPr>
        <w:t xml:space="preserve">percent spectral energy</w:t>
      </w:r>
      <w:r>
        <w:rPr/>
        <w:t xml:space="preserve"> explained by the top-(k) modes (analogous to percent variance in PCA). Find (k_{90}) for this dataset.</w:t>
      </w:r>
    </w:p>
    <w:p>
      <w:pPr>
        <w:spacing w:before="0" w:after="0"/>
        <w:pStyle w:val="ListParagraph"/>
        <w:ind w:left="720"/>
        <w:numPr>
          <w:ilvl w:val="0"/>
          <w:numId w:val="52"/>
        </w:numPr>
      </w:pPr>
      <w:r>
        <w:rPr/>
        <w:t xml:space="preserve">Compare the reconstruction error between ASD and neurotypical groups at each (k). Is one group more compressible (lower-rank structure)?</w:t>
      </w:r>
    </w:p>
    <w:p>
      <w:pPr/>
      <w:r>
        <w:rPr>
          <w:b/>
        </w:rPr>
        <w:t xml:space="preserve">Step 4 — MLP Baseline on Flattened Connectivity</w:t>
      </w:r>
    </w:p>
    <w:p>
      <w:pPr>
        <w:spacing w:before="0" w:after="0"/>
        <w:pStyle w:val="ListParagraph"/>
        <w:ind w:left="720"/>
        <w:numPr>
          <w:ilvl w:val="0"/>
          <w:numId w:val="53"/>
        </w:numPr>
      </w:pPr>
      <w:r>
        <w:rPr/>
        <w:t xml:space="preserve">Flatten the upper triangle of each subject's FC matrix to a vector of length (p(p-1)/2). For (p = 64), this is 2016 features.</w:t>
      </w:r>
    </w:p>
    <w:p>
      <w:pPr>
        <w:spacing w:before="0" w:after="0"/>
        <w:pStyle w:val="ListParagraph"/>
        <w:ind w:left="720"/>
        <w:numPr>
          <w:ilvl w:val="0"/>
          <w:numId w:val="53"/>
        </w:numPr>
      </w:pPr>
      <w:r>
        <w:rPr/>
        <w:t xml:space="preserve">Train a 3-layer </w:t>
      </w:r>
      <w:r>
        <w:rPr>
          <w:b/>
        </w:rPr>
        <w:t xml:space="preserve">MLP</w:t>
      </w:r>
      <w:r>
        <w:rPr/>
        <w:t xml:space="preserve"> (2016 → 512 → 256 → 2) with ReLU, dropout (0.5), and cross-entropy loss. Report test accuracy and AUC-ROC.</w:t>
      </w:r>
    </w:p>
    <w:p>
      <w:pPr>
        <w:spacing w:before="0" w:after="0"/>
        <w:pStyle w:val="ListParagraph"/>
        <w:ind w:left="720"/>
        <w:numPr>
          <w:ilvl w:val="0"/>
          <w:numId w:val="53"/>
        </w:numPr>
      </w:pPr>
      <w:r>
        <w:rPr/>
        <w:t xml:space="preserve">Compute the condition number of the feature covariance matrix (using the same procedure as Project 3, Step 3). A highly ill-conditioned feature matrix predicts slow convergence.</w:t>
      </w:r>
    </w:p>
    <w:p>
      <w:pPr/>
      <w:r>
        <w:rPr>
          <w:b/>
        </w:rPr>
        <w:t xml:space="preserve">Step 5 — Spectral Graph Convolution (Spectral GCN)</w:t>
      </w:r>
    </w:p>
    <w:p>
      <w:pPr>
        <w:spacing w:before="0" w:after="0"/>
        <w:pStyle w:val="ListParagraph"/>
        <w:ind w:left="720"/>
        <w:numPr>
          <w:ilvl w:val="0"/>
          <w:numId w:val="54"/>
        </w:numPr>
      </w:pPr>
      <w:r>
        <w:rPr/>
        <w:t xml:space="preserve">Graph convolution in the spectral domain is defined as a learned pointwise filter on the eigenvalues: [ h_\theta(\mathcal{L}) \vec{x} = U \,\text{diag}(\theta) \, U</w:t>
      </w:r>
      <w:r>
        <w:rPr>
          <w:vertAlign w:val="superscript"/>
        </w:rPr>
        <w:t xml:space="preserve">T</w:t>
      </w:r>
      <w:r>
        <w:rPr/>
        <w:t xml:space="preserve"> \vec{x} ] where (\theta \in \mathbb{R}</w:t>
      </w:r>
      <w:r>
        <w:rPr>
          <w:vertAlign w:val="superscript"/>
        </w:rPr>
        <w:t xml:space="preserve">p</w:t>
      </w:r>
      <w:r>
        <w:rPr/>
        <w:t xml:space="preserve">) is a learnable parameter vector and (\vec{x}) is a node-feature vector.</w:t>
      </w:r>
    </w:p>
    <w:p>
      <w:pPr>
        <w:spacing w:before="0" w:after="0"/>
        <w:pStyle w:val="ListParagraph"/>
        <w:ind w:left="720"/>
        <w:numPr>
          <w:ilvl w:val="0"/>
          <w:numId w:val="54"/>
        </w:numPr>
      </w:pPr>
      <w:r>
        <w:rPr/>
        <w:t xml:space="preserve">Implement this as: (1) graph Fourier transform (\hat{\vec{x}} = U</w:t>
      </w:r>
      <w:r>
        <w:rPr>
          <w:vertAlign w:val="superscript"/>
        </w:rPr>
        <w:t xml:space="preserve">T</w:t>
      </w:r>
      <w:r>
        <w:rPr/>
        <w:t xml:space="preserve"> \vec{x}); (2) element-wise multiply by (\theta); (3) inverse transform (U \hat{\vec{x}}). This is the spectral GCN layer.</w:t>
      </w:r>
    </w:p>
    <w:p>
      <w:pPr>
        <w:spacing w:before="0" w:after="0"/>
        <w:pStyle w:val="ListParagraph"/>
        <w:ind w:left="720"/>
        <w:numPr>
          <w:ilvl w:val="0"/>
          <w:numId w:val="54"/>
        </w:numPr>
      </w:pPr>
      <w:r>
        <w:rPr>
          <w:b/>
        </w:rPr>
        <w:t xml:space="preserve">Truncated spectral GCN</w:t>
      </w:r>
      <w:r>
        <w:rPr/>
        <w:t xml:space="preserve">: use only the bottom (k) eigenvectors (low-frequency modes). The parameter vector becomes (\theta \in \mathbb{R}</w:t>
      </w:r>
      <w:r>
        <w:rPr>
          <w:vertAlign w:val="superscript"/>
        </w:rPr>
        <w:t xml:space="preserve">k</w:t>
      </w:r>
      <w:r>
        <w:rPr/>
        <w:t xml:space="preserve">), and the operation is (U_k \,\text{diag}(\theta_k) \, U_k</w:t>
      </w:r>
      <w:r>
        <w:rPr>
          <w:vertAlign w:val="superscript"/>
        </w:rPr>
        <w:t xml:space="preserve">T</w:t>
      </w:r>
      <w:r>
        <w:rPr/>
        <w:t xml:space="preserve"> \vec{x}). This is the graph analogue of the PCA truncated projection.</w:t>
      </w:r>
    </w:p>
    <w:p>
      <w:pPr>
        <w:spacing w:before="0" w:after="0"/>
        <w:pStyle w:val="ListParagraph"/>
        <w:ind w:left="720"/>
        <w:numPr>
          <w:ilvl w:val="0"/>
          <w:numId w:val="54"/>
        </w:numPr>
      </w:pPr>
      <w:r>
        <w:rPr/>
        <w:t xml:space="preserve">Stack two spectral GCN layers (with ReLU in between), apply global mean pooling over nodes, and add a linear classification head.</w:t>
      </w:r>
    </w:p>
    <w:p>
      <w:pPr>
        <w:spacing w:before="0" w:after="0"/>
        <w:pStyle w:val="ListParagraph"/>
        <w:ind w:left="720"/>
        <w:numPr>
          <w:ilvl w:val="0"/>
          <w:numId w:val="54"/>
        </w:numPr>
      </w:pPr>
      <w:r>
        <w:rPr/>
        <w:t xml:space="preserve">Train and evaluate. Compare to the MLP baseline.</w:t>
      </w:r>
    </w:p>
    <w:p>
      <w:pPr/>
      <w:r>
        <w:rPr>
          <w:b/>
        </w:rPr>
        <w:t xml:space="preserve">Step 6 — Spatial Graph Convolution (Spatial GCN)</w:t>
      </w:r>
    </w:p>
    <w:p>
      <w:pPr>
        <w:spacing w:before="0" w:after="0"/>
        <w:pStyle w:val="ListParagraph"/>
        <w:ind w:left="720"/>
        <w:numPr>
          <w:ilvl w:val="0"/>
          <w:numId w:val="55"/>
        </w:numPr>
      </w:pPr>
      <w:r>
        <w:rPr/>
        <w:t xml:space="preserve">Implement the Kipf-Welling GCN layer: (H</w:t>
      </w:r>
      <w:r>
        <w:rPr>
          <w:vertAlign w:val="superscript"/>
        </w:rPr>
        <w:t xml:space="preserve">{</w:t>
      </w:r>
      <w:r>
        <w:rPr/>
        <w:t xml:space="preserve">(l+1)} = \sigma(\hat{A} H</w:t>
      </w:r>
      <w:r>
        <w:rPr>
          <w:vertAlign w:val="superscript"/>
        </w:rPr>
        <w:t xml:space="preserve">{</w:t>
      </w:r>
      <w:r>
        <w:rPr/>
        <w:t xml:space="preserve">(l)} W</w:t>
      </w:r>
      <w:r>
        <w:rPr>
          <w:vertAlign w:val="superscript"/>
        </w:rPr>
        <w:t xml:space="preserve">{</w:t>
      </w:r>
      <w:r>
        <w:rPr/>
        <w:t xml:space="preserve">(l)})) where (\hat{A} = \tilde{D}</w:t>
      </w:r>
      <w:r>
        <w:rPr>
          <w:vertAlign w:val="superscript"/>
        </w:rPr>
        <w:t xml:space="preserve">{-1</w:t>
      </w:r>
      <w:r>
        <w:rPr/>
        <w:t xml:space="preserve">/2} \tilde{A} \tilde{D}</w:t>
      </w:r>
      <w:r>
        <w:rPr>
          <w:vertAlign w:val="superscript"/>
        </w:rPr>
        <w:t xml:space="preserve">{-1</w:t>
      </w:r>
      <w:r>
        <w:rPr/>
        <w:t xml:space="preserve">/2}), (\tilde{A} = A + I) is the adjacency matrix with self-loops, and (W</w:t>
      </w:r>
      <w:r>
        <w:rPr>
          <w:vertAlign w:val="superscript"/>
        </w:rPr>
        <w:t xml:space="preserve">{</w:t>
      </w:r>
      <w:r>
        <w:rPr/>
        <w:t xml:space="preserve">(l)}) is the learnable weight matrix.</w:t>
      </w:r>
    </w:p>
    <w:p>
      <w:pPr>
        <w:spacing w:before="0" w:after="0"/>
        <w:pStyle w:val="ListParagraph"/>
        <w:ind w:left="720"/>
        <w:numPr>
          <w:ilvl w:val="0"/>
          <w:numId w:val="55"/>
        </w:numPr>
      </w:pPr>
      <w:r>
        <w:rPr/>
        <w:t xml:space="preserve">Use the initial node features as the one-hot ROI identity vectors or the FC matrix row for each node.</w:t>
      </w:r>
    </w:p>
    <w:p>
      <w:pPr>
        <w:spacing w:before="0" w:after="0"/>
        <w:pStyle w:val="ListParagraph"/>
        <w:ind w:left="720"/>
        <w:numPr>
          <w:ilvl w:val="0"/>
          <w:numId w:val="55"/>
        </w:numPr>
      </w:pPr>
      <w:r>
        <w:rPr/>
        <w:t xml:space="preserve">Stack 2 GCN layers, apply global mean pooling, and add a linear head. Train and evaluate.</w:t>
      </w:r>
    </w:p>
    <w:p>
      <w:pPr>
        <w:spacing w:before="0" w:after="0"/>
        <w:pStyle w:val="ListParagraph"/>
        <w:ind w:left="720"/>
        <w:numPr>
          <w:ilvl w:val="0"/>
          <w:numId w:val="55"/>
        </w:numPr>
      </w:pPr>
      <w:r>
        <w:rPr/>
        <w:t xml:space="preserve">Compare spatial GCN to spectral GCN and MLP. Discuss: spatial GCN implicitly performs spectral filtering (via repeated multiplication by (\hat{A})), but with a fixed polynomial filter rather than a fully learnable one.</w:t>
      </w:r>
    </w:p>
    <w:p>
      <w:pPr/>
      <w:r>
        <w:rPr>
          <w:b/>
        </w:rPr>
        <w:t xml:space="preserve">Step 7 — Spectral Truncation Ablation</w:t>
      </w:r>
    </w:p>
    <w:p>
      <w:pPr>
        <w:spacing w:before="0" w:after="0"/>
        <w:pStyle w:val="ListParagraph"/>
        <w:ind w:left="720"/>
        <w:numPr>
          <w:ilvl w:val="0"/>
          <w:numId w:val="56"/>
        </w:numPr>
      </w:pPr>
      <w:r>
        <w:rPr/>
        <w:t xml:space="preserve">Fix the spectral GCN architecture and vary (k \in {2, 5, 10, 20, 30, p}).</w:t>
      </w:r>
    </w:p>
    <w:p>
      <w:pPr>
        <w:spacing w:before="0" w:after="0"/>
        <w:pStyle w:val="ListParagraph"/>
        <w:ind w:left="720"/>
        <w:numPr>
          <w:ilvl w:val="0"/>
          <w:numId w:val="56"/>
        </w:numPr>
      </w:pPr>
      <w:r>
        <w:rPr/>
        <w:t xml:space="preserve">For each (k), record: test AUC-ROC, Frobenius reconstruction error of the graph (from Step 3), training loss convergence speed, and number of learnable parameters.</w:t>
      </w:r>
    </w:p>
    <w:p>
      <w:pPr>
        <w:spacing w:before="0" w:after="0"/>
        <w:pStyle w:val="ListParagraph"/>
        <w:ind w:left="720"/>
        <w:numPr>
          <w:ilvl w:val="0"/>
          <w:numId w:val="56"/>
        </w:numPr>
      </w:pPr>
      <w:r>
        <w:rPr/>
        <w:t xml:space="preserve">Produce a dual-axis plot: AUC-ROC and spectral reconstruction error vs. (k). Identify the "spectral sweet spot" — the (k) at which classification performance is maximized with the fewest eigenvectors.</w:t>
      </w:r>
    </w:p>
    <w:p>
      <w:pPr>
        <w:spacing w:before="0" w:after="0"/>
        <w:pStyle w:val="ListParagraph"/>
        <w:ind w:left="720"/>
        <w:numPr>
          <w:ilvl w:val="0"/>
          <w:numId w:val="56"/>
        </w:numPr>
      </w:pPr>
      <w:r>
        <w:rPr/>
        <w:t xml:space="preserve">Report whether the spectral sweet spot aligns with (k_{90}) from Step 3. Discuss the interpretation: do the low-frequency brain network modes carry the discriminative information for ASD classification?</w:t>
      </w:r>
    </w:p>
    <w:p>
      <w:pPr/>
      <w:r>
        <w:rPr>
          <w:b/>
        </w:rPr>
        <w:t xml:space="preserve">Step 8 — Spectral Group Difference Analysis</w:t>
      </w:r>
    </w:p>
    <w:p>
      <w:pPr>
        <w:spacing w:before="0" w:after="0"/>
        <w:pStyle w:val="ListParagraph"/>
        <w:ind w:left="720"/>
        <w:numPr>
          <w:ilvl w:val="0"/>
          <w:numId w:val="57"/>
        </w:numPr>
      </w:pPr>
      <w:r>
        <w:rPr/>
        <w:t xml:space="preserve">For each ROI (i), compute the </w:t>
      </w:r>
      <w:r>
        <w:rPr>
          <w:b/>
        </w:rPr>
        <w:t xml:space="preserve">spectral profile</w:t>
      </w:r>
      <w:r>
        <w:rPr/>
        <w:t xml:space="preserve"> of the node: the projection of the ROI's connectivity row onto each eigenvector, ({(\vec{u}_j)_i}_{j=1}</w:t>
      </w:r>
      <w:r>
        <w:rPr>
          <w:vertAlign w:val="superscript"/>
        </w:rPr>
        <w:t xml:space="preserve">k</w:t>
      </w:r>
      <w:r>
        <w:rPr/>
        <w:t xml:space="preserve">). This gives a (k)-dimensional spectral signature per ROI.</w:t>
      </w:r>
    </w:p>
    <w:p>
      <w:pPr>
        <w:spacing w:before="0" w:after="0"/>
        <w:pStyle w:val="ListParagraph"/>
        <w:ind w:left="720"/>
        <w:numPr>
          <w:ilvl w:val="0"/>
          <w:numId w:val="57"/>
        </w:numPr>
      </w:pPr>
      <w:r>
        <w:rPr/>
        <w:t xml:space="preserve">Perform a two-sample t-test (ASD vs. neurotypical) on the spectral profile at each ROI × eigenvector combination. Apply FDR correction for multiple comparisons.</w:t>
      </w:r>
    </w:p>
    <w:p>
      <w:pPr>
        <w:spacing w:before="0" w:after="0"/>
        <w:pStyle w:val="ListParagraph"/>
        <w:ind w:left="720"/>
        <w:numPr>
          <w:ilvl w:val="0"/>
          <w:numId w:val="57"/>
        </w:numPr>
      </w:pPr>
      <w:r>
        <w:rPr/>
        <w:t xml:space="preserve">Map significant differences back onto the brain parcellation using </w:t>
      </w:r>
      <w:r>
        <w:rPr>
          <w:rStyle w:val="Code"/>
        </w:rPr>
        <w:t xml:space="preserve">nilearn.plotting.plot_stat_map</w:t>
      </w:r>
      <w:r>
        <w:rPr/>
        <w:t xml:space="preserve">. Which brain regions (e.g., default mode network, sensorimotor cortex) show the largest spectral differences between groups?</w:t>
      </w:r>
    </w:p>
    <w:p>
      <w:pPr>
        <w:spacing w:before="0" w:after="0"/>
        <w:pStyle w:val="ListParagraph"/>
        <w:ind w:left="720"/>
        <w:numPr>
          <w:ilvl w:val="0"/>
          <w:numId w:val="57"/>
        </w:numPr>
      </w:pPr>
      <w:r>
        <w:rPr/>
        <w:t xml:space="preserve">Discuss whether the regions identified align with the published neuroscience literature on ASD brain connectivity.</w:t>
      </w:r>
    </w:p>
    <w:p>
      <w:pPr/>
      <w:r>
        <w:rPr>
          <w:b/>
        </w:rPr>
        <w:t xml:space="preserve">Step 9 — Mathematical Analysis Section</w:t>
      </w:r>
    </w:p>
    <w:p>
      <w:pPr>
        <w:spacing w:before="0" w:after="0"/>
        <w:pStyle w:val="ListParagraph"/>
        <w:ind w:left="720"/>
        <w:numPr>
          <w:ilvl w:val="0"/>
          <w:numId w:val="58"/>
        </w:numPr>
      </w:pPr>
      <w:r>
        <w:rPr/>
        <w:t xml:space="preserve">Derive the normalized Laplacian PSD proof from Step 2 in full detail, identifying the quadratic form structure.</w:t>
      </w:r>
    </w:p>
    <w:p>
      <w:pPr>
        <w:spacing w:before="0" w:after="0"/>
        <w:pStyle w:val="ListParagraph"/>
        <w:ind w:left="720"/>
        <w:numPr>
          <w:ilvl w:val="0"/>
          <w:numId w:val="58"/>
        </w:numPr>
      </w:pPr>
      <w:r>
        <w:rPr/>
        <w:t xml:space="preserve">Show that the graph Fourier transform (\hat{\vec{x}} = U</w:t>
      </w:r>
      <w:r>
        <w:rPr>
          <w:vertAlign w:val="superscript"/>
        </w:rPr>
        <w:t xml:space="preserve">T</w:t>
      </w:r>
      <w:r>
        <w:rPr/>
        <w:t xml:space="preserve"> \vec{x}) is an orthogonal transformation (since (U) is orthogonal), and that the spectral GCN filter is equivalent to a convolution theorem on the graph (analogous to how the DFT diagonalizes the circular convolution matrix in classical signal processing).</w:t>
      </w:r>
    </w:p>
    <w:p>
      <w:pPr>
        <w:spacing w:before="0" w:after="0"/>
        <w:pStyle w:val="ListParagraph"/>
        <w:ind w:left="720"/>
        <w:numPr>
          <w:ilvl w:val="0"/>
          <w:numId w:val="58"/>
        </w:numPr>
      </w:pPr>
      <w:r>
        <w:rPr/>
        <w:t xml:space="preserve">Prove that the minimum eigenvalue of (\mathcal{L}) is always 0 (constant eigenvector) and that the number of zero eigenvalues equals the number of connected components. This connects to the rank of (\mathcal{L}) and the low-rank approximation discussion in Ch 4.</w:t>
      </w:r>
    </w:p>
    <w:p>
      <w:pPr>
        <w:spacing w:before="0" w:after="0"/>
        <w:pStyle w:val="ListParagraph"/>
        <w:ind w:left="720"/>
        <w:numPr>
          <w:ilvl w:val="0"/>
          <w:numId w:val="58"/>
        </w:numPr>
      </w:pPr>
      <w:r>
        <w:rPr/>
        <w:t xml:space="preserve">Provide eigenvalue spectrum plots for representative ASD and neurotypical subjects side by side, annotating the spectral gap.</w:t>
      </w:r>
    </w:p>
    <w:p>
      <w:pPr>
        <w:pBdr>
          <w:bottom w:val="single" w:sz="6" w:space="1" w:color="auto"/>
        </w:pBdr>
        <w:spacing w:before="0" w:after="0" w:line="1" w:lineRule="auto"/>
      </w:pPr>
    </w:p>
    <w:p>
      <w:pPr>
        <w:pStyle w:val="Heading2"/>
        <w:keepNext/>
      </w:pPr>
      <w:r>
        <w:rPr/>
        <w:t xml:space="preserve">Timeline and Milestones</w:t>
      </w:r>
    </w:p>
    <w:tbl>
      <w:tblPr>
        <w:tblStyle w:val="TableNorm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200" w:type="dxa"/>
        </w:tblCellMar>
        <w:tblLook w:val="04A0" w:firstRow="0" w:lastRow="0" w:firstColumn="0" w:lastColumn="0" w:noHBand="1" w:noVBand="1"/>
      </w:tblPr>
      <w:tblGrid>
        <w:gridCol w:w="3333.33333333333"/>
        <w:gridCol w:w="3333.33333333333"/>
        <w:gridCol w:w="3333.33333333333"/>
      </w:tblGrid>
      <w:tr>
        <w:tc>
          <w:tcPr/>
          <w:p>
            <w:pPr>
              <w:spacing w:before="0" w:after="0"/>
            </w:pPr>
            <w:r>
              <w:rPr>
                <w:b/>
              </w:rPr>
              <w:t xml:space="preserve">
            Milestone
          </w:t>
            </w:r>
          </w:p>
        </w:tc>
        <w:tc>
          <w:tcPr/>
          <w:p>
            <w:pPr>
              <w:spacing w:before="0" w:after="0"/>
            </w:pPr>
            <w:r>
              <w:rPr>
                <w:b/>
              </w:rPr>
              <w:t xml:space="preserve">
            Week
          </w:t>
            </w:r>
          </w:p>
        </w:tc>
        <w:tc>
          <w:tcPr/>
          <w:p>
            <w:pPr>
              <w:spacing w:before="0" w:after="0"/>
            </w:pPr>
            <w:r>
              <w:rPr>
                <w:b/>
              </w:rPr>
              <w:t xml:space="preserve">
            Deliverable
          </w:t>
            </w:r>
          </w:p>
        </w:tc>
      </w:tr>
      <w:tr>
        <w:tc>
          <w:tcPr/>
          <w:p>
            <w:pPr>
              <w:spacing w:before="0" w:after="0"/>
            </w:pPr>
            <w:r>
              <w:rPr/>
              <w:t xml:space="preserve">Topic selection and team registration</w:t>
            </w:r>
          </w:p>
        </w:tc>
        <w:tc>
          <w:tcPr/>
          <w:p>
            <w:pPr>
              <w:spacing w:before="0" w:after="0"/>
            </w:pPr>
            <w:r>
              <w:rPr/>
              <w:t xml:space="preserve">Week 8</w:t>
            </w:r>
          </w:p>
        </w:tc>
        <w:tc>
          <w:tcPr/>
          <w:p>
            <w:pPr>
              <w:spacing w:before="0" w:after="0"/>
            </w:pPr>
            <w:r>
              <w:rPr/>
              <w:t xml:space="preserve">One-paragraph proposal submitted on course portal</w:t>
            </w:r>
          </w:p>
        </w:tc>
      </w:tr>
      <w:tr>
        <w:tc>
          <w:tcPr/>
          <w:p>
            <w:pPr>
              <w:spacing w:before="0" w:after="0"/>
            </w:pPr>
            <w:r>
              <w:rPr/>
              <w:t xml:space="preserve">Data access confirmed, preprocessing complete</w:t>
            </w:r>
          </w:p>
        </w:tc>
        <w:tc>
          <w:tcPr/>
          <w:p>
            <w:pPr>
              <w:spacing w:before="0" w:after="0"/>
            </w:pPr>
            <w:r>
              <w:rPr/>
              <w:t xml:space="preserve">Week 10</w:t>
            </w:r>
          </w:p>
        </w:tc>
        <w:tc>
          <w:tcPr/>
          <w:p>
            <w:pPr>
              <w:spacing w:before="0" w:after="0"/>
            </w:pPr>
            <w:r>
              <w:rPr/>
              <w:t xml:space="preserve">Short progress check-in (½ page)</w:t>
            </w:r>
          </w:p>
        </w:tc>
      </w:tr>
      <w:tr>
        <w:tc>
          <w:tcPr/>
          <w:p>
            <w:pPr>
              <w:spacing w:before="0" w:after="0"/>
            </w:pPr>
            <w:r>
              <w:rPr/>
              <w:t xml:space="preserve">Baseline model running</w:t>
            </w:r>
          </w:p>
        </w:tc>
        <w:tc>
          <w:tcPr/>
          <w:p>
            <w:pPr>
              <w:spacing w:before="0" w:after="0"/>
            </w:pPr>
            <w:r>
              <w:rPr/>
              <w:t xml:space="preserve">Week 12</w:t>
            </w:r>
          </w:p>
        </w:tc>
        <w:tc>
          <w:tcPr/>
          <w:p>
            <w:pPr>
              <w:spacing w:before="0" w:after="0"/>
            </w:pPr>
            <w:r>
              <w:rPr/>
              <w:t xml:space="preserve">Brief progress report (1 page)</w:t>
            </w:r>
          </w:p>
        </w:tc>
      </w:tr>
      <w:tr>
        <w:tc>
          <w:tcPr/>
          <w:p>
            <w:pPr>
              <w:spacing w:before="0" w:after="0"/>
            </w:pPr>
            <w:r>
              <w:rPr/>
              <w:t xml:space="preserve">All ablations complete, draft notebook</w:t>
            </w:r>
          </w:p>
        </w:tc>
        <w:tc>
          <w:tcPr/>
          <w:p>
            <w:pPr>
              <w:spacing w:before="0" w:after="0"/>
            </w:pPr>
            <w:r>
              <w:rPr/>
              <w:t xml:space="preserve">Week 14</w:t>
            </w:r>
          </w:p>
        </w:tc>
        <w:tc>
          <w:tcPr/>
          <w:p>
            <w:pPr>
              <w:spacing w:before="0" w:after="0"/>
            </w:pPr>
            <w:r>
              <w:rPr/>
              <w:t xml:space="preserve">Full Jupyter notebook submitted</w:t>
            </w:r>
          </w:p>
        </w:tc>
      </w:tr>
      <w:tr>
        <w:tc>
          <w:tcPr/>
          <w:p>
            <w:pPr>
              <w:spacing w:before="0" w:after="0"/>
            </w:pPr>
            <w:r>
              <w:rPr/>
              <w:t xml:space="preserve">Final report and presentation</w:t>
            </w:r>
          </w:p>
        </w:tc>
        <w:tc>
          <w:tcPr/>
          <w:p>
            <w:pPr>
              <w:spacing w:before="0" w:after="0"/>
            </w:pPr>
            <w:r>
              <w:rPr/>
              <w:t xml:space="preserve">Finals week</w:t>
            </w:r>
          </w:p>
        </w:tc>
        <w:tc>
          <w:tcPr/>
          <w:p>
            <w:pPr>
              <w:spacing w:before="0" w:after="0"/>
            </w:pPr>
            <w:r>
              <w:rPr/>
              <w:t xml:space="preserve">Report + slides + peer review</w:t>
            </w:r>
          </w:p>
        </w:tc>
      </w:tr>
    </w:tbl>
    <w:p>
      <w:pPr>
        <w:pBdr>
          <w:bottom w:val="single" w:sz="6" w:space="1" w:color="auto"/>
        </w:pBdr>
        <w:spacing w:before="0" w:after="0" w:line="1" w:lineRule="auto"/>
      </w:pPr>
    </w:p>
    <w:p>
      <w:pPr>
        <w:pStyle w:val="Heading2"/>
        <w:keepNext/>
      </w:pPr>
      <w:r>
        <w:rPr/>
        <w:t xml:space="preserve">Tips for Success</w:t>
      </w:r>
    </w:p>
    <w:p>
      <w:pPr>
        <w:spacing w:before="0" w:after="0"/>
        <w:pStyle w:val="ListParagraph"/>
        <w:ind w:left="720"/>
        <w:numPr>
          <w:ilvl w:val="0"/>
          <w:numId w:val="59"/>
        </w:numPr>
      </w:pPr>
      <w:r>
        <w:rPr>
          <w:b/>
        </w:rPr>
        <w:t xml:space="preserve">Start with the math section first.</w:t>
      </w:r>
      <w:r>
        <w:rPr/>
        <w:t xml:space="preserve"> Writing out the derivations in your report before coding forces you to understand exactly what you are implementing and why. The experiments should </w:t>
      </w:r>
      <w:r>
        <w:rPr>
          <w:i/>
        </w:rPr>
        <w:t xml:space="preserve">test predictions</w:t>
      </w:r>
      <w:r>
        <w:rPr/>
        <w:t xml:space="preserve"> made by the mathematics.</w:t>
      </w:r>
    </w:p>
    <w:p>
      <w:pPr>
        <w:spacing w:before="0" w:after="0"/>
        <w:pStyle w:val="ListParagraph"/>
        <w:ind w:left="720"/>
        <w:numPr>
          <w:ilvl w:val="0"/>
          <w:numId w:val="59"/>
        </w:numPr>
      </w:pPr>
      <w:r>
        <w:rPr>
          <w:b/>
        </w:rPr>
        <w:t xml:space="preserve">Fix seeds early.</w:t>
      </w:r>
      <w:r>
        <w:rPr/>
        <w:t xml:space="preserve"> Use </w:t>
      </w:r>
      <w:r>
        <w:rPr>
          <w:rStyle w:val="Code"/>
        </w:rPr>
        <w:t xml:space="preserve">torch.manual_seed</w:t>
      </w:r>
      <w:r>
        <w:rPr/>
        <w:t xml:space="preserve">, </w:t>
      </w:r>
      <w:r>
        <w:rPr>
          <w:rStyle w:val="Code"/>
        </w:rPr>
        <w:t xml:space="preserve">numpy.random.seed</w:t>
      </w:r>
      <w:r>
        <w:rPr/>
        <w:t xml:space="preserve">, and set </w:t>
      </w:r>
      <w:r>
        <w:rPr>
          <w:rStyle w:val="Code"/>
        </w:rPr>
        <w:t xml:space="preserve">torch.backends.cudnn.deterministic = True</w:t>
      </w:r>
      <w:r>
        <w:rPr/>
        <w:t xml:space="preserve"> from the start. Results that cannot be reproduced will lose points.</w:t>
      </w:r>
    </w:p>
    <w:p>
      <w:pPr>
        <w:spacing w:before="0" w:after="0"/>
        <w:pStyle w:val="ListParagraph"/>
        <w:ind w:left="720"/>
        <w:numPr>
          <w:ilvl w:val="0"/>
          <w:numId w:val="59"/>
        </w:numPr>
      </w:pPr>
      <w:r>
        <w:rPr>
          <w:b/>
        </w:rPr>
        <w:t xml:space="preserve">One variable at a time.</w:t>
      </w:r>
      <w:r>
        <w:rPr/>
        <w:t xml:space="preserve"> Each ablation should change exactly one thing. If you change both the architecture and the learning rate simultaneously, you cannot attribute a performance difference to either one.</w:t>
      </w:r>
    </w:p>
    <w:p>
      <w:pPr>
        <w:spacing w:before="0" w:after="0"/>
        <w:pStyle w:val="ListParagraph"/>
        <w:ind w:left="720"/>
        <w:numPr>
          <w:ilvl w:val="0"/>
          <w:numId w:val="59"/>
        </w:numPr>
      </w:pPr>
      <w:r>
        <w:rPr>
          <w:b/>
        </w:rPr>
        <w:t xml:space="preserve">Use the loss curve, not just final accuracy.</w:t>
      </w:r>
      <w:r>
        <w:rPr/>
        <w:t xml:space="preserve"> The shape of the training and validation loss curves (fast vs. slow convergence, overfitting gap) tells you things about the mathematical properties of your model (condition number, regularization, capacity) that final accuracy alone does not.</w:t>
      </w:r>
    </w:p>
    <w:p>
      <w:pPr>
        <w:spacing w:before="0" w:after="0"/>
        <w:pStyle w:val="ListParagraph"/>
        <w:ind w:left="720"/>
        <w:numPr>
          <w:ilvl w:val="0"/>
          <w:numId w:val="59"/>
        </w:numPr>
      </w:pPr>
      <w:r>
        <w:rPr>
          <w:b/>
        </w:rPr>
        <w:t xml:space="preserve">Connect results to theory.</w:t>
      </w:r>
      <w:r>
        <w:rPr/>
        <w:t xml:space="preserve"> Every table and figure in your report should have a one-sentence interpretation that references a course concept. "The condition number of the covariance was 1250, explaining why training required more iterations than the well-conditioned baseline" is the kind of sentence that earns full marks.</w:t>
      </w:r>
    </w:p>
    <w:p>
      <w:pPr>
        <w:pStyle w:val="ListParagraph"/>
        <w:numPr>
          <w:ilvl w:val="0"/>
          <w:numId w:val="0"/>
        </w:numPr>
        <w:ind w:left="720"/>
      </w:pPr>
      <w:r>
        <w:rPr>
          <w:b/>
        </w:rPr>
        <w:t xml:space="preserve">Datasets are suggested by AI. Please double check the datasets and their descriptions.</w:t>
      </w:r>
    </w:p>
  </w:body>
</w:document>
</file>

<file path=word/endnotes.xml><?xml version="1.0" encoding="utf-8"?>
<w:endnote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endnote w:type="separator" w:id="-1">
    <w:p>
      <w:pPr>
        <w:spacing w:before="0" w:after="0" w:line="240" w:lineRule="auto"/>
      </w:pPr>
      <w:r>
        <w:separator/>
      </w:r>
    </w:p>
  </w:endnote>
  <w:endnote w:type="continuationSeparator" w:id="0">
    <w:p>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altName w:val="Arial"/>
    <w:panose1 w:val="00000000000000000000"/>
    <w:charset w:val="00"/>
    <w:family w:val="roman"/>
    <w:notTrueType/>
    <w:pitch w:val="default"/>
  </w:font>
  <w:font w:name="ＭＳ ゴシック">
    <w:panose1 w:val="00000000000000000000"/>
    <w:charset w:val="80"/>
    <w:family w:val="moder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footnote w:type="separator" w:id="-1">
    <w:p>
      <w:pPr>
        <w:spacing w:before="0" w:after="0" w:line="240" w:lineRule="auto"/>
      </w:pPr>
      <w:r>
        <w:separator/>
      </w:r>
    </w:p>
  </w:footnote>
  <w:footnote w:type="continuationSeparator" w:id="0">
    <w:p>
      <w:pPr>
        <w:spacing w:before="0"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abstractNum w:abstractNumId="0">
    <w:nsid w:val="099A08C1"/>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1">
    <w:nsid w:val="099A08C2"/>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2">
    <w:nsid w:val="099A08C3"/>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3">
    <w:nsid w:val="099A08C4"/>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4">
    <w:nsid w:val="099A08C5"/>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5">
    <w:nsid w:val="099A08C6"/>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6">
    <w:nsid w:val="099A08C7"/>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7">
    <w:nsid w:val="099A08C8"/>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8">
    <w:nsid w:val="099A08C9"/>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9">
    <w:nsid w:val="099A08C10"/>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10">
    <w:nsid w:val="099A08C11"/>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11">
    <w:nsid w:val="099A08C12"/>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12">
    <w:nsid w:val="099A08C13"/>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13">
    <w:nsid w:val="099A08C14"/>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14">
    <w:nsid w:val="099A08C15"/>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5">
    <w:nsid w:val="099A08C16"/>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6">
    <w:nsid w:val="099A08C17"/>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17">
    <w:nsid w:val="099A08C18"/>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18">
    <w:nsid w:val="099A08C19"/>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19">
    <w:nsid w:val="099A08C20"/>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20">
    <w:nsid w:val="099A08C21"/>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21">
    <w:nsid w:val="099A08C22"/>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22">
    <w:nsid w:val="099A08C23"/>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23">
    <w:nsid w:val="099A08C24"/>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24">
    <w:nsid w:val="099A08C25"/>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25">
    <w:nsid w:val="099A08C26"/>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26">
    <w:nsid w:val="099A08C27"/>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27">
    <w:nsid w:val="099A08C28"/>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28">
    <w:nsid w:val="099A08C29"/>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29">
    <w:nsid w:val="099A08C30"/>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30">
    <w:nsid w:val="099A08C31"/>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31">
    <w:nsid w:val="099A08C32"/>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32">
    <w:nsid w:val="099A08C33"/>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33">
    <w:nsid w:val="099A08C34"/>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34">
    <w:nsid w:val="099A08C35"/>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35">
    <w:nsid w:val="099A08C36"/>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36">
    <w:nsid w:val="099A08C37"/>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37">
    <w:nsid w:val="099A08C38"/>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38">
    <w:nsid w:val="099A08C39"/>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39">
    <w:nsid w:val="099A08C40"/>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40">
    <w:nsid w:val="099A08C41"/>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41">
    <w:nsid w:val="099A08C42"/>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42">
    <w:nsid w:val="099A08C43"/>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43">
    <w:nsid w:val="099A08C44"/>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44">
    <w:nsid w:val="099A08C45"/>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45">
    <w:nsid w:val="099A08C46"/>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46">
    <w:nsid w:val="099A08C47"/>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47">
    <w:nsid w:val="099A08C48"/>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48">
    <w:nsid w:val="099A08C49"/>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49">
    <w:nsid w:val="099A08C50"/>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50">
    <w:nsid w:val="099A08C51"/>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51">
    <w:nsid w:val="099A08C52"/>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52">
    <w:nsid w:val="099A08C53"/>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53">
    <w:nsid w:val="099A08C54"/>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54">
    <w:nsid w:val="099A08C55"/>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55">
    <w:nsid w:val="099A08C56"/>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56">
    <w:nsid w:val="099A08C57"/>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57">
    <w:nsid w:val="099A08C58"/>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58">
    <w:nsid w:val="099A08C59"/>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ne"/>
  <w:zoom w:percent="100"/>
  <w:proofState w:spelling="dirty" w:grammar="dirty"/>
  <w:defaultTabStop w:val="720"/>
  <w:noPunctuationKerning/>
  <w:characterSpacingControl w:val="doNotCompress"/>
  <w:savePreviewPicture/>
  <w:compat>
    <w:doNotBreakWrappedTables/>
    <w:doNotSnapToGridInCell/>
    <w:doNotWrapTextWithPunct/>
    <w:doNotUseEastAsianBreakRules/>
    <w:growAutofit/>
    <w:compatSetting w:name="compatibilityMode" w:uri="http://schemas.microsoft.com/office/word" w:val="15"/>
  </w:compat>
  <w:rsids>
    <w:rsidRoot w:val="006E5FB8"/>
    <w:rsid w:val="006E5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table" w:default="1" w:styleId="TableNormal">
    <w:name w:val="Normal Table"/>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w:style w:type="character" w:customStyle="1" w:styleId="FootnoteTextChar">
    <w:name w:val="Footnote Text Char"/>
    <w:basedOn w:val="DefaultParagraphFont"/>
    <w:link w:val="FootnoteText"/>
    <w:uiPriority w:val="99"/>
    <w:semiHidden/>
  </w:style>
  <w:style w:type="character" w:styleId="FootnoteReference">
    <w:name w:val="footnote reference"/>
    <w:basedOn w:val="DefaultParagraphFont"/>
    <w:uiPriority w:val="99"/>
    <w:semiHidden/>
    <w:unhideWhenUsed/>
    <w:rPr>
      <w:vertAlign w:val="superscript"/>
    </w:rPr>
  </w:style>
  <w:style w:type="paragraph" w:styleId="Caption">
    <w:name w:val="caption"/>
    <w:basedOn w:val="Normal"/>
    <w:next w:val="Normal"/>
    <w:uiPriority w:val="35"/>
    <w:unhideWhenUsed/>
    <w:qFormat/>
    <w:pPr>
      <w:spacing w:after="200"/>
    </w:pPr>
    <w:rPr>
      <w: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 Todo: add paragraph styles for Code (monospace font, respect whitespace) -->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4696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5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951873">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doNotSaveAsSingleFile/>
</w:webSettings>
</file>

<file path=word/_rels/document.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_rels/end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_rels/foot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iA Writer</Application>
  <AppVersion>1.0</AppVersion>
  <Template>Normal.dotm</Template>
  <ScaleCrop>false</ScaleCrop>
  <Company/>
  <LinksUpToDate>false</LinksUpToDate>
  <HyperlinksChanged>false</HyperlinksChanged>
  <SharedDoc>false</SharedDoc>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

<file path=docProps/meta.xml><?xml version="1.0" encoding="utf-8"?>
<meta xmlns="http://schemas.apple.com/cocoa/2006/metadata">
  <generator>CocoaOOXMLWriter/1187.37</generator>
</meta>
</file>