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Syllabus</w:t>
      </w:r>
    </w:p>
    <w:p>
      <w:pPr>
        <w:pStyle w:val="Subtitle"/>
      </w:pPr>
      <w:r>
        <w:t xml:space="preserve">IMSE 456/656 · Project Management · Fall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basic-information"/>
    <w:p>
      <w:pPr>
        <w:pStyle w:val="Heading2"/>
      </w:pPr>
      <w:r>
        <w:t xml:space="preserve">Basic information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059"/>
        <w:gridCol w:w="58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IMSE 456/656 — Project Management (3 credits)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 2026 · 25 August – 10 December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Tuesday &amp; Thursday, 3:30 – 4:45 p.m.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 Hill Center, Room 240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Instructor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Harun Pirim, PhD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harun.pirim@ndsu.edu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Teaching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Faria Farzana — faria.farzana@ndsu.edu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Studio 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Kazi Kibria — kazi.kibria@ndsu.edu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Offerdahl 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 office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2–3 p.m., or by appointment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Anything about a studio goes to Kazi</w:t>
      </w:r>
      <w:r>
        <w:t xml:space="preserve"> </w:t>
      </w:r>
      <w:r>
        <w:t xml:space="preserve">— the Thursday session, the tools, the sheet, what you</w:t>
      </w:r>
      <w:r>
        <w:t xml:space="preserve"> </w:t>
      </w:r>
      <w:r>
        <w:t xml:space="preserve">uploaded. Everything else goes to Faria.</w:t>
      </w:r>
    </w:p>
    <w:bookmarkEnd w:id="20"/>
    <w:bookmarkStart w:id="21" w:name="catalog-description"/>
    <w:p>
      <w:pPr>
        <w:pStyle w:val="Heading2"/>
      </w:pPr>
      <w:r>
        <w:t xml:space="preserve">Catalog description</w:t>
      </w:r>
    </w:p>
    <w:p>
      <w:pPr>
        <w:pStyle w:val="FirstParagraph"/>
      </w:pPr>
      <w:r>
        <w:rPr>
          <w:b/>
          <w:bCs/>
        </w:rPr>
        <w:t xml:space="preserve">IMSE 456. Program and Project Management. 3 Credits.</w:t>
      </w:r>
      <w:r>
        <w:t xml:space="preserve"> </w:t>
      </w:r>
      <w:r>
        <w:t xml:space="preserve">Integrated approaches to managing</w:t>
      </w:r>
      <w:r>
        <w:t xml:space="preserve"> </w:t>
      </w:r>
      <w:r>
        <w:t xml:space="preserve">engineering, technology and business projects, addressing the project management lifecycle</w:t>
      </w:r>
      <w:r>
        <w:t xml:space="preserve"> </w:t>
      </w:r>
      <w:r>
        <w:t xml:space="preserve">including initiating, planning, executing, controlling and closing. Additional topics include</w:t>
      </w:r>
      <w:r>
        <w:t xml:space="preserve"> </w:t>
      </w:r>
      <w:r>
        <w:t xml:space="preserve">program management, portfolio management, and applying principles in a business environment.</w:t>
      </w:r>
      <w:r>
        <w:t xml:space="preserve"> </w:t>
      </w:r>
      <w:r>
        <w:t xml:space="preserve">Prereq or Coreq: Junior standing. Dual-listing: IMSE 656.</w:t>
      </w:r>
    </w:p>
    <w:bookmarkEnd w:id="21"/>
    <w:bookmarkStart w:id="23" w:name="how-this-course-runs"/>
    <w:p>
      <w:pPr>
        <w:pStyle w:val="Heading2"/>
      </w:pPr>
      <w:r>
        <w:t xml:space="preserve">How this course runs</w:t>
      </w:r>
    </w:p>
    <w:p>
      <w:pPr>
        <w:pStyle w:val="FirstParagraph"/>
      </w:pPr>
      <w:r>
        <w:t xml:space="preserve">Two sessions a week, and they do different jobs.</w:t>
      </w:r>
    </w:p>
    <w:p>
      <w:pPr>
        <w:pStyle w:val="BodyText"/>
      </w:pPr>
      <w:r>
        <w:rPr>
          <w:b/>
          <w:bCs/>
        </w:rPr>
        <w:t xml:space="preserve">Tuesday is concept.</w:t>
      </w:r>
      <w:r>
        <w:t xml:space="preserve"> </w:t>
      </w:r>
      <w:r>
        <w:t xml:space="preserve">The chapter’s ideas, and usually a short case or discussion with a</w:t>
      </w:r>
      <w:r>
        <w:t xml:space="preserve"> </w:t>
      </w:r>
      <w:r>
        <w:t xml:space="preserve">decision in it. You leave knowing what is due.</w:t>
      </w:r>
    </w:p>
    <w:p>
      <w:pPr>
        <w:pStyle w:val="BodyText"/>
      </w:pPr>
      <w:r>
        <w:rPr>
          <w:b/>
          <w:bCs/>
        </w:rPr>
        <w:t xml:space="preserve">Thursday is studio, and it is hands-on and individual.</w:t>
      </w:r>
      <w:r>
        <w:t xml:space="preserve"> </w:t>
      </w:r>
      <w:r>
        <w:t xml:space="preserve">Every student works at their own machine</w:t>
      </w:r>
      <w:r>
        <w:t xml:space="preserve"> </w:t>
      </w:r>
      <w:r>
        <w:t xml:space="preserve">on the same three movements: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— 25 minutes.</w:t>
      </w:r>
      <w:r>
        <w:t xml:space="preserve"> </w:t>
      </w:r>
      <w:r>
        <w:t xml:space="preserve">Work the concept out yourself first — by hand, in a spreadsheet, in a</w:t>
      </w:r>
      <w:r>
        <w:t xml:space="preserve"> </w:t>
      </w:r>
      <w:r>
        <w:t xml:space="preserve">notebook, or with AI help. No professional software yet.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— 20 minutes.</w:t>
      </w:r>
      <w:r>
        <w:t xml:space="preserve"> </w:t>
      </w:r>
      <w:r>
        <w:t xml:space="preserve">Do the same thing in the real tool: ProjectLibre, Smartsheet, Taiga or</w:t>
      </w:r>
      <w:r>
        <w:t xml:space="preserve"> </w:t>
      </w:r>
      <w:r>
        <w:t xml:space="preserve">Power BI.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Reconcile — 15 minutes.</w:t>
      </w:r>
      <w:r>
        <w:t xml:space="preserve"> </w:t>
      </w:r>
      <w:r>
        <w:t xml:space="preserve">Compare the two. If the numbers match, say so and say why you would</w:t>
      </w:r>
      <w:r>
        <w:t xml:space="preserve"> </w:t>
      </w:r>
      <w:r>
        <w:t xml:space="preserve">trust them.</w:t>
      </w:r>
      <w:r>
        <w:t xml:space="preserve"> </w:t>
      </w:r>
      <w:r>
        <w:rPr>
          <w:b/>
          <w:bCs/>
        </w:rPr>
        <w:t xml:space="preserve">If they do not match exactly, explain how they differ and why</w:t>
      </w:r>
      <w:r>
        <w:t xml:space="preserve"> </w:t>
      </w:r>
      <w:r>
        <w:t xml:space="preserve">— a different</w:t>
      </w:r>
      <w:r>
        <w:t xml:space="preserve"> </w:t>
      </w:r>
      <w:r>
        <w:t xml:space="preserve">definition, a different assumption, a rounding choice, or a mistake in one of them. Either</w:t>
      </w:r>
      <w:r>
        <w:t xml:space="preserve"> </w:t>
      </w:r>
      <w:r>
        <w:t xml:space="preserve">answer is fine. Not looking is not.</w:t>
      </w:r>
    </w:p>
    <w:p>
      <w:pPr>
        <w:pStyle w:val="FirstParagraph"/>
      </w:pPr>
      <w:r>
        <w:rPr>
          <w:b/>
          <w:bCs/>
        </w:rPr>
        <w:t xml:space="preserve">Then save and upload.</w:t>
      </w:r>
      <w:r>
        <w:t xml:space="preserve"> </w:t>
      </w:r>
      <w:r>
        <w:t xml:space="preserve">Save your own copy to your NDSU Google Drive or OneDrive, and upload the</w:t>
      </w:r>
      <w:r>
        <w:t xml:space="preserve"> </w:t>
      </w:r>
      <w:r>
        <w:t xml:space="preserve">file to Blackboard before you leave the room. The saved copy is yours to keep; the uploaded one is</w:t>
      </w:r>
      <w:r>
        <w:t xml:space="preserve"> </w:t>
      </w:r>
      <w:r>
        <w:t xml:space="preserve">what gets graded.</w:t>
      </w:r>
    </w:p>
    <w:bookmarkStart w:id="22" w:name="how-studios-are-graded"/>
    <w:p>
      <w:pPr>
        <w:pStyle w:val="Heading3"/>
      </w:pPr>
      <w:r>
        <w:t xml:space="preserve">How studios are graded</w:t>
      </w:r>
    </w:p>
    <w:p>
      <w:pPr>
        <w:pStyle w:val="FirstParagraph"/>
      </w:pPr>
      <w:r>
        <w:rPr>
          <w:b/>
          <w:bCs/>
        </w:rPr>
        <w:t xml:space="preserve">Complete or incomplete.</w:t>
      </w:r>
      <w:r>
        <w:t xml:space="preserve"> </w:t>
      </w:r>
      <w:r>
        <w:t xml:space="preserve">A studio is complete when every item on its checklist is present in the</w:t>
      </w:r>
      <w:r>
        <w:t xml:space="preserve"> </w:t>
      </w:r>
      <w:r>
        <w:t xml:space="preserve">file you uploaded. That is the whole rubric — and you get written feedback on what you submitted.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900"/>
        <w:gridCol w:w="6019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checklist items present · reconciliation paragraph written · uploaded to Blackboard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Something on the checklist is missing</w:t>
            </w:r>
          </w:p>
        </w:tc>
      </w:tr>
    </w:tbl>
    <w:p>
      <w:pPr>
        <w:pStyle w:val="BodyText"/>
      </w:pPr>
      <w:r>
        <w:t xml:space="preserve">Getting a different answer from the tool does not make a studio incomplete. Not explaining the</w:t>
      </w:r>
      <w:r>
        <w:t xml:space="preserve"> </w:t>
      </w:r>
      <w:r>
        <w:t xml:space="preserve">difference does.</w:t>
      </w:r>
    </w:p>
    <w:bookmarkEnd w:id="22"/>
    <w:bookmarkEnd w:id="23"/>
    <w:bookmarkStart w:id="24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Project management as it is actually practised: the quantitative core — work breakdown, critical</w:t>
      </w:r>
      <w:r>
        <w:t xml:space="preserve"> </w:t>
      </w:r>
      <w:r>
        <w:t xml:space="preserve">path, PERT, resource levelling, crashing, earned value — alongside adaptive delivery and flow</w:t>
      </w:r>
      <w:r>
        <w:t xml:space="preserve"> </w:t>
      </w:r>
      <w:r>
        <w:t xml:space="preserve">metrics, with hybrid treated as the normal real-world case.</w:t>
      </w:r>
    </w:p>
    <w:p>
      <w:pPr>
        <w:pStyle w:val="BodyText"/>
      </w:pPr>
      <w:r>
        <w:t xml:space="preserve">AI runs through every week. You will use it to draft project artifacts — work breakdowns, risk</w:t>
      </w:r>
      <w:r>
        <w:t xml:space="preserve"> </w:t>
      </w:r>
      <w:r>
        <w:t xml:space="preserve">registers, status reports, schedules — and then check what it produced against the real tool and</w:t>
      </w:r>
      <w:r>
        <w:t xml:space="preserve"> </w:t>
      </w:r>
      <w:r>
        <w:t xml:space="preserve">against your own work. In the final project your team builds a small AI-assisted project-management</w:t>
      </w:r>
      <w:r>
        <w:t xml:space="preserve"> </w:t>
      </w:r>
      <w:r>
        <w:t xml:space="preserve">workflow and writes about it publicly.</w:t>
      </w:r>
    </w:p>
    <w:bookmarkEnd w:id="24"/>
    <w:bookmarkStart w:id="26" w:name="course-objectives"/>
    <w:p>
      <w:pPr>
        <w:pStyle w:val="Heading2"/>
      </w:pPr>
      <w:r>
        <w:t xml:space="preserve">Course objectives</w:t>
      </w:r>
    </w:p>
    <w:p>
      <w:pPr>
        <w:pStyle w:val="FirstParagraph"/>
      </w:pPr>
      <w:r>
        <w:t xml:space="preserve">By the end of the course you can:</w:t>
      </w:r>
    </w:p>
    <w:p>
      <w:pPr>
        <w:pStyle w:val="Compact"/>
        <w:numPr>
          <w:ilvl w:val="0"/>
          <w:numId w:val="1002"/>
        </w:numPr>
      </w:pPr>
      <w:r>
        <w:t xml:space="preserve">Decide which delivery approach fits a given project and defend the choice against a specific alternative.</w:t>
      </w:r>
    </w:p>
    <w:p>
      <w:pPr>
        <w:pStyle w:val="Compact"/>
        <w:numPr>
          <w:ilvl w:val="0"/>
          <w:numId w:val="1002"/>
        </w:numPr>
      </w:pPr>
      <w:r>
        <w:t xml:space="preserve">Build and interpret the core quantitative artifacts: WBS, CPM network, PERT distribution, resource-levelled schedule, crash analysis, EVM report.</w:t>
      </w:r>
    </w:p>
    <w:p>
      <w:pPr>
        <w:pStyle w:val="Compact"/>
        <w:numPr>
          <w:ilvl w:val="0"/>
          <w:numId w:val="1002"/>
        </w:numPr>
      </w:pPr>
      <w:r>
        <w:t xml:space="preserve">Run the adaptive artifacts: product backlog, sprint mechanics, cumulative flow diagram, Little’s Law.</w:t>
      </w:r>
    </w:p>
    <w:p>
      <w:pPr>
        <w:pStyle w:val="Compact"/>
        <w:numPr>
          <w:ilvl w:val="0"/>
          <w:numId w:val="1002"/>
        </w:numPr>
      </w:pPr>
      <w:r>
        <w:t xml:space="preserve">Read the evidence critically — distinguish a base rate from a vendor statistic.</w:t>
      </w:r>
    </w:p>
    <w:p>
      <w:pPr>
        <w:pStyle w:val="Compact"/>
        <w:numPr>
          <w:ilvl w:val="0"/>
          <w:numId w:val="1002"/>
        </w:numPr>
      </w:pPr>
      <w:r>
        <w:t xml:space="preserve">Diagnose a failing project and propose interventions ranked by expected effect, not by convention.</w:t>
      </w:r>
    </w:p>
    <w:p>
      <w:pPr>
        <w:pStyle w:val="Compact"/>
        <w:numPr>
          <w:ilvl w:val="0"/>
          <w:numId w:val="1002"/>
        </w:numPr>
      </w:pPr>
      <w:r>
        <w:t xml:space="preserve">Use AI to produce project artifacts, check them, and describe clearly where it helped and where it was wrong.</w:t>
      </w:r>
    </w:p>
    <w:bookmarkStart w:id="25" w:name="Xa7615aeff712c0bf6e35396d2499ae4cba1c7d9"/>
    <w:p>
      <w:pPr>
        <w:pStyle w:val="Heading3"/>
      </w:pPr>
      <w:r>
        <w:t xml:space="preserve">Additional expectations for students enrolled in IMSE 656</w:t>
      </w:r>
    </w:p>
    <w:p>
      <w:pPr>
        <w:pStyle w:val="FirstParagraph"/>
      </w:pPr>
      <w:r>
        <w:t xml:space="preserve">Students enrolled under the graduate number complete the same components at a higher level of</w:t>
      </w:r>
      <w:r>
        <w:t xml:space="preserve"> </w:t>
      </w:r>
      <w:r>
        <w:t xml:space="preserve">expectation: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Studio assignments</w:t>
      </w:r>
      <w:r>
        <w:t xml:space="preserve"> </w:t>
      </w:r>
      <w:r>
        <w:t xml:space="preserve">require the reconciliation paragraph to cite the mechanism, not only the</w:t>
      </w:r>
      <w:r>
        <w:t xml:space="preserve"> </w:t>
      </w:r>
      <w:r>
        <w:t xml:space="preserve">symptom —</w:t>
      </w:r>
      <w:r>
        <w:t xml:space="preserve"> </w:t>
      </w:r>
      <w:r>
        <w:rPr>
          <w:i/>
          <w:iCs/>
        </w:rPr>
        <w:t xml:space="preserve">which algorithm or formula choice produces this difference</w:t>
      </w:r>
      <w:r>
        <w:t xml:space="preserve">, with a reference.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Final project</w:t>
      </w:r>
      <w:r>
        <w:t xml:space="preserve"> </w:t>
      </w:r>
      <w:r>
        <w:t xml:space="preserve">includes a short</w:t>
      </w:r>
      <w:r>
        <w:t xml:space="preserve"> </w:t>
      </w:r>
      <w:r>
        <w:rPr>
          <w:i/>
          <w:iCs/>
        </w:rPr>
        <w:t xml:space="preserve">methods justification</w:t>
      </w:r>
      <w:r>
        <w:t xml:space="preserve">: why you chose the delivery approach,</w:t>
      </w:r>
      <w:r>
        <w:t xml:space="preserve"> </w:t>
      </w:r>
      <w:r>
        <w:t xml:space="preserve">estimating method and control mechanism you did.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Final presentation</w:t>
      </w:r>
      <w:r>
        <w:t xml:space="preserve"> </w:t>
      </w:r>
      <w:r>
        <w:t xml:space="preserve">includes a five-minute defence against a challenge drawn from the</w:t>
      </w:r>
      <w:r>
        <w:t xml:space="preserve"> </w:t>
      </w:r>
      <w:r>
        <w:t xml:space="preserve">counter-evidence for the position taken.</w:t>
      </w:r>
    </w:p>
    <w:bookmarkEnd w:id="25"/>
    <w:bookmarkEnd w:id="26"/>
    <w:bookmarkStart w:id="27" w:name="X1f304fe8ce2fcbed0dc17c72414e43e1f1a79fa"/>
    <w:p>
      <w:pPr>
        <w:pStyle w:val="Heading2"/>
      </w:pPr>
      <w:r>
        <w:t xml:space="preserve">Student learning outcomes and ABET contribution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50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Identify, formulate, and solve complex engineering problems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engineering design to produce solutions meeting specified 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Communicate effectively with a range of audiences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Recognize ethical and professional responsibilities; make informed judgments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effectively on a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 and conduct experimentation; analyze and interpret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Acquire and apply new knowledge using appropriate learning strategies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</w:tr>
    </w:tbl>
    <w:bookmarkEnd w:id="27"/>
    <w:bookmarkStart w:id="29" w:name="textbook-and-sequence"/>
    <w:p>
      <w:pPr>
        <w:pStyle w:val="Heading2"/>
      </w:pPr>
      <w:r>
        <w:t xml:space="preserve">Textbook and sequence</w:t>
      </w:r>
    </w:p>
    <w:p>
      <w:pPr>
        <w:pStyle w:val="FirstParagraph"/>
      </w:pPr>
      <w:r>
        <w:rPr>
          <w:b/>
          <w:bCs/>
        </w:rPr>
        <w:t xml:space="preserve">Optional:</w:t>
      </w:r>
      <w:r>
        <w:t xml:space="preserve"> </w:t>
      </w:r>
      <w:r>
        <w:t xml:space="preserve">Larson &amp; Gray,</w:t>
      </w:r>
      <w:r>
        <w:t xml:space="preserve"> </w:t>
      </w:r>
      <w:r>
        <w:rPr>
          <w:i/>
          <w:iCs/>
        </w:rPr>
        <w:t xml:space="preserve">Project Management: The Managerial Process</w:t>
      </w:r>
      <w:r>
        <w:t xml:space="preserve">, 2024 Release,</w:t>
      </w:r>
      <w:r>
        <w:t xml:space="preserve"> </w:t>
      </w:r>
      <w:r>
        <w:t xml:space="preserve">McGraw Hill. The course follows the book’s chapter order with one displacement — the three</w:t>
      </w:r>
      <w:r>
        <w:t xml:space="preserve"> </w:t>
      </w:r>
      <w:r>
        <w:t xml:space="preserve">relationship chapters (10, 11, 12) move past 13 and 15, so that earned value arrives early enough</w:t>
      </w:r>
      <w:r>
        <w:t xml:space="preserve"> </w:t>
      </w:r>
      <w:r>
        <w:t xml:space="preserve">for your project to use it, and agile arrives after the predictive methods it trades against.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"/>
        <w:gridCol w:w="633"/>
        <w:gridCol w:w="2930"/>
        <w:gridCol w:w="396"/>
        <w:gridCol w:w="633"/>
        <w:gridCol w:w="29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Modern Project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 Resources and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and Project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Reducing Project 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and 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Progress and Performance 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Defining the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Agile Project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Estimating Times and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+ 11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PM and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Developing a Project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Outsourcing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Managing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+ 16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 and International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·</w:t>
            </w:r>
            <w:r>
              <w:t xml:space="preserve"> </w:t>
            </w:r>
            <w:r>
              <w:rPr>
                <w:b/>
                <w:bCs/>
              </w:rPr>
              <w:t xml:space="preserve">Midterm 15 Oct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presentations</w:t>
            </w:r>
          </w:p>
        </w:tc>
      </w:tr>
    </w:tbl>
    <w:p>
      <w:pPr>
        <w:pStyle w:val="BodyText"/>
      </w:pPr>
      <w:r>
        <w:t xml:space="preserve">Everything you are assessed on is on this site. The book is a fuller treatment, not a requirement.</w:t>
      </w:r>
      <w:r>
        <w:t xml:space="preserve"> </w:t>
      </w:r>
      <w:r>
        <w:t xml:space="preserve">The authoritative week-by-week schedule with all due dates is on the</w:t>
      </w:r>
      <w:r>
        <w:t xml:space="preserve"> </w:t>
      </w:r>
      <w:hyperlink r:id="rId28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page.</w:t>
      </w:r>
    </w:p>
    <w:bookmarkEnd w:id="29"/>
    <w:bookmarkStart w:id="36" w:name="required-student-resources"/>
    <w:p>
      <w:pPr>
        <w:pStyle w:val="Heading2"/>
      </w:pPr>
      <w:r>
        <w:t xml:space="preserve">Required student resources</w:t>
      </w:r>
    </w:p>
    <w:p>
      <w:pPr>
        <w:pStyle w:val="FirstParagraph"/>
      </w:pPr>
      <w:r>
        <w:t xml:space="preserve">Everything below is free to you, licensed by the university, or already on your machine.</w:t>
      </w:r>
      <w:r>
        <w:t xml:space="preserve"> </w:t>
      </w:r>
      <w:r>
        <w:rPr>
          <w:b/>
          <w:bCs/>
        </w:rPr>
        <w:t xml:space="preserve">You will</w:t>
      </w:r>
      <w:r>
        <w:rPr>
          <w:b/>
          <w:bCs/>
        </w:rPr>
        <w:t xml:space="preserve"> </w:t>
      </w:r>
      <w:r>
        <w:rPr>
          <w:b/>
          <w:bCs/>
        </w:rPr>
        <w:t xml:space="preserve">not be asked to buy software for this course.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5"/>
        <w:gridCol w:w="3643"/>
        <w:gridCol w:w="2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Taiga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Backlog, sprints, task ownership,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account,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WBS, Gantt, network, critical path, resource levelling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download; Smartsheet substitutes in a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schedules, resource views, dashboards, forms,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Licensed by NDSU,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BI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Dashboards and analytics over the project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in a browser at app.powerbi.com; Desktop is also available on campus Windows machines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Google Colab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Python: networkx, pandas, numpy, matplotlib, PuLP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Free,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 or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models, crash tables, decision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Whichever you have; templates ship as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draw.io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WBS trees, networks, org charts, stakeholder 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Free, browser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and Antigravity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Drafting, reasoning, and agent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to students, but a</w:t>
            </w:r>
            <w:r>
              <w:t xml:space="preserve"> </w:t>
            </w:r>
            <w:r>
              <w:rPr>
                <w:b/>
                <w:bCs/>
              </w:rPr>
              <w:t xml:space="preserve">Pro account is needed</w:t>
            </w:r>
            <w:r>
              <w:t xml:space="preserve"> </w:t>
            </w:r>
            <w:r>
              <w:t xml:space="preserve">— the free tier is not enough. Cannot get one? See the instructor or the TAs; API keys are supplied to anyone who needs them</w:t>
            </w:r>
          </w:p>
        </w:tc>
      </w:tr>
    </w:tbl>
    <w:p>
      <w:pPr>
        <w:pStyle w:val="BodyText"/>
      </w:pPr>
      <w:r>
        <w:t xml:space="preserve">A non-programmable calculator is required for the midterm.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If you work on lab computers only, this course still works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Almost everything runs in a browser. Where an install is a problem, the lab sheet gives you a</w:t>
            </w:r>
            <w:r>
              <w:t xml:space="preserve"> </w:t>
            </w:r>
            <w:r>
              <w:t xml:space="preserve">substitute —</w:t>
            </w:r>
            <w:r>
              <w:t xml:space="preserve"> </w:t>
            </w:r>
            <w:r>
              <w:rPr>
                <w:b/>
                <w:bCs/>
              </w:rPr>
              <w:t xml:space="preserve">Smartsheet</w:t>
            </w:r>
            <w:r>
              <w:t xml:space="preserve"> </w:t>
            </w:r>
            <w:r>
              <w:t xml:space="preserve">in place of ProjectLibre. Nothing is lost and nothing is graded</w:t>
            </w:r>
            <w:r>
              <w:t xml:space="preserve"> </w:t>
            </w:r>
            <w:r>
              <w:t xml:space="preserve">differently.</w:t>
            </w:r>
          </w:p>
          <w:p>
            <w:pPr>
              <w:pStyle w:val="BodyText"/>
            </w:pPr>
            <w:r>
              <w:t xml:space="preserve">Software installation is never homework. Week 1’s access form asks which machine you will work on</w:t>
            </w:r>
            <w:r>
              <w:t xml:space="preserve"> </w:t>
            </w:r>
            <w:r>
              <w:t xml:space="preserve">and which AI tools you can reach; your answer decides which version of every later lab sheet you</w:t>
            </w:r>
            <w:r>
              <w:t xml:space="preserve"> </w:t>
            </w:r>
            <w:r>
              <w:t xml:space="preserve">receive. It has no effect on your grade.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Save nothing to a local disk.</w:t>
            </w:r>
            <w:r>
              <w:t xml:space="preserve"> </w:t>
            </w:r>
            <w:r>
              <w:t xml:space="preserve">Lab machines are wiped on reboot and laptops get left at home.</w:t>
            </w:r>
            <w:r>
              <w:t xml:space="preserve"> </w:t>
            </w:r>
            <w:r>
              <w:t xml:space="preserve">Set up a cloud folder in Week 1 and keep everything there.</w:t>
            </w:r>
          </w:p>
        </w:tc>
      </w:tr>
    </w:tbl>
    <w:bookmarkEnd w:id="36"/>
    <w:bookmarkStart w:id="40" w:name="evaluation-procedures-and-criteria"/>
    <w:p>
      <w:pPr>
        <w:pStyle w:val="Heading2"/>
      </w:pPr>
      <w:r>
        <w:t xml:space="preserve">Evaluation procedures and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792"/>
        <w:gridCol w:w="50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Conceptual assignments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CA1–CA8, online multiple choice on terms, theory and the reasoning behind the methods. Auto-graded, lowest score dropped.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Studio assignments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SA1–SA14,</w:t>
            </w:r>
            <w:r>
              <w:t xml:space="preserve"> </w:t>
            </w:r>
            <w:r>
              <w:rPr>
                <w:b/>
                <w:bCs/>
              </w:rPr>
              <w:t xml:space="preserve">individual</w:t>
            </w:r>
            <w:r>
              <w:t xml:space="preserve">, produced during Thursday studio and</w:t>
            </w:r>
            <w:r>
              <w:t xml:space="preserve"> </w:t>
            </w:r>
            <w:r>
              <w:rPr>
                <w:b/>
                <w:bCs/>
              </w:rPr>
              <w:t xml:space="preserve">uploaded to Blackboard before you leave</w:t>
            </w:r>
            <w:r>
              <w:t xml:space="preserve"> </w:t>
            </w:r>
            <w:r>
              <w:t xml:space="preserve">— graded with written feedback, no deadline to miss. Lowest two dropped. Five are graded against a full rubric — announced in advance — and the rest complete/incomplete against the published checklist. The reconciliation paragraph is read in every case.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examination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Thursday 15 October, in class.</w:t>
            </w:r>
            <w:r>
              <w:t xml:space="preserve"> </w:t>
            </w:r>
            <w:r>
              <w:t xml:space="preserve">Closed book, closed notes, no computers or phones. Covers Chapters 1–7.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project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semester-long project with an industry partner, in teams of four or five, including a published Medium article on the AI-assisted workflow your team built. FP1 5% · FP2 7% · FP3 8% · FP4 10%. See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Final Project</w:t>
              </w:r>
            </w:hyperlink>
            <w:r>
              <w:t xml:space="preserve">.</w:t>
            </w:r>
          </w:p>
        </w:tc>
      </w:tr>
    </w:tbl>
    <w:bookmarkStart w:id="38" w:name="grading-scale"/>
    <w:p>
      <w:pPr>
        <w:pStyle w:val="Heading3"/>
      </w:pPr>
      <w:r>
        <w:t xml:space="preserve">Grading scale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 of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90.00%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80.00 – 89.99%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70.00 – 79.99%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60.00 – 69.99%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60.00%</w:t>
            </w:r>
          </w:p>
        </w:tc>
      </w:tr>
    </w:tbl>
    <w:bookmarkEnd w:id="38"/>
    <w:bookmarkStart w:id="39" w:name="late-work"/>
    <w:p>
      <w:pPr>
        <w:pStyle w:val="Heading3"/>
      </w:pPr>
      <w:r>
        <w:t xml:space="preserve">Late work</w:t>
      </w:r>
    </w:p>
    <w:p>
      <w:pPr>
        <w:pStyle w:val="FirstParagraph"/>
      </w:pPr>
      <w:r>
        <w:rPr>
          <w:b/>
          <w:bCs/>
        </w:rPr>
        <w:t xml:space="preserve">Late work is not accepted.</w:t>
      </w:r>
      <w:r>
        <w:t xml:space="preserve"> </w:t>
      </w:r>
      <w:r>
        <w:t xml:space="preserve">Deadlines are firm for the work that has one — conceptual</w:t>
      </w:r>
      <w:r>
        <w:t xml:space="preserve"> </w:t>
      </w:r>
      <w:r>
        <w:t xml:space="preserve">assignments and the final project deliverables.</w:t>
      </w:r>
    </w:p>
    <w:p>
      <w:pPr>
        <w:pStyle w:val="BodyText"/>
      </w:pPr>
      <w:r>
        <w:rPr>
          <w:b/>
          <w:bCs/>
        </w:rPr>
        <w:t xml:space="preserve">Studio assignments have no deadline.</w:t>
      </w:r>
      <w:r>
        <w:t xml:space="preserve"> </w:t>
      </w:r>
      <w:r>
        <w:t xml:space="preserve">They are produced in the Thursday session and uploaded to</w:t>
      </w:r>
      <w:r>
        <w:t xml:space="preserve"> </w:t>
      </w:r>
      <w:r>
        <w:t xml:space="preserve">Blackboard before you leave it, so the only way to miss one is to miss the session.</w:t>
      </w:r>
    </w:p>
    <w:p>
      <w:pPr>
        <w:pStyle w:val="BodyText"/>
      </w:pPr>
      <w:r>
        <w:t xml:space="preserve">The dropped scores are your margin for a bad week: the lowest conceptual assignment and the two</w:t>
      </w:r>
      <w:r>
        <w:t xml:space="preserve"> </w:t>
      </w:r>
      <w:r>
        <w:t xml:space="preserve">lowest studio assignments are dropped automatically. If something serious happens, contact the</w:t>
      </w:r>
      <w:r>
        <w:t xml:space="preserve"> </w:t>
      </w:r>
      <w:r>
        <w:t xml:space="preserve">instructor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the deadline, or before the studio you will miss.</w:t>
      </w:r>
    </w:p>
    <w:bookmarkEnd w:id="39"/>
    <w:bookmarkEnd w:id="40"/>
    <w:bookmarkStart w:id="42" w:name="attendance"/>
    <w:p>
      <w:pPr>
        <w:pStyle w:val="Heading2"/>
      </w:pPr>
      <w:r>
        <w:t xml:space="preserve">Attendance</w:t>
      </w:r>
    </w:p>
    <w:p>
      <w:pPr>
        <w:pStyle w:val="FirstParagraph"/>
      </w:pPr>
      <w:r>
        <w:t xml:space="preserve">According to</w:t>
      </w:r>
      <w:r>
        <w:t xml:space="preserve"> </w:t>
      </w:r>
      <w:hyperlink r:id="rId41">
        <w:r>
          <w:rPr>
            <w:rStyle w:val="Hyperlink"/>
          </w:rPr>
          <w:t xml:space="preserve">NDSU Policy 333</w:t>
        </w:r>
      </w:hyperlink>
      <w:r>
        <w:t xml:space="preserve">, attendance in</w:t>
      </w:r>
      <w:r>
        <w:t xml:space="preserve"> </w:t>
      </w:r>
      <w:r>
        <w:t xml:space="preserve">classes is expected. Students should contact the instructor as soon as possible to notify them of</w:t>
      </w:r>
      <w:r>
        <w:t xml:space="preserve"> </w:t>
      </w:r>
      <w:r>
        <w:t xml:space="preserve">any extended illness or family emergency that might warrant an extension on assignments.</w:t>
      </w:r>
    </w:p>
    <w:p>
      <w:pPr>
        <w:pStyle w:val="BodyText"/>
      </w:pPr>
      <w:r>
        <w:t xml:space="preserve">Attendance is not a direct component of the grade. But studio deliverables are produced during</w:t>
      </w:r>
      <w:r>
        <w:t xml:space="preserve"> </w:t>
      </w:r>
      <w:r>
        <w:t xml:space="preserve">Thursday sessions with the instructor and the TAs circulating, so an absence is expensive in practice</w:t>
      </w:r>
      <w:r>
        <w:t xml:space="preserve"> </w:t>
      </w:r>
      <w:r>
        <w:t xml:space="preserve">even though it is not scored.</w:t>
      </w:r>
    </w:p>
    <w:p>
      <w:pPr>
        <w:pStyle w:val="BodyText"/>
      </w:pPr>
      <w:r>
        <w:t xml:space="preserve">Veterans and student service members with special circumstances or who are activated are encouraged</w:t>
      </w:r>
      <w:r>
        <w:t xml:space="preserve"> </w:t>
      </w:r>
      <w:r>
        <w:t xml:space="preserve">to notify the instructor as soon as possible and are encouraged to provide Activation Orders.</w:t>
      </w:r>
    </w:p>
    <w:bookmarkEnd w:id="42"/>
    <w:bookmarkStart w:id="44" w:name="X3c0292c1ca5d521631b68470cc0d810fc385fc4"/>
    <w:p>
      <w:pPr>
        <w:pStyle w:val="Heading2"/>
      </w:pPr>
      <w:r>
        <w:t xml:space="preserve">Americans with Disabilities Act statement</w:t>
      </w:r>
    </w:p>
    <w:p>
      <w:pPr>
        <w:pStyle w:val="FirstParagraph"/>
      </w:pPr>
      <w:r>
        <w:t xml:space="preserve">Any students with disabilities or other special needs, who need special accommodations in this</w:t>
      </w:r>
      <w:r>
        <w:t xml:space="preserve"> </w:t>
      </w:r>
      <w:r>
        <w:t xml:space="preserve">course, are invited to share these concerns or requests with the instructor and contact the</w:t>
      </w:r>
      <w:r>
        <w:t xml:space="preserve"> </w:t>
      </w:r>
      <w:hyperlink r:id="rId43">
        <w:r>
          <w:rPr>
            <w:rStyle w:val="Hyperlink"/>
          </w:rPr>
          <w:t xml:space="preserve">Center for Accessibility and Disability Services</w:t>
        </w:r>
      </w:hyperlink>
      <w:r>
        <w:t xml:space="preserve"> </w:t>
      </w:r>
      <w:r>
        <w:t xml:space="preserve">as soon as possible.</w:t>
      </w:r>
    </w:p>
    <w:bookmarkEnd w:id="44"/>
    <w:bookmarkStart w:id="45" w:name="X301472a574ed3d35fc49d620ed470e672808d3d"/>
    <w:p>
      <w:pPr>
        <w:pStyle w:val="Heading2"/>
      </w:pPr>
      <w:r>
        <w:t xml:space="preserve">Family Educational Rights and Privacy Act (FERPA) statement</w:t>
      </w:r>
    </w:p>
    <w:p>
      <w:pPr>
        <w:pStyle w:val="FirstParagraph"/>
      </w:pPr>
      <w:r>
        <w:t xml:space="preserve">Your personally identifiable information and educational records as they relate to this course are</w:t>
      </w:r>
      <w:r>
        <w:t xml:space="preserve"> </w:t>
      </w:r>
      <w:r>
        <w:t xml:space="preserve">subject to FERPA.</w:t>
      </w:r>
    </w:p>
    <w:p>
      <w:pPr>
        <w:pStyle w:val="BodyText"/>
      </w:pPr>
      <w:r>
        <w:t xml:space="preserve">This course maintains a public website.</w:t>
      </w:r>
      <w:r>
        <w:t xml:space="preserve"> </w:t>
      </w:r>
      <w:r>
        <w:rPr>
          <w:b/>
          <w:bCs/>
        </w:rPr>
        <w:t xml:space="preserve">No student names, grades, submitted work, or recordings</w:t>
      </w:r>
      <w:r>
        <w:rPr>
          <w:b/>
          <w:bCs/>
        </w:rPr>
        <w:t xml:space="preserve"> </w:t>
      </w:r>
      <w:r>
        <w:rPr>
          <w:b/>
          <w:bCs/>
        </w:rPr>
        <w:t xml:space="preserve">of student voices are published there.</w:t>
      </w:r>
      <w:r>
        <w:t xml:space="preserve"> </w:t>
      </w:r>
      <w:r>
        <w:t xml:space="preserve">All graded material and individual feedback are handled</w:t>
      </w:r>
      <w:r>
        <w:t xml:space="preserve"> </w:t>
      </w:r>
      <w:r>
        <w:t xml:space="preserve">through Blackboard.</w:t>
      </w:r>
    </w:p>
    <w:bookmarkEnd w:id="45"/>
    <w:bookmarkStart w:id="47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The academic community is operated on the basis of honesty, integrity, and fair play. NDSU Policy</w:t>
      </w:r>
      <w:r>
        <w:t xml:space="preserve"> </w:t>
      </w:r>
      <w:r>
        <w:t xml:space="preserve">335: Code of Academic Responsibility and Conduct applies to cases in which cheating, plagiarism, or</w:t>
      </w:r>
      <w:r>
        <w:t xml:space="preserve"> </w:t>
      </w:r>
      <w:r>
        <w:t xml:space="preserve">other academic misconduct have occurred in an instructional context. Students found guilty of</w:t>
      </w:r>
      <w:r>
        <w:t xml:space="preserve"> </w:t>
      </w:r>
      <w:r>
        <w:t xml:space="preserve">academic misconduct are subject to penalties, up to and possibly including suspension and/or</w:t>
      </w:r>
      <w:r>
        <w:t xml:space="preserve"> </w:t>
      </w:r>
      <w:r>
        <w:t xml:space="preserve">expulsion. Student academic misconduct records are maintained by the Office of Registration and</w:t>
      </w:r>
      <w:r>
        <w:t xml:space="preserve"> </w:t>
      </w:r>
      <w:r>
        <w:t xml:space="preserve">Records. Informational resources about academic honesty for students and instructional staff</w:t>
      </w:r>
      <w:r>
        <w:t xml:space="preserve"> </w:t>
      </w:r>
      <w:r>
        <w:t xml:space="preserve">members can be found at</w:t>
      </w:r>
      <w:r>
        <w:t xml:space="preserve"> </w:t>
      </w:r>
      <w:hyperlink r:id="rId46">
        <w:r>
          <w:rPr>
            <w:rStyle w:val="Hyperlink"/>
          </w:rPr>
          <w:t xml:space="preserve">www.ndsu.edu/academichonesty</w:t>
        </w:r>
      </w:hyperlink>
      <w:r>
        <w:t xml:space="preserve">.</w:t>
      </w:r>
    </w:p>
    <w:bookmarkEnd w:id="47"/>
    <w:bookmarkStart w:id="54" w:name="X662c2d66dd1eda3268d2087202c966cd73b2601"/>
    <w:p>
      <w:pPr>
        <w:pStyle w:val="Heading2"/>
      </w:pPr>
      <w:r>
        <w:t xml:space="preserve">Use of Generative Artificial Intelligence</w:t>
      </w:r>
    </w:p>
    <w:p>
      <w:pPr>
        <w:pStyle w:val="FirstParagraph"/>
      </w:pPr>
      <w:r>
        <w:t xml:space="preserve">Generative AI use in this course is</w:t>
      </w:r>
      <w:r>
        <w:t xml:space="preserve"> </w:t>
      </w:r>
      <w:r>
        <w:rPr>
          <w:b/>
          <w:bCs/>
        </w:rPr>
        <w:t xml:space="preserve">permitted and expected, within the parameters below</w:t>
      </w:r>
      <w:r>
        <w:t xml:space="preserve">. This</w:t>
      </w:r>
      <w:r>
        <w:t xml:space="preserve"> </w:t>
      </w:r>
      <w:r>
        <w:t xml:space="preserve">section is the course’s AI policy under NDSU Policy 335: Code of Academic Responsibility and</w:t>
      </w:r>
      <w:r>
        <w:t xml:space="preserve"> </w:t>
      </w:r>
      <w:r>
        <w:t xml:space="preserve">Conduct.</w:t>
      </w:r>
      <w:r>
        <w:t xml:space="preserve"> </w:t>
      </w:r>
      <w:r>
        <w:rPr>
          <w:b/>
          <w:bCs/>
        </w:rPr>
        <w:t xml:space="preserve">Use outside these parameters is academic dishonesty</w:t>
      </w:r>
      <w:r>
        <w:t xml:space="preserve"> </w:t>
      </w:r>
      <w:r>
        <w:t xml:space="preserve">and is handled under that policy.</w:t>
      </w:r>
    </w:p>
    <w:p>
      <w:pPr>
        <w:pStyle w:val="BodyText"/>
      </w:pPr>
      <w:r>
        <w:t xml:space="preserve">Much of this course is about using these tools well and knowing when they are wrong. That is a</w:t>
      </w:r>
      <w:r>
        <w:t xml:space="preserve"> </w:t>
      </w:r>
      <w:r>
        <w:t xml:space="preserve">learning objective, not a concession.</w:t>
      </w:r>
    </w:p>
    <w:bookmarkStart w:id="48" w:name="approved-tools"/>
    <w:p>
      <w:pPr>
        <w:pStyle w:val="Heading3"/>
      </w:pPr>
      <w:r>
        <w:t xml:space="preserve">Approved tools</w:t>
      </w:r>
    </w:p>
    <w:p>
      <w:pPr>
        <w:pStyle w:val="FirstParagraph"/>
      </w:pPr>
      <w:r>
        <w:rPr>
          <w:b/>
          <w:bCs/>
        </w:rPr>
        <w:t xml:space="preserve">Gemini</w:t>
      </w:r>
      <w:r>
        <w:t xml:space="preserve">,</w:t>
      </w:r>
      <w:r>
        <w:t xml:space="preserve"> </w:t>
      </w:r>
      <w:r>
        <w:rPr>
          <w:b/>
          <w:bCs/>
        </w:rPr>
        <w:t xml:space="preserve">Google Antigravity</w:t>
      </w:r>
      <w:r>
        <w:t xml:space="preserve">, the</w:t>
      </w:r>
      <w:r>
        <w:t xml:space="preserve"> </w:t>
      </w:r>
      <w:r>
        <w:rPr>
          <w:b/>
          <w:bCs/>
        </w:rPr>
        <w:t xml:space="preserve">Gemini API</w:t>
      </w:r>
      <w:r>
        <w:t xml:space="preserve"> </w:t>
      </w:r>
      <w:r>
        <w:t xml:space="preserve">supplied through the course notebook, and</w:t>
      </w:r>
      <w:r>
        <w:t xml:space="preserve"> </w:t>
      </w:r>
      <w:r>
        <w:rPr>
          <w:b/>
          <w:bCs/>
        </w:rPr>
        <w:t xml:space="preserve">Microsoft 365 Copilot</w:t>
      </w:r>
      <w:r>
        <w:t xml:space="preserve"> </w:t>
      </w:r>
      <w:r>
        <w:t xml:space="preserve">are approved for all permitted uses without further request. Any other</w:t>
      </w:r>
      <w:r>
        <w:t xml:space="preserve"> </w:t>
      </w:r>
      <w:r>
        <w:t xml:space="preserve">general-purpose assistant is approved on the same terms provided you name it in your disclosure.</w:t>
      </w:r>
      <w:r>
        <w:t xml:space="preserve"> </w:t>
      </w:r>
      <w:r>
        <w:t xml:space="preserve">Anything that is not a general-purpose assistant — a tool that completes assignments for you, or a</w:t>
      </w:r>
      <w:r>
        <w:t xml:space="preserve"> </w:t>
      </w:r>
      <w:r>
        <w:t xml:space="preserve">service you would have to send course material to — ask first.</w:t>
      </w:r>
    </w:p>
    <w:p>
      <w:pPr>
        <w:pStyle w:val="BodyText"/>
      </w:pPr>
      <w:r>
        <w:t xml:space="preserve">Every student has access to Gemini and Antigravity, and</w:t>
      </w:r>
      <w:r>
        <w:t xml:space="preserve"> </w:t>
      </w:r>
      <w:r>
        <w:rPr>
          <w:b/>
          <w:bCs/>
        </w:rPr>
        <w:t xml:space="preserve">the instructor supplies API keys to</w:t>
      </w:r>
      <w:r>
        <w:rPr>
          <w:b/>
          <w:bCs/>
        </w:rPr>
        <w:t xml:space="preserve"> </w:t>
      </w:r>
      <w:r>
        <w:rPr>
          <w:b/>
          <w:bCs/>
        </w:rPr>
        <w:t xml:space="preserve">anyone who needs them</w:t>
      </w:r>
      <w:r>
        <w:t xml:space="preserve">, so no graded work in this course depends on being able to buy a</w:t>
      </w:r>
      <w:r>
        <w:t xml:space="preserve"> </w:t>
      </w:r>
      <w:r>
        <w:t xml:space="preserve">subscription.</w:t>
      </w:r>
    </w:p>
    <w:bookmarkEnd w:id="48"/>
    <w:bookmarkStart w:id="50" w:name="how-much-ai-on-which-assessment"/>
    <w:p>
      <w:pPr>
        <w:pStyle w:val="Heading3"/>
      </w:pPr>
      <w:r>
        <w:t xml:space="preserve">How much AI, on which assessment</w:t>
      </w:r>
    </w:p>
    <w:p>
      <w:pPr>
        <w:pStyle w:val="FirstParagraph"/>
      </w:pPr>
      <w:r>
        <w:t xml:space="preserve">Each assessment carries a level from the Generative AI Acceptable Use Scale (Perkins et al., 2024).</w:t>
      </w:r>
      <w:r>
        <w:t xml:space="preserve"> </w:t>
      </w:r>
      <w:r>
        <w:t xml:space="preserve">The level is repeated on every lab sheet and assignment so you never have to guess.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9"/>
        <w:gridCol w:w="1584"/>
        <w:gridCol w:w="42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that means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examination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· Prohibited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book, closed notes, no computers or phones. The reasoning this tests is the reasoning you need when the tool is unavailable or wrong.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Conceptual assignments (CA1–CA8)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 · Prohibited during the 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are quizzes. Use AI freely to</w:t>
            </w:r>
            <w:r>
              <w:t xml:space="preserve"> </w:t>
            </w:r>
            <w:r>
              <w:rPr>
                <w:i/>
                <w:iCs/>
              </w:rPr>
              <w:t xml:space="preserve">study</w:t>
            </w:r>
            <w:r>
              <w:t xml:space="preserve"> </w:t>
            </w:r>
            <w:r>
              <w:t xml:space="preserve">— the Tutor prompts in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AI Studio</w:t>
              </w:r>
            </w:hyperlink>
            <w:r>
              <w:t xml:space="preserve"> </w:t>
            </w:r>
            <w:r>
              <w:t xml:space="preserve">are built for it — but not while the assessment is open.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Studio assignments (SA1–SA14)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 · Full use with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freely, including the code. Every quantitative result arrives with the check that proves it, and the reconciliation paragraph must be your own reasoning.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project (FP1–FP4)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 · Full use with human oversight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are</w:t>
            </w:r>
            <w:r>
              <w:t xml:space="preserve"> </w:t>
            </w:r>
            <w:r>
              <w:rPr>
                <w:i/>
                <w:iCs/>
              </w:rPr>
              <w:t xml:space="preserve">required</w:t>
            </w:r>
            <w:r>
              <w:t xml:space="preserve"> </w:t>
            </w:r>
            <w:r>
              <w:t xml:space="preserve">to build and run an agent that maintains a live project artifact, and to report what it got wrong and how you caught it.</w:t>
            </w:r>
          </w:p>
        </w:tc>
      </w:tr>
    </w:tbl>
    <w:bookmarkEnd w:id="50"/>
    <w:bookmarkStart w:id="51" w:name="how-to-disclose"/>
    <w:p>
      <w:pPr>
        <w:pStyle w:val="Heading3"/>
      </w:pPr>
      <w:r>
        <w:t xml:space="preserve">How to disclose</w:t>
      </w:r>
    </w:p>
    <w:p>
      <w:pPr>
        <w:pStyle w:val="FirstParagraph"/>
      </w:pPr>
      <w:r>
        <w:t xml:space="preserve">Append this to any submission where AI was used. It takes two minutes and its absence is what turns</w:t>
      </w:r>
      <w:r>
        <w:t xml:space="preserve"> </w:t>
      </w:r>
      <w:r>
        <w:t xml:space="preserve">permitted use into a violation.</w:t>
      </w:r>
    </w:p>
    <w:p>
      <w:pPr>
        <w:pStyle w:val="BlockText"/>
      </w:pPr>
      <w:r>
        <w:rPr>
          <w:b/>
          <w:bCs/>
        </w:rPr>
        <w:t xml:space="preserve">AI acknowledgement.</w:t>
      </w:r>
      <w:r>
        <w:t xml:space="preserve"> </w:t>
      </w:r>
      <w:r>
        <w:t xml:space="preserve">Tool used: [name]. What I used it for: [e.g. drafting the WBS].</w:t>
      </w:r>
      <w:r>
        <w:t xml:space="preserve"> </w:t>
      </w:r>
      <w:r>
        <w:t xml:space="preserve">Prompt or transcript: [link or screenshot]. What I changed after reading its output: [edits].</w:t>
      </w:r>
      <w:r>
        <w:t xml:space="preserve"> </w:t>
      </w:r>
      <w:r>
        <w:t xml:space="preserve">What it got wrong: [or</w:t>
      </w:r>
      <w:r>
        <w:t xml:space="preserve"> </w:t>
      </w:r>
      <w:r>
        <w:t xml:space="preserve">“nothing I found”</w:t>
      </w:r>
      <w:r>
        <w:t xml:space="preserve">].</w:t>
      </w:r>
    </w:p>
    <w:bookmarkEnd w:id="51"/>
    <w:bookmarkStart w:id="52" w:name="the-requirements-in-short"/>
    <w:p>
      <w:pPr>
        <w:pStyle w:val="Heading3"/>
      </w:pPr>
      <w:r>
        <w:t xml:space="preserve">The requirements, in short</w:t>
      </w:r>
    </w:p>
    <w:p>
      <w:pPr>
        <w:pStyle w:val="Compact"/>
        <w:numPr>
          <w:ilvl w:val="0"/>
          <w:numId w:val="1004"/>
        </w:numPr>
      </w:pPr>
      <w:r>
        <w:t xml:space="preserve">Acknowledge any significant AI contribution in submissions.</w:t>
      </w:r>
    </w:p>
    <w:p>
      <w:pPr>
        <w:pStyle w:val="Compact"/>
        <w:numPr>
          <w:ilvl w:val="0"/>
          <w:numId w:val="1004"/>
        </w:numPr>
      </w:pPr>
      <w:r>
        <w:t xml:space="preserve">Verify all AI-generated content for accuracy.</w:t>
      </w:r>
    </w:p>
    <w:p>
      <w:pPr>
        <w:pStyle w:val="Compact"/>
        <w:numPr>
          <w:ilvl w:val="0"/>
          <w:numId w:val="1004"/>
        </w:numPr>
      </w:pPr>
      <w:r>
        <w:t xml:space="preserve">Use AI ethically; violations constitute academic dishonesty.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 is forbidden for quizzes and tests</w:t>
      </w:r>
      <w:r>
        <w:t xml:space="preserve"> </w:t>
      </w:r>
      <w:r>
        <w:t xml:space="preserve">— the midterm and the conceptual assignments.</w:t>
      </w:r>
    </w:p>
    <w:bookmarkEnd w:id="52"/>
    <w:bookmarkStart w:id="53" w:name="data-confidentiality-and-privacy"/>
    <w:p>
      <w:pPr>
        <w:pStyle w:val="Heading3"/>
      </w:pPr>
      <w:r>
        <w:t xml:space="preserve">Data, confidentiality and privacy</w:t>
      </w:r>
    </w:p>
    <w:p>
      <w:pPr>
        <w:pStyle w:val="FirstParagraph"/>
      </w:pPr>
      <w:r>
        <w:t xml:space="preserve">This matters more here than in most courses, because your final project involves a real</w:t>
      </w:r>
      <w:r>
        <w:t xml:space="preserve"> </w:t>
      </w:r>
      <w:r>
        <w:t xml:space="preserve">organization’s information.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 not put a partner organization’s confidential information into any AI tool.</w:t>
      </w:r>
      <w:r>
        <w:t xml:space="preserve"> </w:t>
      </w:r>
      <w:r>
        <w:t xml:space="preserve">Costs,</w:t>
      </w:r>
      <w:r>
        <w:t xml:space="preserve"> </w:t>
      </w:r>
      <w:r>
        <w:t xml:space="preserve">contracts, customer data, unreleased plans, anything they asked you to protect. Generalize the</w:t>
      </w:r>
      <w:r>
        <w:t xml:space="preserve"> </w:t>
      </w:r>
      <w:r>
        <w:t xml:space="preserve">problem or use synthetic numbers instead. If you are unsure whether something is confidential,</w:t>
      </w:r>
      <w:r>
        <w:t xml:space="preserve"> </w:t>
      </w:r>
      <w:r>
        <w:t xml:space="preserve">it is.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 not put anyone’s personal information into an AI tool</w:t>
      </w:r>
      <w:r>
        <w:t xml:space="preserve"> </w:t>
      </w:r>
      <w:r>
        <w:t xml:space="preserve">— classmates’, a partner’s staff,</w:t>
      </w:r>
      <w:r>
        <w:t xml:space="preserve"> </w:t>
      </w:r>
      <w:r>
        <w:t xml:space="preserve">your own beyond what you would post publicly.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 not upload another student’s work.</w:t>
      </w:r>
      <w:r>
        <w:t xml:space="preserve"> </w:t>
      </w:r>
      <w:r>
        <w:t xml:space="preserve">Their submissions are their educational records.</w:t>
      </w:r>
    </w:p>
    <w:p>
      <w:pPr>
        <w:pStyle w:val="Compact"/>
        <w:numPr>
          <w:ilvl w:val="0"/>
          <w:numId w:val="1005"/>
        </w:numPr>
      </w:pPr>
      <w:r>
        <w:t xml:space="preserve">If a partner asks for a written commitment about AI use, bring it to the instructor before you</w:t>
      </w:r>
      <w:r>
        <w:t xml:space="preserve"> </w:t>
      </w:r>
      <w:r>
        <w:t xml:space="preserve">agree to anything. Do not sign on behalf of NDSU.</w:t>
      </w:r>
    </w:p>
    <w:bookmarkEnd w:id="53"/>
    <w:bookmarkEnd w:id="54"/>
    <w:bookmarkStart w:id="57" w:name="instructor-use-of-ai-disclosure"/>
    <w:p>
      <w:pPr>
        <w:pStyle w:val="Heading2"/>
      </w:pPr>
      <w:r>
        <w:t xml:space="preserve">Instructor use of AI — disclosure</w:t>
      </w:r>
    </w:p>
    <w:p>
      <w:pPr>
        <w:pStyle w:val="FirstParagraph"/>
      </w:pPr>
      <w:r>
        <w:t xml:space="preserve">You are being asked to label, verify and own your AI use. The same standard applies to the person</w:t>
      </w:r>
      <w:r>
        <w:t xml:space="preserve"> </w:t>
      </w:r>
      <w:r>
        <w:t xml:space="preserve">teaching you, so here is exactly how AI was used to build this course.</w:t>
      </w:r>
    </w:p>
    <w:p>
      <w:pPr>
        <w:pStyle w:val="BodyText"/>
      </w:pPr>
      <w:r>
        <w:rPr>
          <w:b/>
          <w:bCs/>
        </w:rPr>
        <w:t xml:space="preserve">What AI did.</w:t>
      </w:r>
      <w:r>
        <w:t xml:space="preserve"> </w:t>
      </w:r>
      <w:r>
        <w:t xml:space="preserve">Working from my own outlines, notes and the textbook’s chapter structure, I used</w:t>
      </w:r>
      <w:r>
        <w:t xml:space="preserve"> </w:t>
      </w:r>
      <w:r>
        <w:t xml:space="preserve">generative AI to help organize the course: to sequence the sixteen weeks against Larson’s chapters</w:t>
      </w:r>
      <w:r>
        <w:t xml:space="preserve"> </w:t>
      </w:r>
      <w:r>
        <w:t xml:space="preserve">and argue about where the displacement should fall; to draft and edit lecture notes, the mini-cases</w:t>
      </w:r>
      <w:r>
        <w:t xml:space="preserve"> </w:t>
      </w:r>
      <w:r>
        <w:t xml:space="preserve">you read on Tuesdays, and the studio lab sheets you work from on Thursdays; to generate the studio</w:t>
      </w:r>
      <w:r>
        <w:t xml:space="preserve"> </w:t>
      </w:r>
      <w:r>
        <w:t xml:space="preserve">datasets and compute every answer key programmatically; to draft rubrics and the</w:t>
      </w:r>
      <w:r>
        <w:t xml:space="preserve"> </w:t>
      </w:r>
      <w:r>
        <w:t xml:space="preserve">“done looks like”</w:t>
      </w:r>
      <w:r>
        <w:t xml:space="preserve"> </w:t>
      </w:r>
      <w:r>
        <w:t xml:space="preserve">checklists; and to build this website.</w:t>
      </w:r>
    </w:p>
    <w:p>
      <w:pPr>
        <w:pStyle w:val="BodyText"/>
      </w:pPr>
      <w:r>
        <w:rPr>
          <w:b/>
          <w:bCs/>
        </w:rPr>
        <w:t xml:space="preserve">What AI did not do, and will not do.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does not grade you.</w:t>
      </w:r>
      <w:r>
        <w:t xml:space="preserve"> </w:t>
      </w:r>
      <w:r>
        <w:t xml:space="preserve">No AI system assigns or recommends a mark in this course.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Your work is not uploaded to any third-party AI system</w:t>
      </w:r>
      <w:r>
        <w:t xml:space="preserve">, for grading or for any other purpose.</w:t>
      </w:r>
      <w:r>
        <w:t xml:space="preserve"> </w:t>
      </w:r>
      <w:r>
        <w:t xml:space="preserve">Your submissions are educational records under FERPA and they stay in Blackboard.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does not decide anything.</w:t>
      </w:r>
      <w:r>
        <w:t xml:space="preserve"> </w:t>
      </w:r>
      <w:r>
        <w:t xml:space="preserve">Every sequencing choice, assessment weight, rubric criterion and</w:t>
      </w:r>
      <w:r>
        <w:t xml:space="preserve"> </w:t>
      </w:r>
      <w:r>
        <w:t xml:space="preserve">final grade is mine.</w:t>
      </w:r>
    </w:p>
    <w:p>
      <w:pPr>
        <w:pStyle w:val="FirstParagraph"/>
      </w:pPr>
      <w:r>
        <w:rPr>
          <w:b/>
          <w:bCs/>
        </w:rPr>
        <w:t xml:space="preserve">What I verify.</w:t>
      </w:r>
      <w:r>
        <w:t xml:space="preserve"> </w:t>
      </w:r>
      <w:r>
        <w:t xml:space="preserve">Every factual claim, empirical figure and citation in these materials is checked</w:t>
      </w:r>
      <w:r>
        <w:t xml:space="preserve"> </w:t>
      </w:r>
      <w:r>
        <w:t xml:space="preserve">against a primary source before it is published — the sources are listed in</w:t>
      </w:r>
      <w:r>
        <w:t xml:space="preserve"> </w:t>
      </w:r>
      <w:hyperlink r:id="rId55">
        <w:r>
          <w:rPr>
            <w:rStyle w:val="Hyperlink"/>
          </w:rPr>
          <w:t xml:space="preserve">AI Studio</w:t>
        </w:r>
      </w:hyperlink>
      <w:r>
        <w:t xml:space="preserve"> </w:t>
      </w:r>
      <w:r>
        <w:t xml:space="preserve">so you can check them too. Every numerical answer key is</w:t>
      </w:r>
      <w:r>
        <w:t xml:space="preserve"> </w:t>
      </w:r>
      <w:r>
        <w:t xml:space="preserve">computed in code rather than by hand, precisely because a hand-worked key is where errors hide and</w:t>
      </w:r>
      <w:r>
        <w:t xml:space="preserve"> </w:t>
      </w:r>
      <w:r>
        <w:t xml:space="preserve">an error in a key is worse than an error in a lecture.</w:t>
      </w:r>
    </w:p>
    <w:p>
      <w:pPr>
        <w:pStyle w:val="BodyText"/>
      </w:pPr>
      <w:r>
        <w:rPr>
          <w:b/>
          <w:bCs/>
        </w:rPr>
        <w:t xml:space="preserve">Where you can see it.</w:t>
      </w:r>
      <w:r>
        <w:t xml:space="preserve"> </w:t>
      </w:r>
      <w:r>
        <w:t xml:space="preserve">This site is public and so is</w:t>
      </w:r>
      <w:r>
        <w:t xml:space="preserve"> </w:t>
      </w:r>
      <w:hyperlink r:id="rId56">
        <w:r>
          <w:rPr>
            <w:rStyle w:val="Hyperlink"/>
          </w:rPr>
          <w:t xml:space="preserve">the repository that builds it</w:t>
        </w:r>
      </w:hyperlink>
      <w:r>
        <w:t xml:space="preserve">. If you want to see how a</w:t>
      </w:r>
      <w:r>
        <w:t xml:space="preserve"> </w:t>
      </w:r>
      <w:r>
        <w:t xml:space="preserve">course is actually assembled, including the parts a model drafted, you can read the source. That</w:t>
      </w:r>
      <w:r>
        <w:t xml:space="preserve"> </w:t>
      </w:r>
      <w:r>
        <w:t xml:space="preserve">transparency is the point: I am asking you to show your work, so I show mine.</w:t>
      </w:r>
    </w:p>
    <w:p>
      <w:pPr>
        <w:pStyle w:val="BodyText"/>
      </w:pPr>
      <w:r>
        <w:rPr>
          <w:b/>
          <w:bCs/>
        </w:rPr>
        <w:t xml:space="preserve">If AI use in this course changes</w:t>
      </w:r>
      <w:r>
        <w:t xml:space="preserve"> </w:t>
      </w:r>
      <w:r>
        <w:t xml:space="preserve">— a new tool, a new use — it will be announced on Blackboard</w:t>
      </w:r>
      <w:r>
        <w:t xml:space="preserve"> </w:t>
      </w:r>
      <w:r>
        <w:t xml:space="preserve">and this section updated. If you think something here was AI-generated and is wrong, tell me. You</w:t>
      </w:r>
      <w:r>
        <w:t xml:space="preserve"> </w:t>
      </w:r>
      <w:r>
        <w:t xml:space="preserve">will be right often enough to make it worth asking, and finding it is exactly the skill this course</w:t>
      </w:r>
      <w:r>
        <w:t xml:space="preserve"> </w:t>
      </w:r>
      <w:r>
        <w:t xml:space="preserve">is trying to build.</w:t>
      </w:r>
    </w:p>
    <w:bookmarkEnd w:id="57"/>
    <w:bookmarkStart w:id="59" w:name="code-of-ethics"/>
    <w:p>
      <w:pPr>
        <w:pStyle w:val="Heading2"/>
      </w:pPr>
      <w:r>
        <w:t xml:space="preserve">Code of ethics</w:t>
      </w:r>
    </w:p>
    <w:p>
      <w:pPr>
        <w:pStyle w:val="FirstParagraph"/>
      </w:pPr>
      <w:r>
        <w:t xml:space="preserve">Students are expected to be familiar with the</w:t>
      </w:r>
      <w:r>
        <w:t xml:space="preserve"> </w:t>
      </w:r>
      <w:hyperlink r:id="rId58">
        <w:r>
          <w:rPr>
            <w:rStyle w:val="Hyperlink"/>
          </w:rPr>
          <w:t xml:space="preserve">NSPE Code of Ethics for Engineers</w:t>
        </w:r>
      </w:hyperlink>
      <w:r>
        <w:t xml:space="preserve">. Projects</w:t>
      </w:r>
      <w:r>
        <w:t xml:space="preserve"> </w:t>
      </w:r>
      <w:r>
        <w:t xml:space="preserve">conducted with industry partners raise real questions of confidentiality, scope honesty and</w:t>
      </w:r>
      <w:r>
        <w:t xml:space="preserve"> </w:t>
      </w:r>
      <w:r>
        <w:t xml:space="preserve">reporting integrity; these are discussed in Weeks 13 and 14.</w:t>
      </w:r>
    </w:p>
    <w:bookmarkEnd w:id="59"/>
    <w:bookmarkStart w:id="60" w:name="general-policies"/>
    <w:p>
      <w:pPr>
        <w:pStyle w:val="Heading2"/>
      </w:pPr>
      <w:r>
        <w:t xml:space="preserve">General policies</w:t>
      </w:r>
    </w:p>
    <w:p>
      <w:pPr>
        <w:pStyle w:val="FirstParagraph"/>
      </w:pPr>
      <w:r>
        <w:t xml:space="preserve">NDSU is committed to following the General Policies detailed in the NDSU Bulletin relating to</w:t>
      </w:r>
      <w:r>
        <w:t xml:space="preserve"> </w:t>
      </w:r>
      <w:r>
        <w:t xml:space="preserve">Student Behavior, Attendance, Privacy of Student Records, Equal Opportunity, Sexual Assault, Sexual</w:t>
      </w:r>
      <w:r>
        <w:t xml:space="preserve"> </w:t>
      </w:r>
      <w:r>
        <w:t xml:space="preserve">Harassment, Consensual Relationships, Use of Alcohol and Other Drugs, and Campus Security.</w:t>
      </w:r>
    </w:p>
    <w:bookmarkEnd w:id="60"/>
    <w:bookmarkStart w:id="61" w:name="student-athletes"/>
    <w:p>
      <w:pPr>
        <w:pStyle w:val="Heading2"/>
      </w:pPr>
      <w:r>
        <w:t xml:space="preserve">Student athletes</w:t>
      </w:r>
    </w:p>
    <w:p>
      <w:pPr>
        <w:pStyle w:val="FirstParagraph"/>
      </w:pPr>
      <w:r>
        <w:t xml:space="preserve">All student-athletes have signed the</w:t>
      </w:r>
      <w:r>
        <w:t xml:space="preserve"> </w:t>
      </w:r>
      <w:r>
        <w:t xml:space="preserve">“Buckley”</w:t>
      </w:r>
      <w:r>
        <w:t xml:space="preserve"> </w:t>
      </w:r>
      <w:r>
        <w:t xml:space="preserve">Amendment, which is required by the NCAA and which</w:t>
      </w:r>
      <w:r>
        <w:t xml:space="preserve"> </w:t>
      </w:r>
      <w:r>
        <w:t xml:space="preserve">allows NDSU to see their grades to comply with the requirement for NCAA eligibility.</w:t>
      </w:r>
    </w:p>
    <w:bookmarkEnd w:id="61"/>
    <w:bookmarkStart w:id="65" w:name="well-being-resources"/>
    <w:p>
      <w:pPr>
        <w:pStyle w:val="Heading2"/>
      </w:pPr>
      <w:r>
        <w:t xml:space="preserve">Well-being resources</w:t>
      </w:r>
    </w:p>
    <w:p>
      <w:pPr>
        <w:pStyle w:val="FirstParagraph"/>
      </w:pPr>
      <w:r>
        <w:t xml:space="preserve">As a member of the NDSU community, resources are available should you need help dealing with</w:t>
      </w:r>
      <w:r>
        <w:t xml:space="preserve"> </w:t>
      </w:r>
      <w:r>
        <w:t xml:space="preserve">adverse reactions to things happening in the world today.</w:t>
      </w:r>
    </w:p>
    <w:p>
      <w:pPr>
        <w:pStyle w:val="BodyText"/>
      </w:pPr>
      <w:r>
        <w:rPr>
          <w:b/>
          <w:bCs/>
        </w:rPr>
        <w:t xml:space="preserve">On campus and remotely (telehealth):</w:t>
      </w:r>
      <w:r>
        <w:t xml:space="preserve"> </w:t>
      </w:r>
      <w:r>
        <w:t xml:space="preserve">Counseling Services 701-231-7671 · Disability Services</w:t>
      </w:r>
      <w:r>
        <w:t xml:space="preserve"> </w:t>
      </w:r>
      <w:r>
        <w:t xml:space="preserve">701-231-8463 · Student Health Service 701-231-7331</w:t>
      </w:r>
    </w:p>
    <w:p>
      <w:pPr>
        <w:pStyle w:val="BodyText"/>
      </w:pPr>
      <w:r>
        <w:rPr>
          <w:b/>
          <w:bCs/>
        </w:rPr>
        <w:t xml:space="preserve">In a crisis or emergency:</w:t>
      </w:r>
      <w:r>
        <w:t xml:space="preserve"> </w:t>
      </w:r>
      <w:r>
        <w:t xml:space="preserve">University Police 701-231-8998 · 911 · a hospital emergency room ·</w:t>
      </w:r>
      <w:r>
        <w:t xml:space="preserve"> </w:t>
      </w:r>
      <w:r>
        <w:t xml:space="preserve">Prairie St. John’s needs assessment 701-476-7216 (510 4th St. S.) · FirstLink Help Line</w:t>
      </w:r>
      <w:r>
        <w:t xml:space="preserve"> </w:t>
      </w:r>
      <w:r>
        <w:t xml:space="preserve">1-800-273-8255 or 2-1-1 · Rape and Abuse Crisis Center 701-293-7273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</w:tblBorders>
        <w:tblCellMar>
          <w:left w:w="0" w:type="dxa"/>
          <w:right w:w="0" w:type="dxa"/>
        </w:tblCellMar>
        <w:tblInd w:w="164" w:type="dxa"/>
      </w:tblPr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t xml:space="preserve">This syllabus provides an initial schedule for covering the basic course topics and the grading</w:t>
            </w:r>
            <w:r>
              <w:t xml:space="preserve"> </w:t>
            </w:r>
            <w:r>
              <w:t xml:space="preserve">scheme. As needed, adjustments may be required; changes are announced on Blackboard and reflected</w:t>
            </w:r>
            <w:r>
              <w:t xml:space="preserve"> </w:t>
            </w:r>
            <w:r>
              <w:t xml:space="preserve">on the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Schedule</w:t>
              </w:r>
            </w:hyperlink>
            <w:r>
              <w:t xml:space="preserve"> </w:t>
            </w:r>
            <w:r>
              <w:t xml:space="preserve">page, which is the authoritative version.</w:t>
            </w:r>
          </w:p>
        </w:tc>
      </w:tr>
    </w:tbl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62" Target="media/rId62.png" /><Relationship Type="http://schemas.openxmlformats.org/officeDocument/2006/relationships/hyperlink" Id="rId32" Target="https://app.diagrams.net" TargetMode="External" /><Relationship Type="http://schemas.openxmlformats.org/officeDocument/2006/relationships/hyperlink" Id="rId31" Target="https://colab.research.google.com" TargetMode="External" /><Relationship Type="http://schemas.openxmlformats.org/officeDocument/2006/relationships/hyperlink" Id="rId56" Target="https://github.com/harunpirim/IMSE456" TargetMode="External" /><Relationship Type="http://schemas.openxmlformats.org/officeDocument/2006/relationships/hyperlink" Id="rId49" Target="https://harunpirim.github.io/IMSE456/ai.html" TargetMode="External" /><Relationship Type="http://schemas.openxmlformats.org/officeDocument/2006/relationships/hyperlink" Id="rId55" Target="https://harunpirim.github.io/IMSE456/ai.html#the-source-shelf" TargetMode="External" /><Relationship Type="http://schemas.openxmlformats.org/officeDocument/2006/relationships/hyperlink" Id="rId37" Target="https://harunpirim.github.io/IMSE456/project.html" TargetMode="External" /><Relationship Type="http://schemas.openxmlformats.org/officeDocument/2006/relationships/hyperlink" Id="rId28" Target="https://harunpirim.github.io/IMSE456/schedule.html" TargetMode="External" /><Relationship Type="http://schemas.openxmlformats.org/officeDocument/2006/relationships/hyperlink" Id="rId30" Target="https://tree.taiga.io" TargetMode="External" /><Relationship Type="http://schemas.openxmlformats.org/officeDocument/2006/relationships/hyperlink" Id="rId46" Target="https://www.ndsu.edu/academichonesty" TargetMode="External" /><Relationship Type="http://schemas.openxmlformats.org/officeDocument/2006/relationships/hyperlink" Id="rId43" Target="https://www.ndsu.edu/accessibility-disability" TargetMode="External" /><Relationship Type="http://schemas.openxmlformats.org/officeDocument/2006/relationships/hyperlink" Id="rId41" Target="https://www.ndsu.edu/fileadmin/policy/333.pdf" TargetMode="External" /><Relationship Type="http://schemas.openxmlformats.org/officeDocument/2006/relationships/hyperlink" Id="rId58" Target="https://www.nspe.org/resources/ethics/code-eth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app.diagrams.net" TargetMode="External" /><Relationship Type="http://schemas.openxmlformats.org/officeDocument/2006/relationships/hyperlink" Id="rId31" Target="https://colab.research.google.com" TargetMode="External" /><Relationship Type="http://schemas.openxmlformats.org/officeDocument/2006/relationships/hyperlink" Id="rId56" Target="https://github.com/harunpirim/IMSE456" TargetMode="External" /><Relationship Type="http://schemas.openxmlformats.org/officeDocument/2006/relationships/hyperlink" Id="rId49" Target="https://harunpirim.github.io/IMSE456/ai.html" TargetMode="External" /><Relationship Type="http://schemas.openxmlformats.org/officeDocument/2006/relationships/hyperlink" Id="rId55" Target="https://harunpirim.github.io/IMSE456/ai.html#the-source-shelf" TargetMode="External" /><Relationship Type="http://schemas.openxmlformats.org/officeDocument/2006/relationships/hyperlink" Id="rId37" Target="https://harunpirim.github.io/IMSE456/project.html" TargetMode="External" /><Relationship Type="http://schemas.openxmlformats.org/officeDocument/2006/relationships/hyperlink" Id="rId28" Target="https://harunpirim.github.io/IMSE456/schedule.html" TargetMode="External" /><Relationship Type="http://schemas.openxmlformats.org/officeDocument/2006/relationships/hyperlink" Id="rId30" Target="https://tree.taiga.io" TargetMode="External" /><Relationship Type="http://schemas.openxmlformats.org/officeDocument/2006/relationships/hyperlink" Id="rId46" Target="https://www.ndsu.edu/academichonesty" TargetMode="External" /><Relationship Type="http://schemas.openxmlformats.org/officeDocument/2006/relationships/hyperlink" Id="rId43" Target="https://www.ndsu.edu/accessibility-disability" TargetMode="External" /><Relationship Type="http://schemas.openxmlformats.org/officeDocument/2006/relationships/hyperlink" Id="rId41" Target="https://www.ndsu.edu/fileadmin/policy/333.pdf" TargetMode="External" /><Relationship Type="http://schemas.openxmlformats.org/officeDocument/2006/relationships/hyperlink" Id="rId58" Target="https://www.nspe.org/resources/ethics/code-eth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</dc:title>
  <dc:creator/>
  <cp:keywords/>
  <dcterms:created xsi:type="dcterms:W3CDTF">2026-08-31T16:41:55Z</dcterms:created>
  <dcterms:modified xsi:type="dcterms:W3CDTF">2026-08-31T16:41:55Z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IMSE 456/656 · Project Management · Fall 2026</vt:lpwstr>
  </property>
  <property fmtid="{D5CDD505-2E9C-101B-9397-08002B2CF9AE}" pid="8" name="toc-title">
    <vt:lpwstr>Table of contents</vt:lpwstr>
  </property>
</Properties>
</file>