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Calibri" w:hAnsi="Calibri"/>
          <w:b/>
          <w:color w:val="1F4D78"/>
          <w:sz w:val="56"/>
        </w:rPr>
        <w:t>COT Indicators &amp; Signals</w:t>
      </w:r>
    </w:p>
    <w:p>
      <w:pPr>
        <w:spacing w:after="400"/>
        <w:jc w:val="center"/>
      </w:pPr>
      <w:r>
        <w:rPr>
          <w:rFonts w:ascii="Calibri" w:hAnsi="Calibri"/>
          <w:color w:val="2E74B5"/>
          <w:sz w:val="34"/>
        </w:rPr>
        <w:t>Reference Guide for StrategyQuant X</w:t>
      </w:r>
    </w:p>
    <w:p>
      <w:pPr>
        <w:spacing w:after="480"/>
        <w:jc w:val="center"/>
      </w:pPr>
      <w:r>
        <w:rPr>
          <w:rFonts w:ascii="Calibri" w:hAnsi="Calibri"/>
          <w:b/>
          <w:color w:val="1F2937"/>
          <w:sz w:val="23"/>
        </w:rPr>
        <w:t>68 blocks  |  11 numeric indicators  |  57 boolean signals</w:t>
      </w:r>
    </w:p>
    <w:p>
      <w:pPr>
        <w:keepLines/>
        <w:spacing w:before="120" w:after="160"/>
        <w:ind w:left="173" w:right="115"/>
        <w:shd w:fill="F4F6F9"/>
        <w:pBdr>
          <w:left w:val="single" w:sz="18" w:space="8" w:color="2E74B5"/>
        </w:pBdr>
      </w:pPr>
      <w:r>
        <w:rPr>
          <w:b/>
          <w:color w:val="1F4D78"/>
        </w:rPr>
        <w:t xml:space="preserve">Core operating principle: </w:t>
      </w:r>
      <w:r>
        <w:t>COT defines a slow institutional-positioning regime. Price or market structure should determine the actual entry timing.</w:t>
      </w:r>
    </w:p>
    <w:p>
      <w:pPr>
        <w:pStyle w:val="Heading2"/>
      </w:pPr>
      <w:r>
        <w:t>Scope</w:t>
      </w:r>
    </w:p>
    <w:p>
      <w:pPr>
        <w:keepLines w:val="0"/>
      </w:pPr>
      <w:r>
        <w:rPr>
          <w:i w:val="0"/>
        </w:rPr>
        <w:t>This practical guide explains where the COT blocks are located, what each block returns, how to combine them with price logic, and which research limitations must be respected. It covers generated support for MT5, MT4, NinjaTrader, EasyLanguage (TradeStation/MultiCharts), JForex, and PseudoCode.</w:t>
      </w:r>
    </w:p>
    <w:p>
      <w:pPr>
        <w:pStyle w:val="Heading2"/>
      </w:pPr>
      <w:r>
        <w:t>Default research settings</w:t>
      </w:r>
    </w:p>
    <w:p>
      <w:pPr>
        <w:spacing w:after="80" w:line="300" w:lineRule="auto"/>
        <w:numPr>
          <w:ilvl w:val="0"/>
          <w:numId w:val="10"/>
        </w:numPr>
      </w:pPr>
      <w:r>
        <w:t>Normalization period: 156 weeks (approximately three years).</w:t>
      </w:r>
    </w:p>
    <w:p>
      <w:pPr>
        <w:spacing w:after="80" w:line="300" w:lineRule="auto"/>
        <w:numPr>
          <w:ilvl w:val="0"/>
          <w:numId w:val="10"/>
        </w:numPr>
      </w:pPr>
      <w:r>
        <w:t>Use 52 weeks only when a faster, shorter-term positioning view is deliberately required.</w:t>
      </w:r>
    </w:p>
    <w:p>
      <w:pPr>
        <w:spacing w:after="80" w:line="300" w:lineRule="auto"/>
        <w:numPr>
          <w:ilvl w:val="0"/>
          <w:numId w:val="10"/>
        </w:numPr>
      </w:pPr>
      <w:r>
        <w:t>Symbol selection: CotSymbol = AUTO, using the instrument selected in SQX data settings.</w:t>
      </w:r>
    </w:p>
    <w:p>
      <w:pPr>
        <w:spacing w:after="80" w:line="300" w:lineRule="auto"/>
        <w:numPr>
          <w:ilvl w:val="0"/>
          <w:numId w:val="10"/>
        </w:numPr>
      </w:pPr>
      <w:r>
        <w:t>COT update frequency: weekly; lower-timeframe strategies reuse the latest value that was actually available at that bar time.</w:t>
      </w:r>
    </w:p>
    <w:p>
      <w:pPr>
        <w:keepLines/>
        <w:spacing w:before="120" w:after="160"/>
        <w:ind w:left="173" w:right="115"/>
        <w:shd w:fill="F4F6F9"/>
        <w:pBdr>
          <w:left w:val="single" w:sz="18" w:space="8" w:color="2E74B5"/>
        </w:pBdr>
      </w:pPr>
      <w:r>
        <w:rPr>
          <w:b/>
          <w:color w:val="1F4D78"/>
        </w:rPr>
        <w:t xml:space="preserve">Technical review note: </w:t>
      </w:r>
      <w:r>
        <w:t>The 68-block count is internally consistent. This reviewed edition also standardizes scale conventions, corrects the multi-field formula, describes CTI conservatively, replaces chart-bar language with weekly COT observations, and aligns strategy references with the v8 research guide.</w:t>
      </w:r>
    </w:p>
    <w:p>
      <w:r>
        <w:br w:type="page"/>
      </w:r>
    </w:p>
    <w:p>
      <w:pPr>
        <w:pStyle w:val="Heading1"/>
      </w:pPr>
      <w:r>
        <w:t>Contents</w:t>
      </w:r>
    </w:p>
    <w:p>
      <w:pPr>
        <w:spacing w:after="80" w:line="300" w:lineRule="auto"/>
        <w:numPr>
          <w:ilvl w:val="0"/>
          <w:numId w:val="10"/>
        </w:numPr>
      </w:pPr>
      <w:r>
        <w:t>Quick Start: How to Use COT Blocks in SQX</w:t>
      </w:r>
    </w:p>
    <w:p>
      <w:pPr>
        <w:spacing w:after="80" w:line="300" w:lineRule="auto"/>
        <w:numPr>
          <w:ilvl w:val="0"/>
          <w:numId w:val="10"/>
        </w:numPr>
      </w:pPr>
      <w:r>
        <w:t>1. Numeric Indicators (11 blocks)</w:t>
      </w:r>
    </w:p>
    <w:p>
      <w:pPr>
        <w:spacing w:after="80" w:line="300" w:lineRule="auto"/>
        <w:numPr>
          <w:ilvl w:val="0"/>
          <w:numId w:val="10"/>
        </w:numPr>
      </w:pPr>
      <w:r>
        <w:t>2. Boolean Signal Blocks (57 blocks)</w:t>
      </w:r>
    </w:p>
    <w:p>
      <w:pPr>
        <w:spacing w:after="80" w:line="300" w:lineRule="auto"/>
        <w:numPr>
          <w:ilvl w:val="0"/>
          <w:numId w:val="10"/>
        </w:numPr>
      </w:pPr>
      <w:r>
        <w:t>3. Strategy-to-Block Mapping</w:t>
      </w:r>
    </w:p>
    <w:p>
      <w:pPr>
        <w:spacing w:after="80" w:line="300" w:lineRule="auto"/>
        <w:numPr>
          <w:ilvl w:val="0"/>
          <w:numId w:val="10"/>
        </w:numPr>
      </w:pPr>
      <w:r>
        <w:t>4. Market Suitability and Research Priority</w:t>
      </w:r>
    </w:p>
    <w:p>
      <w:pPr>
        <w:spacing w:after="80" w:line="300" w:lineRule="auto"/>
        <w:numPr>
          <w:ilvl w:val="0"/>
          <w:numId w:val="10"/>
        </w:numPr>
      </w:pPr>
      <w:r>
        <w:t>5. Research Findings and Limitations</w:t>
      </w:r>
    </w:p>
    <w:p>
      <w:pPr>
        <w:spacing w:after="80" w:line="300" w:lineRule="auto"/>
        <w:numPr>
          <w:ilvl w:val="0"/>
          <w:numId w:val="10"/>
        </w:numPr>
      </w:pPr>
      <w:r>
        <w:t>Appendix A: Scale, Timing, and Data-Alignment Rules</w:t>
      </w:r>
    </w:p>
    <w:p>
      <w:pPr>
        <w:pStyle w:val="Heading1"/>
      </w:pPr>
      <w:r>
        <w:t>Quick Start: How to Use COT Blocks in SQX</w:t>
      </w:r>
    </w:p>
    <w:p>
      <w:pPr>
        <w:pStyle w:val="Heading2"/>
      </w:pPr>
      <w:r>
        <w:t>Where to find them</w:t>
      </w:r>
    </w:p>
    <w:p>
      <w:pPr>
        <w:spacing w:after="80" w:line="300" w:lineRule="auto"/>
        <w:numPr>
          <w:ilvl w:val="0"/>
          <w:numId w:val="10"/>
        </w:numPr>
      </w:pPr>
      <w:r>
        <w:t>Indicators &gt; category COT: 11 numeric value blocks.</w:t>
      </w:r>
    </w:p>
    <w:p>
      <w:pPr>
        <w:spacing w:after="80" w:line="300" w:lineRule="auto"/>
        <w:numPr>
          <w:ilvl w:val="0"/>
          <w:numId w:val="10"/>
        </w:numPr>
      </w:pPr>
      <w:r>
        <w:t>Conditions &gt; category COT: 57 boolean signal blocks.</w:t>
      </w:r>
    </w:p>
    <w:p>
      <w:pPr>
        <w:pStyle w:val="Heading2"/>
      </w:pPr>
      <w:r>
        <w:t>Basic workflow</w:t>
      </w:r>
    </w:p>
    <w:p>
      <w:pPr>
        <w:spacing w:after="80" w:line="300" w:lineRule="auto"/>
        <w:numPr>
          <w:ilvl w:val="0"/>
          <w:numId w:val="11"/>
        </w:numPr>
      </w:pPr>
      <w:r>
        <w:t>Choose a COT condition, such as COTBullishExtreme, as a regime or permission filter.</w:t>
      </w:r>
    </w:p>
    <w:p>
      <w:pPr>
        <w:spacing w:after="80" w:line="300" w:lineRule="auto"/>
        <w:numPr>
          <w:ilvl w:val="0"/>
          <w:numId w:val="11"/>
        </w:numPr>
      </w:pPr>
      <w:r>
        <w:t>Combine it with independent price logic, such as Close &gt; SMA(50), a breakout, a pullback, or a price reversal.</w:t>
      </w:r>
    </w:p>
    <w:p>
      <w:pPr>
        <w:spacing w:after="80" w:line="300" w:lineRule="auto"/>
        <w:numPr>
          <w:ilvl w:val="0"/>
          <w:numId w:val="11"/>
        </w:numPr>
      </w:pPr>
      <w:r>
        <w:t>Leave CotSymbol set to AUTO unless you intentionally want a cross-market proxy such as VX COT for an equity-index strategy.</w:t>
      </w:r>
    </w:p>
    <w:p>
      <w:pPr>
        <w:spacing w:after="80" w:line="300" w:lineRule="auto"/>
        <w:numPr>
          <w:ilvl w:val="0"/>
          <w:numId w:val="11"/>
        </w:numPr>
      </w:pPr>
      <w:r>
        <w:t>Begin with the 156-week normalization. Test the 52-week version separately rather than assuming it is better because it reacts faster.</w:t>
      </w:r>
    </w:p>
    <w:p>
      <w:pPr>
        <w:spacing w:after="80" w:line="300" w:lineRule="auto"/>
        <w:numPr>
          <w:ilvl w:val="0"/>
          <w:numId w:val="11"/>
        </w:numPr>
      </w:pPr>
      <w:r>
        <w:t>Validate the generated platform data path, downloader/cache, symbol mapping, and last update date before running a backtest or live strategy.</w:t>
      </w:r>
    </w:p>
    <w:p>
      <w:pPr>
        <w:pStyle w:val="Heading2"/>
      </w:pPr>
      <w:r>
        <w:t>Timeframe behavior</w:t>
      </w:r>
    </w:p>
    <w:p>
      <w:pPr>
        <w:keepLines w:val="0"/>
      </w:pPr>
      <w:r>
        <w:rPr>
          <w:i w:val="0"/>
        </w:rPr>
        <w:t>The COT source series is weekly, but the signal blocks can be used in strategies running on D1, H4, H1, intraday, or other supported timeframes. Each strategy bar receives the latest known COT observation whose timestamp is less than or equal to the strategy-bar time. This carry-forward rule avoids missing values while preserving no-lookahead alignment.</w:t>
      </w:r>
    </w:p>
    <w:p>
      <w:pPr>
        <w:keepLines w:val="0"/>
      </w:pPr>
      <w:r>
        <w:rPr>
          <w:i w:val="0"/>
        </w:rPr>
        <w:t>Alternatively, COT can be used through a weekly subchart. In that case, External Indicators become available under Settings &gt; Building blocks and can be used as a weekly regime filter for a lower-timeframe strategy.</w:t>
      </w:r>
    </w:p>
    <w:p>
      <w:pPr>
        <w:pStyle w:val="Heading2"/>
      </w:pPr>
      <w:r>
        <w:t>Scale conventions</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E8EEF5"/>
            <w:tcMar>
              <w:top w:w="80" w:type="dxa"/>
              <w:start w:w="120" w:type="dxa"/>
              <w:bottom w:w="80" w:type="dxa"/>
              <w:end w:w="120" w:type="dxa"/>
            </w:tcMar>
            <w:vAlign w:val="center"/>
          </w:tcPr>
          <w:p>
            <w:pPr>
              <w:spacing w:after="0" w:line="240" w:lineRule="auto"/>
            </w:pPr>
            <w:r>
              <w:rPr>
                <w:b/>
                <w:sz w:val="19"/>
              </w:rPr>
              <w:t>Output family</w:t>
            </w:r>
          </w:p>
        </w:tc>
        <w:tc>
          <w:tcPr>
            <w:tcW w:type="dxa" w:w="1700"/>
            <w:shd w:fill="E8EEF5"/>
            <w:tcMar>
              <w:top w:w="80" w:type="dxa"/>
              <w:start w:w="120" w:type="dxa"/>
              <w:bottom w:w="80" w:type="dxa"/>
              <w:end w:w="120" w:type="dxa"/>
            </w:tcMar>
            <w:vAlign w:val="center"/>
          </w:tcPr>
          <w:p>
            <w:pPr>
              <w:spacing w:after="0" w:line="240" w:lineRule="auto"/>
            </w:pPr>
            <w:r>
              <w:rPr>
                <w:b/>
                <w:sz w:val="19"/>
              </w:rPr>
              <w:t>Displayed range</w:t>
            </w:r>
          </w:p>
        </w:tc>
        <w:tc>
          <w:tcPr>
            <w:tcW w:type="dxa" w:w="5160"/>
            <w:shd w:fill="E8EEF5"/>
            <w:tcMar>
              <w:top w:w="80" w:type="dxa"/>
              <w:start w:w="120" w:type="dxa"/>
              <w:bottom w:w="80" w:type="dxa"/>
              <w:end w:w="120" w:type="dxa"/>
            </w:tcMar>
            <w:vAlign w:val="center"/>
          </w:tcPr>
          <w:p>
            <w:pPr>
              <w:spacing w:after="0" w:line="240" w:lineRule="auto"/>
            </w:pPr>
            <w:r>
              <w:rPr>
                <w:b/>
                <w:sz w:val="19"/>
              </w:rPr>
              <w:t>Important note</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Raw CPI/CTI, Multi-Field Combo, Field Value</w:t>
            </w:r>
          </w:p>
        </w:tc>
        <w:tc>
          <w:tcPr>
            <w:tcW w:type="dxa" w:w="1700"/>
            <w:tcMar>
              <w:top w:w="80" w:type="dxa"/>
              <w:start w:w="120" w:type="dxa"/>
              <w:bottom w:w="80" w:type="dxa"/>
              <w:end w:w="120" w:type="dxa"/>
            </w:tcMar>
            <w:vAlign w:val="center"/>
          </w:tcPr>
          <w:p>
            <w:pPr>
              <w:spacing w:before="0" w:after="0" w:line="259" w:lineRule="auto"/>
            </w:pPr>
            <w:r>
              <w:rPr>
                <w:sz w:val="18"/>
              </w:rPr>
              <w:t>0 to 100</w:t>
            </w:r>
          </w:p>
        </w:tc>
        <w:tc>
          <w:tcPr>
            <w:tcW w:type="dxa" w:w="5160"/>
            <w:tcMar>
              <w:top w:w="80" w:type="dxa"/>
              <w:start w:w="120" w:type="dxa"/>
              <w:bottom w:w="80" w:type="dxa"/>
              <w:end w:w="120" w:type="dxa"/>
            </w:tcMar>
            <w:vAlign w:val="center"/>
          </w:tcPr>
          <w:p>
            <w:pPr>
              <w:spacing w:before="0" w:after="0" w:line="259" w:lineRule="auto"/>
            </w:pPr>
            <w:r>
              <w:rPr>
                <w:sz w:val="18"/>
              </w:rPr>
              <w:t>Use 80/20 as readable equivalents of normalized 0.80/0.20.</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Composite Score</w:t>
            </w:r>
          </w:p>
        </w:tc>
        <w:tc>
          <w:tcPr>
            <w:tcW w:type="dxa" w:w="1700"/>
            <w:tcMar>
              <w:top w:w="80" w:type="dxa"/>
              <w:start w:w="120" w:type="dxa"/>
              <w:bottom w:w="80" w:type="dxa"/>
              <w:end w:w="120" w:type="dxa"/>
            </w:tcMar>
            <w:vAlign w:val="center"/>
          </w:tcPr>
          <w:p>
            <w:pPr>
              <w:spacing w:before="0" w:after="0" w:line="259" w:lineRule="auto"/>
            </w:pPr>
            <w:r>
              <w:rPr>
                <w:sz w:val="18"/>
              </w:rPr>
              <w:t>-1 to +1</w:t>
            </w:r>
          </w:p>
        </w:tc>
        <w:tc>
          <w:tcPr>
            <w:tcW w:type="dxa" w:w="5160"/>
            <w:tcMar>
              <w:top w:w="80" w:type="dxa"/>
              <w:start w:w="120" w:type="dxa"/>
              <w:bottom w:w="80" w:type="dxa"/>
              <w:end w:w="120" w:type="dxa"/>
            </w:tcMar>
            <w:vAlign w:val="center"/>
          </w:tcPr>
          <w:p>
            <w:pPr>
              <w:spacing w:before="0" w:after="0" w:line="259" w:lineRule="auto"/>
            </w:pPr>
            <w:r>
              <w:rPr>
                <w:sz w:val="18"/>
              </w:rPr>
              <w:t>Built from internally normalized 0-to-1 CPI values.</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Hedger-Spec Spread, Momentum, Cross-Field Spread</w:t>
            </w:r>
          </w:p>
        </w:tc>
        <w:tc>
          <w:tcPr>
            <w:tcW w:type="dxa" w:w="1700"/>
            <w:tcMar>
              <w:top w:w="80" w:type="dxa"/>
              <w:start w:w="120" w:type="dxa"/>
              <w:bottom w:w="80" w:type="dxa"/>
              <w:end w:w="120" w:type="dxa"/>
            </w:tcMar>
            <w:vAlign w:val="center"/>
          </w:tcPr>
          <w:p>
            <w:pPr>
              <w:spacing w:before="0" w:after="0" w:line="259" w:lineRule="auto"/>
            </w:pPr>
            <w:r>
              <w:rPr>
                <w:sz w:val="18"/>
              </w:rPr>
              <w:t>-100 to +100</w:t>
            </w:r>
          </w:p>
        </w:tc>
        <w:tc>
          <w:tcPr>
            <w:tcW w:type="dxa" w:w="5160"/>
            <w:tcMar>
              <w:top w:w="80" w:type="dxa"/>
              <w:start w:w="120" w:type="dxa"/>
              <w:bottom w:w="80" w:type="dxa"/>
              <w:end w:w="120" w:type="dxa"/>
            </w:tcMar>
            <w:vAlign w:val="center"/>
          </w:tcPr>
          <w:p>
            <w:pPr>
              <w:spacing w:before="0" w:after="0" w:line="259" w:lineRule="auto"/>
            </w:pPr>
            <w:r>
              <w:rPr>
                <w:sz w:val="18"/>
              </w:rPr>
              <w:t>Differences are expressed in percentage-point style units.</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Boolean signals</w:t>
            </w:r>
          </w:p>
        </w:tc>
        <w:tc>
          <w:tcPr>
            <w:tcW w:type="dxa" w:w="1700"/>
            <w:tcMar>
              <w:top w:w="80" w:type="dxa"/>
              <w:start w:w="120" w:type="dxa"/>
              <w:bottom w:w="80" w:type="dxa"/>
              <w:end w:w="120" w:type="dxa"/>
            </w:tcMar>
            <w:vAlign w:val="center"/>
          </w:tcPr>
          <w:p>
            <w:pPr>
              <w:spacing w:before="0" w:after="0" w:line="259" w:lineRule="auto"/>
            </w:pPr>
            <w:r>
              <w:rPr>
                <w:sz w:val="18"/>
              </w:rPr>
              <w:t>true / false</w:t>
            </w:r>
          </w:p>
        </w:tc>
        <w:tc>
          <w:tcPr>
            <w:tcW w:type="dxa" w:w="5160"/>
            <w:tcMar>
              <w:top w:w="80" w:type="dxa"/>
              <w:start w:w="120" w:type="dxa"/>
              <w:bottom w:w="80" w:type="dxa"/>
              <w:end w:w="120" w:type="dxa"/>
            </w:tcMar>
            <w:vAlign w:val="center"/>
          </w:tcPr>
          <w:p>
            <w:pPr>
              <w:spacing w:before="0" w:after="0" w:line="259" w:lineRule="auto"/>
            </w:pPr>
            <w:r>
              <w:rPr>
                <w:sz w:val="18"/>
              </w:rPr>
              <w:t>Their UI thresholds may be shown as 0-to-1 normalized inputs. Follow the range displayed by the block parameter.</w:t>
            </w:r>
          </w:p>
        </w:tc>
      </w:tr>
    </w:tbl>
    <w:p>
      <w:pPr>
        <w:spacing w:after="20"/>
      </w:pPr>
    </w:p>
    <w:p>
      <w:pPr>
        <w:keepLines/>
        <w:spacing w:before="120" w:after="160"/>
        <w:ind w:left="173" w:right="115"/>
        <w:shd w:fill="F4F6F9"/>
        <w:pBdr>
          <w:left w:val="single" w:sz="18" w:space="8" w:color="2E74B5"/>
        </w:pBdr>
      </w:pPr>
      <w:r>
        <w:rPr>
          <w:b/>
          <w:color w:val="1F4D78"/>
        </w:rPr>
        <w:t xml:space="preserve">Do not mix scales: </w:t>
      </w:r>
      <w:r>
        <w:t>A numeric comparison against a 0-to-100 indicator uses 80, not 0.80. A signal parameter explicitly defined on the normalized 0-to-1 scale uses 0.80. Check the parameter range shown by SQX.</w:t>
      </w:r>
    </w:p>
    <w:p>
      <w:pPr>
        <w:pStyle w:val="Heading1"/>
      </w:pPr>
      <w:r>
        <w:t>1. Numeric Indicators (11 blocks)</w:t>
      </w:r>
    </w:p>
    <w:p>
      <w:pPr>
        <w:keepLines w:val="0"/>
      </w:pPr>
      <w:r>
        <w:rPr>
          <w:i w:val="0"/>
        </w:rPr>
        <w:t>Numeric COT blocks return a value on every strategy bar. Use them in comparisons, crossovers, rankings, calculated features, or machine-learning inputs.</w:t>
      </w:r>
    </w:p>
    <w:p>
      <w:pPr>
        <w:pStyle w:val="Heading2"/>
      </w:pPr>
      <w:r>
        <w:t>1.1 Raw COT field indicators (5 blocks)</w:t>
      </w:r>
    </w:p>
    <w:tbl>
      <w:tblPr>
        <w:tblStyle w:val="TableGrid"/>
        <w:tblW w:type="dxa" w:w="9360"/>
        <w:jc w:val="left"/>
        <w:tblLayout w:type="fixed"/>
        <w:tblLook w:firstColumn="1" w:firstRow="1" w:lastColumn="0" w:lastRow="0" w:noHBand="0" w:noVBand="1" w:val="04A0"/>
        <w:tblInd w:w="120" w:type="dxa"/>
      </w:tblPr>
      <w:tblGrid>
        <w:gridCol w:w="2500"/>
        <w:gridCol w:w="1050"/>
        <w:gridCol w:w="1100"/>
        <w:gridCol w:w="4710"/>
      </w:tblGrid>
      <w:tr>
        <w:trPr>
          <w:tblHeader w:val="true"/>
          <w:cantSplit/>
        </w:trPr>
        <w:tc>
          <w:tcPr>
            <w:tcW w:type="dxa" w:w="2500"/>
            <w:shd w:fill="E8EEF5"/>
            <w:tcMar>
              <w:top w:w="80" w:type="dxa"/>
              <w:start w:w="120" w:type="dxa"/>
              <w:bottom w:w="80" w:type="dxa"/>
              <w:end w:w="120" w:type="dxa"/>
            </w:tcMar>
            <w:vAlign w:val="center"/>
          </w:tcPr>
          <w:p>
            <w:pPr>
              <w:spacing w:after="0" w:line="240" w:lineRule="auto"/>
            </w:pPr>
            <w:r>
              <w:rPr>
                <w:b/>
                <w:sz w:val="19"/>
              </w:rPr>
              <w:t>Block</w:t>
            </w:r>
          </w:p>
        </w:tc>
        <w:tc>
          <w:tcPr>
            <w:tcW w:type="dxa" w:w="1050"/>
            <w:shd w:fill="E8EEF5"/>
            <w:tcMar>
              <w:top w:w="80" w:type="dxa"/>
              <w:start w:w="120" w:type="dxa"/>
              <w:bottom w:w="80" w:type="dxa"/>
              <w:end w:w="120" w:type="dxa"/>
            </w:tcMar>
            <w:vAlign w:val="center"/>
          </w:tcPr>
          <w:p>
            <w:pPr>
              <w:spacing w:after="0" w:line="240" w:lineRule="auto"/>
            </w:pPr>
            <w:r>
              <w:rPr>
                <w:b/>
                <w:sz w:val="19"/>
              </w:rPr>
              <w:t>Range</w:t>
            </w:r>
          </w:p>
        </w:tc>
        <w:tc>
          <w:tcPr>
            <w:tcW w:type="dxa" w:w="1100"/>
            <w:shd w:fill="E8EEF5"/>
            <w:tcMar>
              <w:top w:w="80" w:type="dxa"/>
              <w:start w:w="120" w:type="dxa"/>
              <w:bottom w:w="80" w:type="dxa"/>
              <w:end w:w="120" w:type="dxa"/>
            </w:tcMar>
            <w:vAlign w:val="center"/>
          </w:tcPr>
          <w:p>
            <w:pPr>
              <w:spacing w:after="0" w:line="240" w:lineRule="auto"/>
            </w:pPr>
            <w:r>
              <w:rPr>
                <w:b/>
                <w:sz w:val="19"/>
              </w:rPr>
              <w:t>Default</w:t>
            </w:r>
          </w:p>
        </w:tc>
        <w:tc>
          <w:tcPr>
            <w:tcW w:type="dxa" w:w="4710"/>
            <w:shd w:fill="E8EEF5"/>
            <w:tcMar>
              <w:top w:w="80" w:type="dxa"/>
              <w:start w:w="120" w:type="dxa"/>
              <w:bottom w:w="80" w:type="dxa"/>
              <w:end w:w="120" w:type="dxa"/>
            </w:tcMar>
            <w:vAlign w:val="center"/>
          </w:tcPr>
          <w:p>
            <w:pPr>
              <w:spacing w:after="0" w:line="240" w:lineRule="auto"/>
            </w:pPr>
            <w:r>
              <w:rPr>
                <w:b/>
                <w:sz w:val="19"/>
              </w:rPr>
              <w:t>What it measures</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(COT) Hedger CPI</w:t>
            </w:r>
          </w:p>
        </w:tc>
        <w:tc>
          <w:tcPr>
            <w:tcW w:type="dxa" w:w="1050"/>
            <w:tcMar>
              <w:top w:w="80" w:type="dxa"/>
              <w:start w:w="120" w:type="dxa"/>
              <w:bottom w:w="80" w:type="dxa"/>
              <w:end w:w="120" w:type="dxa"/>
            </w:tcMar>
            <w:vAlign w:val="center"/>
          </w:tcPr>
          <w:p>
            <w:pPr>
              <w:spacing w:before="0" w:after="0" w:line="259" w:lineRule="auto"/>
            </w:pPr>
            <w:r>
              <w:rPr>
                <w:sz w:val="18"/>
              </w:rPr>
              <w:t>0-100</w:t>
            </w:r>
          </w:p>
        </w:tc>
        <w:tc>
          <w:tcPr>
            <w:tcW w:type="dxa" w:w="1100"/>
            <w:tcMar>
              <w:top w:w="80" w:type="dxa"/>
              <w:start w:w="120" w:type="dxa"/>
              <w:bottom w:w="80" w:type="dxa"/>
              <w:end w:w="120" w:type="dxa"/>
            </w:tcMar>
            <w:vAlign w:val="center"/>
          </w:tcPr>
          <w:p>
            <w:pPr>
              <w:spacing w:before="0" w:after="0" w:line="259" w:lineRule="auto"/>
            </w:pPr>
            <w:r>
              <w:rPr>
                <w:sz w:val="18"/>
              </w:rPr>
              <w:t>156w</w:t>
            </w:r>
          </w:p>
        </w:tc>
        <w:tc>
          <w:tcPr>
            <w:tcW w:type="dxa" w:w="4710"/>
            <w:tcMar>
              <w:top w:w="80" w:type="dxa"/>
              <w:start w:w="120" w:type="dxa"/>
              <w:bottom w:w="80" w:type="dxa"/>
              <w:end w:w="120" w:type="dxa"/>
            </w:tcMar>
            <w:vAlign w:val="center"/>
          </w:tcPr>
          <w:p>
            <w:pPr>
              <w:spacing w:before="0" w:after="0" w:line="259" w:lineRule="auto"/>
            </w:pPr>
            <w:r>
              <w:rPr>
                <w:sz w:val="18"/>
              </w:rPr>
              <w:t>Commercial hedgers' normalized net-position location within the selected historical window.</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(COT) Hedger CTI</w:t>
            </w:r>
          </w:p>
        </w:tc>
        <w:tc>
          <w:tcPr>
            <w:tcW w:type="dxa" w:w="1050"/>
            <w:tcMar>
              <w:top w:w="80" w:type="dxa"/>
              <w:start w:w="120" w:type="dxa"/>
              <w:bottom w:w="80" w:type="dxa"/>
              <w:end w:w="120" w:type="dxa"/>
            </w:tcMar>
            <w:vAlign w:val="center"/>
          </w:tcPr>
          <w:p>
            <w:pPr>
              <w:spacing w:before="0" w:after="0" w:line="259" w:lineRule="auto"/>
            </w:pPr>
            <w:r>
              <w:rPr>
                <w:sz w:val="18"/>
              </w:rPr>
              <w:t>0-100</w:t>
            </w:r>
          </w:p>
        </w:tc>
        <w:tc>
          <w:tcPr>
            <w:tcW w:type="dxa" w:w="1100"/>
            <w:tcMar>
              <w:top w:w="80" w:type="dxa"/>
              <w:start w:w="120" w:type="dxa"/>
              <w:bottom w:w="80" w:type="dxa"/>
              <w:end w:w="120" w:type="dxa"/>
            </w:tcMar>
            <w:vAlign w:val="center"/>
          </w:tcPr>
          <w:p>
            <w:pPr>
              <w:spacing w:before="0" w:after="0" w:line="259" w:lineRule="auto"/>
            </w:pPr>
            <w:r>
              <w:rPr>
                <w:sz w:val="18"/>
              </w:rPr>
              <w:t>156w</w:t>
            </w:r>
          </w:p>
        </w:tc>
        <w:tc>
          <w:tcPr>
            <w:tcW w:type="dxa" w:w="4710"/>
            <w:tcMar>
              <w:top w:w="80" w:type="dxa"/>
              <w:start w:w="120" w:type="dxa"/>
              <w:bottom w:w="80" w:type="dxa"/>
              <w:end w:w="120" w:type="dxa"/>
            </w:tcMar>
            <w:vAlign w:val="center"/>
          </w:tcPr>
          <w:p>
            <w:pPr>
              <w:spacing w:before="0" w:after="0" w:line="259" w:lineRule="auto"/>
            </w:pPr>
            <w:r>
              <w:rPr>
                <w:sz w:val="18"/>
              </w:rPr>
              <w:t>Normalized COT traders/participation index for the hedger category.</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(COT) Speculator CPI</w:t>
            </w:r>
          </w:p>
        </w:tc>
        <w:tc>
          <w:tcPr>
            <w:tcW w:type="dxa" w:w="1050"/>
            <w:tcMar>
              <w:top w:w="80" w:type="dxa"/>
              <w:start w:w="120" w:type="dxa"/>
              <w:bottom w:w="80" w:type="dxa"/>
              <w:end w:w="120" w:type="dxa"/>
            </w:tcMar>
            <w:vAlign w:val="center"/>
          </w:tcPr>
          <w:p>
            <w:pPr>
              <w:spacing w:before="0" w:after="0" w:line="259" w:lineRule="auto"/>
            </w:pPr>
            <w:r>
              <w:rPr>
                <w:sz w:val="18"/>
              </w:rPr>
              <w:t>0-100</w:t>
            </w:r>
          </w:p>
        </w:tc>
        <w:tc>
          <w:tcPr>
            <w:tcW w:type="dxa" w:w="1100"/>
            <w:tcMar>
              <w:top w:w="80" w:type="dxa"/>
              <w:start w:w="120" w:type="dxa"/>
              <w:bottom w:w="80" w:type="dxa"/>
              <w:end w:w="120" w:type="dxa"/>
            </w:tcMar>
            <w:vAlign w:val="center"/>
          </w:tcPr>
          <w:p>
            <w:pPr>
              <w:spacing w:before="0" w:after="0" w:line="259" w:lineRule="auto"/>
            </w:pPr>
            <w:r>
              <w:rPr>
                <w:sz w:val="18"/>
              </w:rPr>
              <w:t>156w</w:t>
            </w:r>
          </w:p>
        </w:tc>
        <w:tc>
          <w:tcPr>
            <w:tcW w:type="dxa" w:w="4710"/>
            <w:tcMar>
              <w:top w:w="80" w:type="dxa"/>
              <w:start w:w="120" w:type="dxa"/>
              <w:bottom w:w="80" w:type="dxa"/>
              <w:end w:w="120" w:type="dxa"/>
            </w:tcMar>
            <w:vAlign w:val="center"/>
          </w:tcPr>
          <w:p>
            <w:pPr>
              <w:spacing w:before="0" w:after="0" w:line="259" w:lineRule="auto"/>
            </w:pPr>
            <w:r>
              <w:rPr>
                <w:sz w:val="18"/>
              </w:rPr>
              <w:t>Large speculators' normalized net-position location within the selected historical window.</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(COT) Speculator CTI</w:t>
            </w:r>
          </w:p>
        </w:tc>
        <w:tc>
          <w:tcPr>
            <w:tcW w:type="dxa" w:w="1050"/>
            <w:tcMar>
              <w:top w:w="80" w:type="dxa"/>
              <w:start w:w="120" w:type="dxa"/>
              <w:bottom w:w="80" w:type="dxa"/>
              <w:end w:w="120" w:type="dxa"/>
            </w:tcMar>
            <w:vAlign w:val="center"/>
          </w:tcPr>
          <w:p>
            <w:pPr>
              <w:spacing w:before="0" w:after="0" w:line="259" w:lineRule="auto"/>
            </w:pPr>
            <w:r>
              <w:rPr>
                <w:sz w:val="18"/>
              </w:rPr>
              <w:t>0-100</w:t>
            </w:r>
          </w:p>
        </w:tc>
        <w:tc>
          <w:tcPr>
            <w:tcW w:type="dxa" w:w="1100"/>
            <w:tcMar>
              <w:top w:w="80" w:type="dxa"/>
              <w:start w:w="120" w:type="dxa"/>
              <w:bottom w:w="80" w:type="dxa"/>
              <w:end w:w="120" w:type="dxa"/>
            </w:tcMar>
            <w:vAlign w:val="center"/>
          </w:tcPr>
          <w:p>
            <w:pPr>
              <w:spacing w:before="0" w:after="0" w:line="259" w:lineRule="auto"/>
            </w:pPr>
            <w:r>
              <w:rPr>
                <w:sz w:val="18"/>
              </w:rPr>
              <w:t>156w</w:t>
            </w:r>
          </w:p>
        </w:tc>
        <w:tc>
          <w:tcPr>
            <w:tcW w:type="dxa" w:w="4710"/>
            <w:tcMar>
              <w:top w:w="80" w:type="dxa"/>
              <w:start w:w="120" w:type="dxa"/>
              <w:bottom w:w="80" w:type="dxa"/>
              <w:end w:w="120" w:type="dxa"/>
            </w:tcMar>
            <w:vAlign w:val="center"/>
          </w:tcPr>
          <w:p>
            <w:pPr>
              <w:spacing w:before="0" w:after="0" w:line="259" w:lineRule="auto"/>
            </w:pPr>
            <w:r>
              <w:rPr>
                <w:sz w:val="18"/>
              </w:rPr>
              <w:t>Normalized COT traders/participation index for the large-speculator category.</w:t>
            </w:r>
          </w:p>
        </w:tc>
      </w:tr>
      <w:tr>
        <w:trPr>
          <w:cantSplit/>
        </w:trPr>
        <w:tc>
          <w:tcPr>
            <w:tcW w:type="dxa" w:w="2500"/>
            <w:tcMar>
              <w:top w:w="80" w:type="dxa"/>
              <w:start w:w="120" w:type="dxa"/>
              <w:bottom w:w="80" w:type="dxa"/>
              <w:end w:w="120" w:type="dxa"/>
            </w:tcMar>
            <w:vAlign w:val="center"/>
          </w:tcPr>
          <w:p>
            <w:pPr>
              <w:spacing w:before="0" w:after="0" w:line="259" w:lineRule="auto"/>
            </w:pPr>
            <w:r>
              <w:rPr>
                <w:sz w:val="18"/>
              </w:rPr>
              <w:t>(COT) Small Trader CPI</w:t>
            </w:r>
          </w:p>
        </w:tc>
        <w:tc>
          <w:tcPr>
            <w:tcW w:type="dxa" w:w="1050"/>
            <w:tcMar>
              <w:top w:w="80" w:type="dxa"/>
              <w:start w:w="120" w:type="dxa"/>
              <w:bottom w:w="80" w:type="dxa"/>
              <w:end w:w="120" w:type="dxa"/>
            </w:tcMar>
            <w:vAlign w:val="center"/>
          </w:tcPr>
          <w:p>
            <w:pPr>
              <w:spacing w:before="0" w:after="0" w:line="259" w:lineRule="auto"/>
            </w:pPr>
            <w:r>
              <w:rPr>
                <w:sz w:val="18"/>
              </w:rPr>
              <w:t>0-100</w:t>
            </w:r>
          </w:p>
        </w:tc>
        <w:tc>
          <w:tcPr>
            <w:tcW w:type="dxa" w:w="1100"/>
            <w:tcMar>
              <w:top w:w="80" w:type="dxa"/>
              <w:start w:w="120" w:type="dxa"/>
              <w:bottom w:w="80" w:type="dxa"/>
              <w:end w:w="120" w:type="dxa"/>
            </w:tcMar>
            <w:vAlign w:val="center"/>
          </w:tcPr>
          <w:p>
            <w:pPr>
              <w:spacing w:before="0" w:after="0" w:line="259" w:lineRule="auto"/>
            </w:pPr>
            <w:r>
              <w:rPr>
                <w:sz w:val="18"/>
              </w:rPr>
              <w:t>156w</w:t>
            </w:r>
          </w:p>
        </w:tc>
        <w:tc>
          <w:tcPr>
            <w:tcW w:type="dxa" w:w="4710"/>
            <w:tcMar>
              <w:top w:w="80" w:type="dxa"/>
              <w:start w:w="120" w:type="dxa"/>
              <w:bottom w:w="80" w:type="dxa"/>
              <w:end w:w="120" w:type="dxa"/>
            </w:tcMar>
            <w:vAlign w:val="center"/>
          </w:tcPr>
          <w:p>
            <w:pPr>
              <w:spacing w:before="0" w:after="0" w:line="259" w:lineRule="auto"/>
            </w:pPr>
            <w:r>
              <w:rPr>
                <w:sz w:val="18"/>
              </w:rPr>
              <w:t>Non-reportable/small traders' normalized net-position location within the selected historical window.</w:t>
            </w:r>
          </w:p>
        </w:tc>
      </w:tr>
    </w:tbl>
    <w:p>
      <w:pPr>
        <w:spacing w:after="20"/>
      </w:pPr>
    </w:p>
    <w:p>
      <w:pPr>
        <w:keepLines/>
        <w:spacing w:before="120" w:after="160"/>
        <w:ind w:left="173" w:right="115"/>
        <w:shd w:fill="F4F6F9"/>
        <w:pBdr>
          <w:left w:val="single" w:sz="18" w:space="8" w:color="2E74B5"/>
        </w:pBdr>
      </w:pPr>
      <w:r>
        <w:rPr>
          <w:b/>
          <w:color w:val="1F4D78"/>
        </w:rPr>
        <w:t xml:space="preserve">CTI definition: </w:t>
      </w:r>
      <w:r>
        <w:t>CTI is documented here as a normalized traders/participation index. Do not describe it as price momentum or assume a directional formula unless the formal data definition confirms that interpretation.</w:t>
      </w:r>
    </w:p>
    <w:p>
      <w:pPr>
        <w:pStyle w:val="Heading3"/>
      </w:pPr>
      <w:r>
        <w:t>Initial CPI interpretation</w:t>
      </w:r>
    </w:p>
    <w:p>
      <w:pPr>
        <w:spacing w:after="80" w:line="300" w:lineRule="auto"/>
        <w:numPr>
          <w:ilvl w:val="0"/>
          <w:numId w:val="10"/>
        </w:numPr>
      </w:pPr>
      <w:r>
        <w:t>CPI above 80: the selected group is near the high end of its historical net-position range.</w:t>
      </w:r>
    </w:p>
    <w:p>
      <w:pPr>
        <w:spacing w:after="80" w:line="300" w:lineRule="auto"/>
        <w:numPr>
          <w:ilvl w:val="0"/>
          <w:numId w:val="10"/>
        </w:numPr>
      </w:pPr>
      <w:r>
        <w:t>CPI below 20: the selected group is near the low end of its historical net-position range.</w:t>
      </w:r>
    </w:p>
    <w:p>
      <w:pPr>
        <w:spacing w:after="80" w:line="300" w:lineRule="auto"/>
        <w:numPr>
          <w:ilvl w:val="0"/>
          <w:numId w:val="10"/>
        </w:numPr>
      </w:pPr>
      <w:r>
        <w:t>CPI from 40 to 60: a relatively neutral zone with less extreme information.</w:t>
      </w:r>
    </w:p>
    <w:p>
      <w:pPr>
        <w:spacing w:after="80" w:line="300" w:lineRule="auto"/>
        <w:numPr>
          <w:ilvl w:val="0"/>
          <w:numId w:val="10"/>
        </w:numPr>
      </w:pPr>
      <w:r>
        <w:t>Hedger CPI high together with Speculator CPI low: a bullish positioning-divergence hypothesis.</w:t>
      </w:r>
    </w:p>
    <w:p>
      <w:pPr>
        <w:spacing w:after="80" w:line="300" w:lineRule="auto"/>
        <w:numPr>
          <w:ilvl w:val="0"/>
          <w:numId w:val="10"/>
        </w:numPr>
      </w:pPr>
      <w:r>
        <w:t>Hedger CPI low together with Speculator CPI high: a bearish positioning-divergence hypothesis.</w:t>
      </w:r>
    </w:p>
    <w:p>
      <w:pPr>
        <w:keepLines/>
        <w:spacing w:before="120" w:after="160"/>
        <w:ind w:left="173" w:right="115"/>
        <w:shd w:fill="F4F6F9"/>
        <w:pBdr>
          <w:left w:val="single" w:sz="18" w:space="8" w:color="2E74B5"/>
        </w:pBdr>
      </w:pPr>
      <w:r>
        <w:rPr>
          <w:b/>
          <w:color w:val="1F4D78"/>
        </w:rPr>
        <w:t xml:space="preserve">Commercial-positioning caution: </w:t>
      </w:r>
      <w:r>
        <w:t>Commercials are hedgers, not automatically directional “smart money.” A high or low hedger CPI describes historical positioning, not a guaranteed price forecast.</w:t>
      </w:r>
    </w:p>
    <w:p>
      <w:pPr>
        <w:pStyle w:val="Heading3"/>
      </w:pPr>
      <w:r>
        <w:t>SQX usage example</w:t>
      </w:r>
    </w:p>
    <w:p>
      <w:pPr>
        <w:pStyle w:val="CodeBlock"/>
        <w:keepLines/>
        <w:shd w:fill="F2F4F7"/>
      </w:pPr>
      <w:r>
        <w:t>LONG permission:</w:t>
      </w:r>
      <w:r>
        <w:br/>
      </w:r>
      <w:r>
        <w:t>COTCpihedg(AUTO, 156w) &gt; 80</w:t>
      </w:r>
      <w:r>
        <w:br/>
      </w:r>
      <w:r>
        <w:t>AND COTCpispec(AUTO, 156w) &lt; 20</w:t>
      </w:r>
      <w:r>
        <w:br/>
      </w:r>
      <w:r/>
      <w:r>
        <w:br/>
      </w:r>
      <w:r>
        <w:t>Price trigger:</w:t>
      </w:r>
      <w:r>
        <w:br/>
      </w:r>
      <w:r>
        <w:t>Close &gt; SMA(50)</w:t>
      </w:r>
    </w:p>
    <w:p>
      <w:pPr>
        <w:pStyle w:val="Heading2"/>
      </w:pPr>
      <w:r>
        <w:t>1.2 Derived indicators (2 blocks)</w:t>
      </w:r>
    </w:p>
    <w:tbl>
      <w:tblPr>
        <w:tblStyle w:val="TableGrid"/>
        <w:tblW w:type="dxa" w:w="9360"/>
        <w:jc w:val="left"/>
        <w:tblLayout w:type="fixed"/>
        <w:tblLook w:firstColumn="1" w:firstRow="1" w:lastColumn="0" w:lastRow="0" w:noHBand="0" w:noVBand="1" w:val="04A0"/>
        <w:tblInd w:w="120" w:type="dxa"/>
      </w:tblPr>
      <w:tblGrid>
        <w:gridCol w:w="2700"/>
        <w:gridCol w:w="1500"/>
        <w:gridCol w:w="51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500"/>
            <w:shd w:fill="E8EEF5"/>
            <w:tcMar>
              <w:top w:w="80" w:type="dxa"/>
              <w:start w:w="120" w:type="dxa"/>
              <w:bottom w:w="80" w:type="dxa"/>
              <w:end w:w="120" w:type="dxa"/>
            </w:tcMar>
            <w:vAlign w:val="center"/>
          </w:tcPr>
          <w:p>
            <w:pPr>
              <w:spacing w:after="0" w:line="240" w:lineRule="auto"/>
            </w:pPr>
            <w:r>
              <w:rPr>
                <w:b/>
                <w:sz w:val="19"/>
              </w:rPr>
              <w:t>Range</w:t>
            </w:r>
          </w:p>
        </w:tc>
        <w:tc>
          <w:tcPr>
            <w:tcW w:type="dxa" w:w="5160"/>
            <w:shd w:fill="E8EEF5"/>
            <w:tcMar>
              <w:top w:w="80" w:type="dxa"/>
              <w:start w:w="120" w:type="dxa"/>
              <w:bottom w:w="80" w:type="dxa"/>
              <w:end w:w="120" w:type="dxa"/>
            </w:tcMar>
            <w:vAlign w:val="center"/>
          </w:tcPr>
          <w:p>
            <w:pPr>
              <w:spacing w:after="0" w:line="240" w:lineRule="auto"/>
            </w:pPr>
            <w:r>
              <w:rPr>
                <w:b/>
                <w:sz w:val="19"/>
              </w:rPr>
              <w:t>Definition and use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Composite Score</w:t>
            </w:r>
          </w:p>
        </w:tc>
        <w:tc>
          <w:tcPr>
            <w:tcW w:type="dxa" w:w="1500"/>
            <w:tcMar>
              <w:top w:w="80" w:type="dxa"/>
              <w:start w:w="120" w:type="dxa"/>
              <w:bottom w:w="80" w:type="dxa"/>
              <w:end w:w="120" w:type="dxa"/>
            </w:tcMar>
            <w:vAlign w:val="center"/>
          </w:tcPr>
          <w:p>
            <w:pPr>
              <w:spacing w:before="0" w:after="0" w:line="259" w:lineRule="auto"/>
            </w:pPr>
            <w:r>
              <w:rPr>
                <w:sz w:val="18"/>
              </w:rPr>
              <w:t>-1 to +1</w:t>
            </w:r>
          </w:p>
        </w:tc>
        <w:tc>
          <w:tcPr>
            <w:tcW w:type="dxa" w:w="5160"/>
            <w:tcMar>
              <w:top w:w="80" w:type="dxa"/>
              <w:start w:w="120" w:type="dxa"/>
              <w:bottom w:w="80" w:type="dxa"/>
              <w:end w:w="120" w:type="dxa"/>
            </w:tcMar>
            <w:vAlign w:val="center"/>
          </w:tcPr>
          <w:p>
            <w:pPr>
              <w:spacing w:before="0" w:after="0" w:line="259" w:lineRule="auto"/>
            </w:pPr>
            <w:r>
              <w:rPr>
                <w:sz w:val="18"/>
              </w:rPr>
              <w:t>avg(hedger52, hedger156) - avg(spec52, spec156), using internally normalized values. A compact directional regime score.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Hedger-Spec Spread</w:t>
            </w:r>
          </w:p>
        </w:tc>
        <w:tc>
          <w:tcPr>
            <w:tcW w:type="dxa" w:w="1500"/>
            <w:tcMar>
              <w:top w:w="80" w:type="dxa"/>
              <w:start w:w="120" w:type="dxa"/>
              <w:bottom w:w="80" w:type="dxa"/>
              <w:end w:w="120" w:type="dxa"/>
            </w:tcMar>
            <w:vAlign w:val="center"/>
          </w:tcPr>
          <w:p>
            <w:pPr>
              <w:spacing w:before="0" w:after="0" w:line="259" w:lineRule="auto"/>
            </w:pPr>
            <w:r>
              <w:rPr>
                <w:sz w:val="18"/>
              </w:rPr>
              <w:t>-100 to +100</w:t>
            </w:r>
          </w:p>
        </w:tc>
        <w:tc>
          <w:tcPr>
            <w:tcW w:type="dxa" w:w="5160"/>
            <w:tcMar>
              <w:top w:w="80" w:type="dxa"/>
              <w:start w:w="120" w:type="dxa"/>
              <w:bottom w:w="80" w:type="dxa"/>
              <w:end w:w="120" w:type="dxa"/>
            </w:tcMar>
            <w:vAlign w:val="center"/>
          </w:tcPr>
          <w:p>
            <w:pPr>
              <w:spacing w:before="0" w:after="0" w:line="259" w:lineRule="auto"/>
            </w:pPr>
            <w:r>
              <w:rPr>
                <w:sz w:val="18"/>
              </w:rPr>
              <w:t>hedger CPI - speculator CPI on the selected scale/window. Direct measure of positioning disagreement.</w:t>
            </w:r>
          </w:p>
        </w:tc>
      </w:tr>
    </w:tbl>
    <w:p>
      <w:pPr>
        <w:spacing w:after="20"/>
      </w:pPr>
    </w:p>
    <w:p>
      <w:pPr>
        <w:pStyle w:val="Heading3"/>
      </w:pPr>
      <w:r>
        <w:t>Composite Score interpretation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line="240" w:lineRule="auto"/>
            </w:pPr>
            <w:r>
              <w:rPr>
                <w:b/>
                <w:sz w:val="19"/>
              </w:rPr>
              <w:t>Score</w:t>
            </w:r>
          </w:p>
        </w:tc>
        <w:tc>
          <w:tcPr>
            <w:tcW w:type="dxa" w:w="7160"/>
            <w:shd w:fill="E8EEF5"/>
            <w:tcMar>
              <w:top w:w="80" w:type="dxa"/>
              <w:start w:w="120" w:type="dxa"/>
              <w:bottom w:w="80" w:type="dxa"/>
              <w:end w:w="120" w:type="dxa"/>
            </w:tcMar>
            <w:vAlign w:val="center"/>
          </w:tcPr>
          <w:p>
            <w:pPr>
              <w:spacing w:after="0" w:line="240" w:lineRule="auto"/>
            </w:pPr>
            <w:r>
              <w:rPr>
                <w:b/>
                <w:sz w:val="19"/>
              </w:rPr>
              <w:t>Initial research interpretation</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&gt; +0.60</w:t>
            </w:r>
          </w:p>
        </w:tc>
        <w:tc>
          <w:tcPr>
            <w:tcW w:type="dxa" w:w="7160"/>
            <w:tcMar>
              <w:top w:w="80" w:type="dxa"/>
              <w:start w:w="120" w:type="dxa"/>
              <w:bottom w:w="80" w:type="dxa"/>
              <w:end w:w="120" w:type="dxa"/>
            </w:tcMar>
            <w:vAlign w:val="center"/>
          </w:tcPr>
          <w:p>
            <w:pPr>
              <w:spacing w:before="0" w:after="0" w:line="259" w:lineRule="auto"/>
            </w:pPr>
            <w:r>
              <w:rPr>
                <w:sz w:val="18"/>
              </w:rPr>
              <w:t>Strong bullish positioning divergence.</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+0.20 to +0.60</w:t>
            </w:r>
          </w:p>
        </w:tc>
        <w:tc>
          <w:tcPr>
            <w:tcW w:type="dxa" w:w="7160"/>
            <w:tcMar>
              <w:top w:w="80" w:type="dxa"/>
              <w:start w:w="120" w:type="dxa"/>
              <w:bottom w:w="80" w:type="dxa"/>
              <w:end w:w="120" w:type="dxa"/>
            </w:tcMar>
            <w:vAlign w:val="center"/>
          </w:tcPr>
          <w:p>
            <w:pPr>
              <w:spacing w:before="0" w:after="0" w:line="259" w:lineRule="auto"/>
            </w:pPr>
            <w:r>
              <w:rPr>
                <w:sz w:val="18"/>
              </w:rPr>
              <w:t>Moderate bullish lean.</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-0.20 to +0.20</w:t>
            </w:r>
          </w:p>
        </w:tc>
        <w:tc>
          <w:tcPr>
            <w:tcW w:type="dxa" w:w="7160"/>
            <w:tcMar>
              <w:top w:w="80" w:type="dxa"/>
              <w:start w:w="120" w:type="dxa"/>
              <w:bottom w:w="80" w:type="dxa"/>
              <w:end w:w="120" w:type="dxa"/>
            </w:tcMar>
            <w:vAlign w:val="center"/>
          </w:tcPr>
          <w:p>
            <w:pPr>
              <w:spacing w:before="0" w:after="0" w:line="259" w:lineRule="auto"/>
            </w:pPr>
            <w:r>
              <w:rPr>
                <w:sz w:val="18"/>
              </w:rPr>
              <w:t>Neutral.</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-0.60 to -0.20</w:t>
            </w:r>
          </w:p>
        </w:tc>
        <w:tc>
          <w:tcPr>
            <w:tcW w:type="dxa" w:w="7160"/>
            <w:tcMar>
              <w:top w:w="80" w:type="dxa"/>
              <w:start w:w="120" w:type="dxa"/>
              <w:bottom w:w="80" w:type="dxa"/>
              <w:end w:w="120" w:type="dxa"/>
            </w:tcMar>
            <w:vAlign w:val="center"/>
          </w:tcPr>
          <w:p>
            <w:pPr>
              <w:spacing w:before="0" w:after="0" w:line="259" w:lineRule="auto"/>
            </w:pPr>
            <w:r>
              <w:rPr>
                <w:sz w:val="18"/>
              </w:rPr>
              <w:t>Moderate bearish lean.</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&lt; -0.60</w:t>
            </w:r>
          </w:p>
        </w:tc>
        <w:tc>
          <w:tcPr>
            <w:tcW w:type="dxa" w:w="7160"/>
            <w:tcMar>
              <w:top w:w="80" w:type="dxa"/>
              <w:start w:w="120" w:type="dxa"/>
              <w:bottom w:w="80" w:type="dxa"/>
              <w:end w:w="120" w:type="dxa"/>
            </w:tcMar>
            <w:vAlign w:val="center"/>
          </w:tcPr>
          <w:p>
            <w:pPr>
              <w:spacing w:before="0" w:after="0" w:line="259" w:lineRule="auto"/>
            </w:pPr>
            <w:r>
              <w:rPr>
                <w:sz w:val="18"/>
              </w:rPr>
              <w:t>Strong bearish positioning divergence.</w:t>
            </w:r>
          </w:p>
        </w:tc>
      </w:tr>
    </w:tbl>
    <w:p>
      <w:pPr>
        <w:spacing w:after="20"/>
      </w:pPr>
    </w:p>
    <w:p>
      <w:pPr>
        <w:pStyle w:val="Heading2"/>
      </w:pPr>
      <w:r>
        <w:t>1.3 Research and ML indicators (4 blocks)</w:t>
      </w:r>
    </w:p>
    <w:tbl>
      <w:tblPr>
        <w:tblStyle w:val="TableGrid"/>
        <w:tblW w:type="dxa" w:w="9360"/>
        <w:jc w:val="left"/>
        <w:tblLayout w:type="fixed"/>
        <w:tblLook w:firstColumn="1" w:firstRow="1" w:lastColumn="0" w:lastRow="0" w:noHBand="0" w:noVBand="1" w:val="04A0"/>
        <w:tblInd w:w="120" w:type="dxa"/>
      </w:tblPr>
      <w:tblGrid>
        <w:gridCol w:w="2700"/>
        <w:gridCol w:w="1500"/>
        <w:gridCol w:w="51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500"/>
            <w:shd w:fill="E8EEF5"/>
            <w:tcMar>
              <w:top w:w="80" w:type="dxa"/>
              <w:start w:w="120" w:type="dxa"/>
              <w:bottom w:w="80" w:type="dxa"/>
              <w:end w:w="120" w:type="dxa"/>
            </w:tcMar>
            <w:vAlign w:val="center"/>
          </w:tcPr>
          <w:p>
            <w:pPr>
              <w:spacing w:after="0" w:line="240" w:lineRule="auto"/>
            </w:pPr>
            <w:r>
              <w:rPr>
                <w:b/>
                <w:sz w:val="19"/>
              </w:rPr>
              <w:t>Range</w:t>
            </w:r>
          </w:p>
        </w:tc>
        <w:tc>
          <w:tcPr>
            <w:tcW w:type="dxa" w:w="5160"/>
            <w:shd w:fill="E8EEF5"/>
            <w:tcMar>
              <w:top w:w="80" w:type="dxa"/>
              <w:start w:w="120" w:type="dxa"/>
              <w:bottom w:w="80" w:type="dxa"/>
              <w:end w:w="120" w:type="dxa"/>
            </w:tcMar>
            <w:vAlign w:val="center"/>
          </w:tcPr>
          <w:p>
            <w:pPr>
              <w:spacing w:after="0" w:line="240" w:lineRule="auto"/>
            </w:pPr>
            <w:r>
              <w:rPr>
                <w:b/>
                <w:sz w:val="19"/>
              </w:rPr>
              <w:t>What it measures</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Multi-Field Combo</w:t>
            </w:r>
          </w:p>
        </w:tc>
        <w:tc>
          <w:tcPr>
            <w:tcW w:type="dxa" w:w="1500"/>
            <w:tcMar>
              <w:top w:w="80" w:type="dxa"/>
              <w:start w:w="120" w:type="dxa"/>
              <w:bottom w:w="80" w:type="dxa"/>
              <w:end w:w="120" w:type="dxa"/>
            </w:tcMar>
            <w:vAlign w:val="center"/>
          </w:tcPr>
          <w:p>
            <w:pPr>
              <w:spacing w:before="0" w:after="0" w:line="259" w:lineRule="auto"/>
            </w:pPr>
            <w:r>
              <w:rPr>
                <w:sz w:val="18"/>
              </w:rPr>
              <w:t>0-100</w:t>
            </w:r>
          </w:p>
        </w:tc>
        <w:tc>
          <w:tcPr>
            <w:tcW w:type="dxa" w:w="5160"/>
            <w:tcMar>
              <w:top w:w="80" w:type="dxa"/>
              <w:start w:w="120" w:type="dxa"/>
              <w:bottom w:w="80" w:type="dxa"/>
              <w:end w:w="120" w:type="dxa"/>
            </w:tcMar>
            <w:vAlign w:val="center"/>
          </w:tcPr>
          <w:p>
            <w:pPr>
              <w:spacing w:before="0" w:after="0" w:line="259" w:lineRule="auto"/>
            </w:pPr>
            <w:r>
              <w:rPr>
                <w:sz w:val="18"/>
              </w:rPr>
              <w:t>Average of selected bullish-oriented fields. For 0-to-100 inputs: avg(cpihedg, 100-cpispec, 100-cpismall, 100-ctispec).</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Momentum</w:t>
            </w:r>
          </w:p>
        </w:tc>
        <w:tc>
          <w:tcPr>
            <w:tcW w:type="dxa" w:w="1500"/>
            <w:tcMar>
              <w:top w:w="80" w:type="dxa"/>
              <w:start w:w="120" w:type="dxa"/>
              <w:bottom w:w="80" w:type="dxa"/>
              <w:end w:w="120" w:type="dxa"/>
            </w:tcMar>
            <w:vAlign w:val="center"/>
          </w:tcPr>
          <w:p>
            <w:pPr>
              <w:spacing w:before="0" w:after="0" w:line="259" w:lineRule="auto"/>
            </w:pPr>
            <w:r>
              <w:rPr>
                <w:sz w:val="18"/>
              </w:rPr>
              <w:t>-100 to +100</w:t>
            </w:r>
          </w:p>
        </w:tc>
        <w:tc>
          <w:tcPr>
            <w:tcW w:type="dxa" w:w="5160"/>
            <w:tcMar>
              <w:top w:w="80" w:type="dxa"/>
              <w:start w:w="120" w:type="dxa"/>
              <w:bottom w:w="80" w:type="dxa"/>
              <w:end w:w="120" w:type="dxa"/>
            </w:tcMar>
            <w:vAlign w:val="center"/>
          </w:tcPr>
          <w:p>
            <w:pPr>
              <w:spacing w:before="0" w:after="0" w:line="259" w:lineRule="auto"/>
            </w:pPr>
            <w:r>
              <w:rPr>
                <w:sz w:val="18"/>
              </w:rPr>
              <w:t>Change between the current COT observation and N weekly COT observations earlier.</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Field Value</w:t>
            </w:r>
          </w:p>
        </w:tc>
        <w:tc>
          <w:tcPr>
            <w:tcW w:type="dxa" w:w="1500"/>
            <w:tcMar>
              <w:top w:w="80" w:type="dxa"/>
              <w:start w:w="120" w:type="dxa"/>
              <w:bottom w:w="80" w:type="dxa"/>
              <w:end w:w="120" w:type="dxa"/>
            </w:tcMar>
            <w:vAlign w:val="center"/>
          </w:tcPr>
          <w:p>
            <w:pPr>
              <w:spacing w:before="0" w:after="0" w:line="259" w:lineRule="auto"/>
            </w:pPr>
            <w:r>
              <w:rPr>
                <w:sz w:val="18"/>
              </w:rPr>
              <w:t>0-100</w:t>
            </w:r>
          </w:p>
        </w:tc>
        <w:tc>
          <w:tcPr>
            <w:tcW w:type="dxa" w:w="5160"/>
            <w:tcMar>
              <w:top w:w="80" w:type="dxa"/>
              <w:start w:w="120" w:type="dxa"/>
              <w:bottom w:w="80" w:type="dxa"/>
              <w:end w:w="120" w:type="dxa"/>
            </w:tcMar>
            <w:vAlign w:val="center"/>
          </w:tcPr>
          <w:p>
            <w:pPr>
              <w:spacing w:before="0" w:after="0" w:line="259" w:lineRule="auto"/>
            </w:pPr>
            <w:r>
              <w:rPr>
                <w:sz w:val="18"/>
              </w:rPr>
              <w:t>Generic accessor for one of the five fields selected by FieldIndex.</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 Cross-Field Spread</w:t>
            </w:r>
          </w:p>
        </w:tc>
        <w:tc>
          <w:tcPr>
            <w:tcW w:type="dxa" w:w="1500"/>
            <w:tcMar>
              <w:top w:w="80" w:type="dxa"/>
              <w:start w:w="120" w:type="dxa"/>
              <w:bottom w:w="80" w:type="dxa"/>
              <w:end w:w="120" w:type="dxa"/>
            </w:tcMar>
            <w:vAlign w:val="center"/>
          </w:tcPr>
          <w:p>
            <w:pPr>
              <w:spacing w:before="0" w:after="0" w:line="259" w:lineRule="auto"/>
            </w:pPr>
            <w:r>
              <w:rPr>
                <w:sz w:val="18"/>
              </w:rPr>
              <w:t>-100 to +100</w:t>
            </w:r>
          </w:p>
        </w:tc>
        <w:tc>
          <w:tcPr>
            <w:tcW w:type="dxa" w:w="5160"/>
            <w:tcMar>
              <w:top w:w="80" w:type="dxa"/>
              <w:start w:w="120" w:type="dxa"/>
              <w:bottom w:w="80" w:type="dxa"/>
              <w:end w:w="120" w:type="dxa"/>
            </w:tcMar>
            <w:vAlign w:val="center"/>
          </w:tcPr>
          <w:p>
            <w:pPr>
              <w:spacing w:before="0" w:after="0" w:line="259" w:lineRule="auto"/>
            </w:pPr>
            <w:r>
              <w:rPr>
                <w:sz w:val="18"/>
              </w:rPr>
              <w:t>Difference between any two selected COT fields.</w:t>
            </w:r>
          </w:p>
        </w:tc>
      </w:tr>
    </w:tbl>
    <w:p>
      <w:pPr>
        <w:spacing w:after="20"/>
      </w:pPr>
    </w:p>
    <w:p>
      <w:pPr>
        <w:keepLines w:val="0"/>
      </w:pPr>
      <w:r>
        <w:rPr>
          <w:b/>
        </w:rPr>
        <w:t xml:space="preserve">Multi-Field Combo. </w:t>
      </w:r>
      <w:r>
        <w:t>The initial Euro/6E research set uses cpihedg, cpispec, cpismall, and ctispec. Hedger CPI contributes positively; the speculator, small-trader, and speculator-CTI components are inverted. Each component should remain individually switchable so feature-ablation tests can determine whether it adds value.</w:t>
      </w:r>
    </w:p>
    <w:p>
      <w:pPr>
        <w:keepLines w:val="0"/>
      </w:pPr>
      <w:r>
        <w:rPr>
          <w:b/>
        </w:rPr>
        <w:t xml:space="preserve">Momentum. </w:t>
      </w:r>
      <w:r>
        <w:t>FieldIndex values are 0=cpihedg, 1=ctihedg, 2=cpispec, 3=ctispec, and 4=cpismall. A lookback of four COT observations represents approximately one month. It must not be interpreted as four chart bars on an intraday strategy.</w:t>
      </w:r>
    </w:p>
    <w:p>
      <w:pPr>
        <w:keepLines w:val="0"/>
      </w:pPr>
      <w:r>
        <w:rPr>
          <w:b/>
        </w:rPr>
        <w:t xml:space="preserve">Field Value. </w:t>
      </w:r>
      <w:r>
        <w:t>Create five instances with FieldIndex 0-4 to make the complete field set available to an ML model.</w:t>
      </w:r>
    </w:p>
    <w:p>
      <w:pPr>
        <w:keepLines w:val="0"/>
      </w:pPr>
      <w:r>
        <w:rPr>
          <w:b/>
        </w:rPr>
        <w:t xml:space="preserve">Cross-Field Spread. </w:t>
      </w:r>
      <w:r>
        <w:t>Set Field1Index and Field2Index to construct any desired divergence feature. Example: Field1=0 (cpihedg) and Field2=3 (ctispec).</w:t>
      </w:r>
    </w:p>
    <w:p>
      <w:pPr>
        <w:keepLines/>
        <w:spacing w:before="120" w:after="160"/>
        <w:ind w:left="173" w:right="115"/>
        <w:shd w:fill="FFF4CE"/>
        <w:pBdr>
          <w:left w:val="single" w:sz="18" w:space="8" w:color="C59B28"/>
        </w:pBdr>
      </w:pPr>
      <w:r>
        <w:rPr>
          <w:b/>
          <w:color w:val="9B1C1C"/>
        </w:rPr>
        <w:t xml:space="preserve">ML research note: </w:t>
      </w:r>
      <w:r>
        <w:t>Internal practitioner experience suggests COT can be more useful as a conditional feature in gradient-boosted trees than as a standalone threshold rule. The initial 45-market deterministic tests did not demonstrate robust cross-market edge.</w:t>
      </w:r>
    </w:p>
    <w:p>
      <w:pPr>
        <w:pStyle w:val="Heading1"/>
      </w:pPr>
      <w:r>
        <w:t>2. Boolean Signal Blocks (57 blocks)</w:t>
      </w:r>
    </w:p>
    <w:p>
      <w:pPr>
        <w:keepLines w:val="0"/>
      </w:pPr>
      <w:r>
        <w:rPr>
          <w:i w:val="0"/>
        </w:rPr>
        <w:t>Boolean blocks return true or false and are placed in SQX entry, exit, or permission conditions. The “Related v8 concept” column is descriptive; it does not claim that every implementation is a separately validated strategy.</w:t>
      </w:r>
    </w:p>
    <w:p>
      <w:pPr>
        <w:pStyle w:val="Heading2"/>
      </w:pPr>
      <w:r>
        <w:t>2.1 Extreme reversal and unwind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COTBullishExtreme</w:t>
            </w:r>
          </w:p>
        </w:tc>
        <w:tc>
          <w:tcPr>
            <w:tcW w:type="dxa" w:w="1900"/>
            <w:tcMar>
              <w:top w:w="80" w:type="dxa"/>
              <w:start w:w="120" w:type="dxa"/>
              <w:bottom w:w="80" w:type="dxa"/>
              <w:end w:w="120" w:type="dxa"/>
            </w:tcMar>
            <w:vAlign w:val="center"/>
          </w:tcPr>
          <w:p>
            <w:pPr>
              <w:spacing w:before="0" w:after="0" w:line="259" w:lineRule="auto"/>
            </w:pPr>
            <w:r>
              <w:rPr>
                <w:sz w:val="18"/>
              </w:rPr>
              <w:t>#1</w:t>
            </w:r>
          </w:p>
        </w:tc>
        <w:tc>
          <w:tcPr>
            <w:tcW w:type="dxa" w:w="4760"/>
            <w:tcMar>
              <w:top w:w="80" w:type="dxa"/>
              <w:start w:w="120" w:type="dxa"/>
              <w:bottom w:w="80" w:type="dxa"/>
              <w:end w:w="120" w:type="dxa"/>
            </w:tcMar>
            <w:vAlign w:val="center"/>
          </w:tcPr>
          <w:p>
            <w:pPr>
              <w:spacing w:before="0" w:after="0" w:line="259" w:lineRule="auto"/>
            </w:pPr>
            <w:r>
              <w:rPr>
                <w:sz w:val="18"/>
              </w:rPr>
              <w:t>Hedger CPI high and Speculator CPI low; optional dual-window confirmation.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COTBearishExtreme</w:t>
            </w:r>
          </w:p>
        </w:tc>
        <w:tc>
          <w:tcPr>
            <w:tcW w:type="dxa" w:w="1900"/>
            <w:tcMar>
              <w:top w:w="80" w:type="dxa"/>
              <w:start w:w="120" w:type="dxa"/>
              <w:bottom w:w="80" w:type="dxa"/>
              <w:end w:w="120" w:type="dxa"/>
            </w:tcMar>
            <w:vAlign w:val="center"/>
          </w:tcPr>
          <w:p>
            <w:pPr>
              <w:spacing w:before="0" w:after="0" w:line="259" w:lineRule="auto"/>
            </w:pPr>
            <w:r>
              <w:rPr>
                <w:sz w:val="18"/>
              </w:rPr>
              <w:t>#1</w:t>
            </w:r>
          </w:p>
        </w:tc>
        <w:tc>
          <w:tcPr>
            <w:tcW w:type="dxa" w:w="4760"/>
            <w:tcMar>
              <w:top w:w="80" w:type="dxa"/>
              <w:start w:w="120" w:type="dxa"/>
              <w:bottom w:w="80" w:type="dxa"/>
              <w:end w:w="120" w:type="dxa"/>
            </w:tcMar>
            <w:vAlign w:val="center"/>
          </w:tcPr>
          <w:p>
            <w:pPr>
              <w:spacing w:before="0" w:after="0" w:line="259" w:lineRule="auto"/>
            </w:pPr>
            <w:r>
              <w:rPr>
                <w:sz w:val="18"/>
              </w:rPr>
              <w:t>Mirror bearish positioning divergence.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COTExtremeExitBullish</w:t>
            </w:r>
          </w:p>
        </w:tc>
        <w:tc>
          <w:tcPr>
            <w:tcW w:type="dxa" w:w="1900"/>
            <w:tcMar>
              <w:top w:w="80" w:type="dxa"/>
              <w:start w:w="120" w:type="dxa"/>
              <w:bottom w:w="80" w:type="dxa"/>
              <w:end w:w="120" w:type="dxa"/>
            </w:tcMar>
            <w:vAlign w:val="center"/>
          </w:tcPr>
          <w:p>
            <w:pPr>
              <w:spacing w:before="0" w:after="0" w:line="259" w:lineRule="auto"/>
            </w:pPr>
            <w:r>
              <w:rPr>
                <w:sz w:val="18"/>
              </w:rPr>
              <w:t>#6 / #24</w:t>
            </w:r>
          </w:p>
        </w:tc>
        <w:tc>
          <w:tcPr>
            <w:tcW w:type="dxa" w:w="4760"/>
            <w:tcMar>
              <w:top w:w="80" w:type="dxa"/>
              <w:start w:w="120" w:type="dxa"/>
              <w:bottom w:w="80" w:type="dxa"/>
              <w:end w:w="120" w:type="dxa"/>
            </w:tcMar>
            <w:vAlign w:val="center"/>
          </w:tcPr>
          <w:p>
            <w:pPr>
              <w:spacing w:before="0" w:after="0" w:line="259" w:lineRule="auto"/>
            </w:pPr>
            <w:r>
              <w:rPr>
                <w:sz w:val="18"/>
              </w:rPr>
              <w:t>An extreme occurred recently and positioning is now leaving the extreme zone.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COTExtremeExitBearish</w:t>
            </w:r>
          </w:p>
        </w:tc>
        <w:tc>
          <w:tcPr>
            <w:tcW w:type="dxa" w:w="1900"/>
            <w:tcMar>
              <w:top w:w="80" w:type="dxa"/>
              <w:start w:w="120" w:type="dxa"/>
              <w:bottom w:w="80" w:type="dxa"/>
              <w:end w:w="120" w:type="dxa"/>
            </w:tcMar>
            <w:vAlign w:val="center"/>
          </w:tcPr>
          <w:p>
            <w:pPr>
              <w:spacing w:before="0" w:after="0" w:line="259" w:lineRule="auto"/>
            </w:pPr>
            <w:r>
              <w:rPr>
                <w:sz w:val="18"/>
              </w:rPr>
              <w:t>#6 / #24</w:t>
            </w:r>
          </w:p>
        </w:tc>
        <w:tc>
          <w:tcPr>
            <w:tcW w:type="dxa" w:w="4760"/>
            <w:tcMar>
              <w:top w:w="80" w:type="dxa"/>
              <w:start w:w="120" w:type="dxa"/>
              <w:bottom w:w="80" w:type="dxa"/>
              <w:end w:w="120" w:type="dxa"/>
            </w:tcMar>
            <w:vAlign w:val="center"/>
          </w:tcPr>
          <w:p>
            <w:pPr>
              <w:spacing w:before="0" w:after="0" w:line="259" w:lineRule="auto"/>
            </w:pPr>
            <w:r>
              <w:rPr>
                <w:sz w:val="18"/>
              </w:rPr>
              <w:t>Mirror bearish transition.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COTExtremePersistence</w:t>
            </w:r>
          </w:p>
        </w:tc>
        <w:tc>
          <w:tcPr>
            <w:tcW w:type="dxa" w:w="1900"/>
            <w:tcMar>
              <w:top w:w="80" w:type="dxa"/>
              <w:start w:w="120" w:type="dxa"/>
              <w:bottom w:w="80" w:type="dxa"/>
              <w:end w:w="120" w:type="dxa"/>
            </w:tcMar>
            <w:vAlign w:val="center"/>
          </w:tcPr>
          <w:p>
            <w:pPr>
              <w:spacing w:before="0" w:after="0" w:line="259" w:lineRule="auto"/>
            </w:pPr>
            <w:r>
              <w:rPr>
                <w:sz w:val="18"/>
              </w:rPr>
              <w:t>#7 / #23</w:t>
            </w:r>
          </w:p>
        </w:tc>
        <w:tc>
          <w:tcPr>
            <w:tcW w:type="dxa" w:w="4760"/>
            <w:tcMar>
              <w:top w:w="80" w:type="dxa"/>
              <w:start w:w="120" w:type="dxa"/>
              <w:bottom w:w="80" w:type="dxa"/>
              <w:end w:w="120" w:type="dxa"/>
            </w:tcMar>
            <w:vAlign w:val="center"/>
          </w:tcPr>
          <w:p>
            <w:pPr>
              <w:spacing w:before="0" w:after="0" w:line="259" w:lineRule="auto"/>
            </w:pPr>
            <w:r>
              <w:rPr>
                <w:sz w:val="18"/>
              </w:rPr>
              <w:t>Extreme remains present for N consecutive weekly COT reports.</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COTExtremeUnwindBullish</w:t>
            </w:r>
          </w:p>
        </w:tc>
        <w:tc>
          <w:tcPr>
            <w:tcW w:type="dxa" w:w="1900"/>
            <w:tcMar>
              <w:top w:w="80" w:type="dxa"/>
              <w:start w:w="120" w:type="dxa"/>
              <w:bottom w:w="80" w:type="dxa"/>
              <w:end w:w="120" w:type="dxa"/>
            </w:tcMar>
            <w:vAlign w:val="center"/>
          </w:tcPr>
          <w:p>
            <w:pPr>
              <w:spacing w:before="0" w:after="0" w:line="259" w:lineRule="auto"/>
            </w:pPr>
            <w:r>
              <w:rPr>
                <w:sz w:val="18"/>
              </w:rPr>
              <w:t>#8</w:t>
            </w:r>
          </w:p>
        </w:tc>
        <w:tc>
          <w:tcPr>
            <w:tcW w:type="dxa" w:w="4760"/>
            <w:tcMar>
              <w:top w:w="80" w:type="dxa"/>
              <w:start w:w="120" w:type="dxa"/>
              <w:bottom w:w="80" w:type="dxa"/>
              <w:end w:w="120" w:type="dxa"/>
            </w:tcMar>
            <w:vAlign w:val="center"/>
          </w:tcPr>
          <w:p>
            <w:pPr>
              <w:spacing w:before="0" w:after="0" w:line="259" w:lineRule="auto"/>
            </w:pPr>
            <w:r>
              <w:rPr>
                <w:sz w:val="18"/>
              </w:rPr>
              <w:t>A bullish-relevant extreme was reached and is now unwinding.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COTExtremeUnwindBearish</w:t>
            </w:r>
          </w:p>
        </w:tc>
        <w:tc>
          <w:tcPr>
            <w:tcW w:type="dxa" w:w="1900"/>
            <w:tcMar>
              <w:top w:w="80" w:type="dxa"/>
              <w:start w:w="120" w:type="dxa"/>
              <w:bottom w:w="80" w:type="dxa"/>
              <w:end w:w="120" w:type="dxa"/>
            </w:tcMar>
            <w:vAlign w:val="center"/>
          </w:tcPr>
          <w:p>
            <w:pPr>
              <w:spacing w:before="0" w:after="0" w:line="259" w:lineRule="auto"/>
            </w:pPr>
            <w:r>
              <w:rPr>
                <w:sz w:val="18"/>
              </w:rPr>
              <w:t>#8</w:t>
            </w:r>
          </w:p>
        </w:tc>
        <w:tc>
          <w:tcPr>
            <w:tcW w:type="dxa" w:w="4760"/>
            <w:tcMar>
              <w:top w:w="80" w:type="dxa"/>
              <w:start w:w="120" w:type="dxa"/>
              <w:bottom w:w="80" w:type="dxa"/>
              <w:end w:w="120" w:type="dxa"/>
            </w:tcMar>
            <w:vAlign w:val="center"/>
          </w:tcPr>
          <w:p>
            <w:pPr>
              <w:spacing w:before="0" w:after="0" w:line="259" w:lineRule="auto"/>
            </w:pPr>
            <w:r>
              <w:rPr>
                <w:sz w:val="18"/>
              </w:rPr>
              <w:t>Mirror bearish unwind.</w:t>
            </w:r>
          </w:p>
        </w:tc>
      </w:tr>
    </w:tbl>
    <w:p>
      <w:pPr>
        <w:spacing w:after="20"/>
      </w:pPr>
    </w:p>
    <w:p>
      <w:pPr>
        <w:pStyle w:val="Heading2"/>
      </w:pPr>
      <w:r>
        <w:t>2.2 Composite Score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COTScoreAbove</w:t>
            </w:r>
          </w:p>
        </w:tc>
        <w:tc>
          <w:tcPr>
            <w:tcW w:type="dxa" w:w="1900"/>
            <w:tcMar>
              <w:top w:w="80" w:type="dxa"/>
              <w:start w:w="120" w:type="dxa"/>
              <w:bottom w:w="80" w:type="dxa"/>
              <w:end w:w="120" w:type="dxa"/>
            </w:tcMar>
            <w:vAlign w:val="center"/>
          </w:tcPr>
          <w:p>
            <w:pPr>
              <w:spacing w:before="0" w:after="0" w:line="259" w:lineRule="auto"/>
            </w:pPr>
            <w:r>
              <w:rPr>
                <w:sz w:val="18"/>
              </w:rPr>
              <w:t>#5</w:t>
            </w:r>
          </w:p>
        </w:tc>
        <w:tc>
          <w:tcPr>
            <w:tcW w:type="dxa" w:w="4760"/>
            <w:tcMar>
              <w:top w:w="80" w:type="dxa"/>
              <w:start w:w="120" w:type="dxa"/>
              <w:bottom w:w="80" w:type="dxa"/>
              <w:end w:w="120" w:type="dxa"/>
            </w:tcMar>
            <w:vAlign w:val="center"/>
          </w:tcPr>
          <w:p>
            <w:pPr>
              <w:spacing w:before="0" w:after="0" w:line="259" w:lineRule="auto"/>
            </w:pPr>
            <w:r>
              <w:rPr>
                <w:sz w:val="18"/>
              </w:rPr>
              <w:t>Composite Score above the selected bullish 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COTScoreBelow</w:t>
            </w:r>
          </w:p>
        </w:tc>
        <w:tc>
          <w:tcPr>
            <w:tcW w:type="dxa" w:w="1900"/>
            <w:tcMar>
              <w:top w:w="80" w:type="dxa"/>
              <w:start w:w="120" w:type="dxa"/>
              <w:bottom w:w="80" w:type="dxa"/>
              <w:end w:w="120" w:type="dxa"/>
            </w:tcMar>
            <w:vAlign w:val="center"/>
          </w:tcPr>
          <w:p>
            <w:pPr>
              <w:spacing w:before="0" w:after="0" w:line="259" w:lineRule="auto"/>
            </w:pPr>
            <w:r>
              <w:rPr>
                <w:sz w:val="18"/>
              </w:rPr>
              <w:t>#5</w:t>
            </w:r>
          </w:p>
        </w:tc>
        <w:tc>
          <w:tcPr>
            <w:tcW w:type="dxa" w:w="4760"/>
            <w:tcMar>
              <w:top w:w="80" w:type="dxa"/>
              <w:start w:w="120" w:type="dxa"/>
              <w:bottom w:w="80" w:type="dxa"/>
              <w:end w:w="120" w:type="dxa"/>
            </w:tcMar>
            <w:vAlign w:val="center"/>
          </w:tcPr>
          <w:p>
            <w:pPr>
              <w:spacing w:before="0" w:after="0" w:line="259" w:lineRule="auto"/>
            </w:pPr>
            <w:r>
              <w:rPr>
                <w:sz w:val="18"/>
              </w:rPr>
              <w:t>Composite Score below the selected bearish 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COTScoreMomentumAbove</w:t>
            </w:r>
          </w:p>
        </w:tc>
        <w:tc>
          <w:tcPr>
            <w:tcW w:type="dxa" w:w="1900"/>
            <w:tcMar>
              <w:top w:w="80" w:type="dxa"/>
              <w:start w:w="120" w:type="dxa"/>
              <w:bottom w:w="80" w:type="dxa"/>
              <w:end w:w="120" w:type="dxa"/>
            </w:tcMar>
            <w:vAlign w:val="center"/>
          </w:tcPr>
          <w:p>
            <w:pPr>
              <w:spacing w:before="0" w:after="0" w:line="259" w:lineRule="auto"/>
            </w:pPr>
            <w:r>
              <w:rPr>
                <w:sz w:val="18"/>
              </w:rPr>
              <w:t>#10 / #37</w:t>
            </w:r>
          </w:p>
        </w:tc>
        <w:tc>
          <w:tcPr>
            <w:tcW w:type="dxa" w:w="4760"/>
            <w:tcMar>
              <w:top w:w="80" w:type="dxa"/>
              <w:start w:w="120" w:type="dxa"/>
              <w:bottom w:w="80" w:type="dxa"/>
              <w:end w:w="120" w:type="dxa"/>
            </w:tcMar>
            <w:vAlign w:val="center"/>
          </w:tcPr>
          <w:p>
            <w:pPr>
              <w:spacing w:before="0" w:after="0" w:line="259" w:lineRule="auto"/>
            </w:pPr>
            <w:r>
              <w:rPr>
                <w:sz w:val="18"/>
              </w:rPr>
              <w:t>Score improvement exceeds the selected change threshold.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COTScoreMomentumBelow</w:t>
            </w:r>
          </w:p>
        </w:tc>
        <w:tc>
          <w:tcPr>
            <w:tcW w:type="dxa" w:w="1900"/>
            <w:tcMar>
              <w:top w:w="80" w:type="dxa"/>
              <w:start w:w="120" w:type="dxa"/>
              <w:bottom w:w="80" w:type="dxa"/>
              <w:end w:w="120" w:type="dxa"/>
            </w:tcMar>
            <w:vAlign w:val="center"/>
          </w:tcPr>
          <w:p>
            <w:pPr>
              <w:spacing w:before="0" w:after="0" w:line="259" w:lineRule="auto"/>
            </w:pPr>
            <w:r>
              <w:rPr>
                <w:sz w:val="18"/>
              </w:rPr>
              <w:t>#10 / #37</w:t>
            </w:r>
          </w:p>
        </w:tc>
        <w:tc>
          <w:tcPr>
            <w:tcW w:type="dxa" w:w="4760"/>
            <w:tcMar>
              <w:top w:w="80" w:type="dxa"/>
              <w:start w:w="120" w:type="dxa"/>
              <w:bottom w:w="80" w:type="dxa"/>
              <w:end w:w="120" w:type="dxa"/>
            </w:tcMar>
            <w:vAlign w:val="center"/>
          </w:tcPr>
          <w:p>
            <w:pPr>
              <w:spacing w:before="0" w:after="0" w:line="259" w:lineRule="auto"/>
            </w:pPr>
            <w:r>
              <w:rPr>
                <w:sz w:val="18"/>
              </w:rPr>
              <w:t>Score deterioration exceeds the selected negative threshold.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COTScoreZeroCrossUp</w:t>
            </w:r>
          </w:p>
        </w:tc>
        <w:tc>
          <w:tcPr>
            <w:tcW w:type="dxa" w:w="1900"/>
            <w:tcMar>
              <w:top w:w="80" w:type="dxa"/>
              <w:start w:w="120" w:type="dxa"/>
              <w:bottom w:w="80" w:type="dxa"/>
              <w:end w:w="120" w:type="dxa"/>
            </w:tcMar>
            <w:vAlign w:val="center"/>
          </w:tcPr>
          <w:p>
            <w:pPr>
              <w:spacing w:before="0" w:after="0" w:line="259" w:lineRule="auto"/>
            </w:pPr>
            <w:r>
              <w:rPr>
                <w:sz w:val="18"/>
              </w:rPr>
              <w:t>#11</w:t>
            </w:r>
          </w:p>
        </w:tc>
        <w:tc>
          <w:tcPr>
            <w:tcW w:type="dxa" w:w="4760"/>
            <w:tcMar>
              <w:top w:w="80" w:type="dxa"/>
              <w:start w:w="120" w:type="dxa"/>
              <w:bottom w:w="80" w:type="dxa"/>
              <w:end w:w="120" w:type="dxa"/>
            </w:tcMar>
            <w:vAlign w:val="center"/>
          </w:tcPr>
          <w:p>
            <w:pPr>
              <w:spacing w:before="0" w:after="0" w:line="259" w:lineRule="auto"/>
            </w:pPr>
            <w:r>
              <w:rPr>
                <w:sz w:val="18"/>
              </w:rPr>
              <w:t>Score crosses above zero; bearish-to-bullish regime transition.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COTScoreZeroCrossDown</w:t>
            </w:r>
          </w:p>
        </w:tc>
        <w:tc>
          <w:tcPr>
            <w:tcW w:type="dxa" w:w="1900"/>
            <w:tcMar>
              <w:top w:w="80" w:type="dxa"/>
              <w:start w:w="120" w:type="dxa"/>
              <w:bottom w:w="80" w:type="dxa"/>
              <w:end w:w="120" w:type="dxa"/>
            </w:tcMar>
            <w:vAlign w:val="center"/>
          </w:tcPr>
          <w:p>
            <w:pPr>
              <w:spacing w:before="0" w:after="0" w:line="259" w:lineRule="auto"/>
            </w:pPr>
            <w:r>
              <w:rPr>
                <w:sz w:val="18"/>
              </w:rPr>
              <w:t>#11</w:t>
            </w:r>
          </w:p>
        </w:tc>
        <w:tc>
          <w:tcPr>
            <w:tcW w:type="dxa" w:w="4760"/>
            <w:tcMar>
              <w:top w:w="80" w:type="dxa"/>
              <w:start w:w="120" w:type="dxa"/>
              <w:bottom w:w="80" w:type="dxa"/>
              <w:end w:w="120" w:type="dxa"/>
            </w:tcMar>
            <w:vAlign w:val="center"/>
          </w:tcPr>
          <w:p>
            <w:pPr>
              <w:spacing w:before="0" w:after="0" w:line="259" w:lineRule="auto"/>
            </w:pPr>
            <w:r>
              <w:rPr>
                <w:sz w:val="18"/>
              </w:rPr>
              <w:t>Score crosses below zero; bullish-to-bearish regime transition.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COTScoreAccelBullish</w:t>
            </w:r>
          </w:p>
        </w:tc>
        <w:tc>
          <w:tcPr>
            <w:tcW w:type="dxa" w:w="1900"/>
            <w:tcMar>
              <w:top w:w="80" w:type="dxa"/>
              <w:start w:w="120" w:type="dxa"/>
              <w:bottom w:w="80" w:type="dxa"/>
              <w:end w:w="120" w:type="dxa"/>
            </w:tcMar>
            <w:vAlign w:val="center"/>
          </w:tcPr>
          <w:p>
            <w:pPr>
              <w:spacing w:before="0" w:after="0" w:line="259" w:lineRule="auto"/>
            </w:pPr>
            <w:r>
              <w:rPr>
                <w:sz w:val="18"/>
              </w:rPr>
              <w:t>#38</w:t>
            </w:r>
          </w:p>
        </w:tc>
        <w:tc>
          <w:tcPr>
            <w:tcW w:type="dxa" w:w="4760"/>
            <w:tcMar>
              <w:top w:w="80" w:type="dxa"/>
              <w:start w:w="120" w:type="dxa"/>
              <w:bottom w:w="80" w:type="dxa"/>
              <w:end w:w="120" w:type="dxa"/>
            </w:tcMar>
            <w:vAlign w:val="center"/>
          </w:tcPr>
          <w:p>
            <w:pPr>
              <w:spacing w:before="0" w:after="0" w:line="259" w:lineRule="auto"/>
            </w:pPr>
            <w:r>
              <w:rPr>
                <w:sz w:val="18"/>
              </w:rPr>
              <w:t>Positive Score momentum is itself increasing.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COTScoreAccelBearish</w:t>
            </w:r>
          </w:p>
        </w:tc>
        <w:tc>
          <w:tcPr>
            <w:tcW w:type="dxa" w:w="1900"/>
            <w:tcMar>
              <w:top w:w="80" w:type="dxa"/>
              <w:start w:w="120" w:type="dxa"/>
              <w:bottom w:w="80" w:type="dxa"/>
              <w:end w:w="120" w:type="dxa"/>
            </w:tcMar>
            <w:vAlign w:val="center"/>
          </w:tcPr>
          <w:p>
            <w:pPr>
              <w:spacing w:before="0" w:after="0" w:line="259" w:lineRule="auto"/>
            </w:pPr>
            <w:r>
              <w:rPr>
                <w:sz w:val="18"/>
              </w:rPr>
              <w:t>#38</w:t>
            </w:r>
          </w:p>
        </w:tc>
        <w:tc>
          <w:tcPr>
            <w:tcW w:type="dxa" w:w="4760"/>
            <w:tcMar>
              <w:top w:w="80" w:type="dxa"/>
              <w:start w:w="120" w:type="dxa"/>
              <w:bottom w:w="80" w:type="dxa"/>
              <w:end w:w="120" w:type="dxa"/>
            </w:tcMar>
            <w:vAlign w:val="center"/>
          </w:tcPr>
          <w:p>
            <w:pPr>
              <w:spacing w:before="0" w:after="0" w:line="259" w:lineRule="auto"/>
            </w:pPr>
            <w:r>
              <w:rPr>
                <w:sz w:val="18"/>
              </w:rPr>
              <w:t>Negative Score momentum is itself increasing.</w:t>
            </w:r>
          </w:p>
        </w:tc>
      </w:tr>
    </w:tbl>
    <w:p>
      <w:pPr>
        <w:spacing w:after="20"/>
      </w:pPr>
    </w:p>
    <w:p>
      <w:pPr>
        <w:pStyle w:val="Heading2"/>
      </w:pPr>
      <w:r>
        <w:t>2.3 Speculator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COTSpecTrendLong</w:t>
            </w:r>
          </w:p>
        </w:tc>
        <w:tc>
          <w:tcPr>
            <w:tcW w:type="dxa" w:w="1900"/>
            <w:tcMar>
              <w:top w:w="80" w:type="dxa"/>
              <w:start w:w="120" w:type="dxa"/>
              <w:bottom w:w="80" w:type="dxa"/>
              <w:end w:w="120" w:type="dxa"/>
            </w:tcMar>
            <w:vAlign w:val="center"/>
          </w:tcPr>
          <w:p>
            <w:pPr>
              <w:spacing w:before="0" w:after="0" w:line="259" w:lineRule="auto"/>
            </w:pPr>
            <w:r>
              <w:rPr>
                <w:sz w:val="18"/>
              </w:rPr>
              <w:t>#4 / #12</w:t>
            </w:r>
          </w:p>
        </w:tc>
        <w:tc>
          <w:tcPr>
            <w:tcW w:type="dxa" w:w="4760"/>
            <w:tcMar>
              <w:top w:w="80" w:type="dxa"/>
              <w:start w:w="120" w:type="dxa"/>
              <w:bottom w:w="80" w:type="dxa"/>
              <w:end w:w="120" w:type="dxa"/>
            </w:tcMar>
            <w:vAlign w:val="center"/>
          </w:tcPr>
          <w:p>
            <w:pPr>
              <w:spacing w:before="0" w:after="0" w:line="259" w:lineRule="auto"/>
            </w:pPr>
            <w:r>
              <w:rPr>
                <w:sz w:val="18"/>
              </w:rPr>
              <w:t>Large-speculator positioning is moderately bullish, rising, and not yet extremely crowded.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COTSpecTrendShort</w:t>
            </w:r>
          </w:p>
        </w:tc>
        <w:tc>
          <w:tcPr>
            <w:tcW w:type="dxa" w:w="1900"/>
            <w:tcMar>
              <w:top w:w="80" w:type="dxa"/>
              <w:start w:w="120" w:type="dxa"/>
              <w:bottom w:w="80" w:type="dxa"/>
              <w:end w:w="120" w:type="dxa"/>
            </w:tcMar>
            <w:vAlign w:val="center"/>
          </w:tcPr>
          <w:p>
            <w:pPr>
              <w:spacing w:before="0" w:after="0" w:line="259" w:lineRule="auto"/>
            </w:pPr>
            <w:r>
              <w:rPr>
                <w:sz w:val="18"/>
              </w:rPr>
              <w:t>#4 / #12</w:t>
            </w:r>
          </w:p>
        </w:tc>
        <w:tc>
          <w:tcPr>
            <w:tcW w:type="dxa" w:w="4760"/>
            <w:tcMar>
              <w:top w:w="80" w:type="dxa"/>
              <w:start w:w="120" w:type="dxa"/>
              <w:bottom w:w="80" w:type="dxa"/>
              <w:end w:w="120" w:type="dxa"/>
            </w:tcMar>
            <w:vAlign w:val="center"/>
          </w:tcPr>
          <w:p>
            <w:pPr>
              <w:spacing w:before="0" w:after="0" w:line="259" w:lineRule="auto"/>
            </w:pPr>
            <w:r>
              <w:rPr>
                <w:sz w:val="18"/>
              </w:rPr>
              <w:t>Moderately bearish, falling speculator positioning.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COTSpecExhaustionShort</w:t>
            </w:r>
          </w:p>
        </w:tc>
        <w:tc>
          <w:tcPr>
            <w:tcW w:type="dxa" w:w="1900"/>
            <w:tcMar>
              <w:top w:w="80" w:type="dxa"/>
              <w:start w:w="120" w:type="dxa"/>
              <w:bottom w:w="80" w:type="dxa"/>
              <w:end w:w="120" w:type="dxa"/>
            </w:tcMar>
            <w:vAlign w:val="center"/>
          </w:tcPr>
          <w:p>
            <w:pPr>
              <w:spacing w:before="0" w:after="0" w:line="259" w:lineRule="auto"/>
            </w:pPr>
            <w:r>
              <w:rPr>
                <w:sz w:val="18"/>
              </w:rPr>
              <w:t>#13</w:t>
            </w:r>
          </w:p>
        </w:tc>
        <w:tc>
          <w:tcPr>
            <w:tcW w:type="dxa" w:w="4760"/>
            <w:tcMar>
              <w:top w:w="80" w:type="dxa"/>
              <w:start w:w="120" w:type="dxa"/>
              <w:bottom w:w="80" w:type="dxa"/>
              <w:end w:w="120" w:type="dxa"/>
            </w:tcMar>
            <w:vAlign w:val="center"/>
          </w:tcPr>
          <w:p>
            <w:pPr>
              <w:spacing w:before="0" w:after="0" w:line="259" w:lineRule="auto"/>
            </w:pPr>
            <w:r>
              <w:rPr>
                <w:sz w:val="18"/>
              </w:rPr>
              <w:t>Speculators were crowded long and are now reducing that position.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COTSpecExhaustionLong</w:t>
            </w:r>
          </w:p>
        </w:tc>
        <w:tc>
          <w:tcPr>
            <w:tcW w:type="dxa" w:w="1900"/>
            <w:tcMar>
              <w:top w:w="80" w:type="dxa"/>
              <w:start w:w="120" w:type="dxa"/>
              <w:bottom w:w="80" w:type="dxa"/>
              <w:end w:w="120" w:type="dxa"/>
            </w:tcMar>
            <w:vAlign w:val="center"/>
          </w:tcPr>
          <w:p>
            <w:pPr>
              <w:spacing w:before="0" w:after="0" w:line="259" w:lineRule="auto"/>
            </w:pPr>
            <w:r>
              <w:rPr>
                <w:sz w:val="18"/>
              </w:rPr>
              <w:t>#13</w:t>
            </w:r>
          </w:p>
        </w:tc>
        <w:tc>
          <w:tcPr>
            <w:tcW w:type="dxa" w:w="4760"/>
            <w:tcMar>
              <w:top w:w="80" w:type="dxa"/>
              <w:start w:w="120" w:type="dxa"/>
              <w:bottom w:w="80" w:type="dxa"/>
              <w:end w:w="120" w:type="dxa"/>
            </w:tcMar>
            <w:vAlign w:val="center"/>
          </w:tcPr>
          <w:p>
            <w:pPr>
              <w:spacing w:before="0" w:after="0" w:line="259" w:lineRule="auto"/>
            </w:pPr>
            <w:r>
              <w:rPr>
                <w:sz w:val="18"/>
              </w:rPr>
              <w:t>Speculators were crowded short and are now reducing that position.</w:t>
            </w:r>
          </w:p>
        </w:tc>
      </w:tr>
    </w:tbl>
    <w:p>
      <w:pPr>
        <w:spacing w:after="20"/>
      </w:pPr>
    </w:p>
    <w:p>
      <w:pPr>
        <w:pStyle w:val="Heading2"/>
      </w:pPr>
      <w:r>
        <w:t>2.4 Multi-group divergence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COTTripleDivBullish</w:t>
            </w:r>
          </w:p>
        </w:tc>
        <w:tc>
          <w:tcPr>
            <w:tcW w:type="dxa" w:w="1900"/>
            <w:tcMar>
              <w:top w:w="80" w:type="dxa"/>
              <w:start w:w="120" w:type="dxa"/>
              <w:bottom w:w="80" w:type="dxa"/>
              <w:end w:w="120" w:type="dxa"/>
            </w:tcMar>
            <w:vAlign w:val="center"/>
          </w:tcPr>
          <w:p>
            <w:pPr>
              <w:spacing w:before="0" w:after="0" w:line="259" w:lineRule="auto"/>
            </w:pPr>
            <w:r>
              <w:rPr>
                <w:sz w:val="18"/>
              </w:rPr>
              <w:t>#14</w:t>
            </w:r>
          </w:p>
        </w:tc>
        <w:tc>
          <w:tcPr>
            <w:tcW w:type="dxa" w:w="4760"/>
            <w:tcMar>
              <w:top w:w="80" w:type="dxa"/>
              <w:start w:w="120" w:type="dxa"/>
              <w:bottom w:w="80" w:type="dxa"/>
              <w:end w:w="120" w:type="dxa"/>
            </w:tcMar>
            <w:vAlign w:val="center"/>
          </w:tcPr>
          <w:p>
            <w:pPr>
              <w:spacing w:before="0" w:after="0" w:line="259" w:lineRule="auto"/>
            </w:pPr>
            <w:r>
              <w:rPr>
                <w:sz w:val="18"/>
              </w:rPr>
              <w:t>Hedgers high, large speculators low, and small traders low.</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COTTripleDivBearish</w:t>
            </w:r>
          </w:p>
        </w:tc>
        <w:tc>
          <w:tcPr>
            <w:tcW w:type="dxa" w:w="1900"/>
            <w:tcMar>
              <w:top w:w="80" w:type="dxa"/>
              <w:start w:w="120" w:type="dxa"/>
              <w:bottom w:w="80" w:type="dxa"/>
              <w:end w:w="120" w:type="dxa"/>
            </w:tcMar>
            <w:vAlign w:val="center"/>
          </w:tcPr>
          <w:p>
            <w:pPr>
              <w:spacing w:before="0" w:after="0" w:line="259" w:lineRule="auto"/>
            </w:pPr>
            <w:r>
              <w:rPr>
                <w:sz w:val="18"/>
              </w:rPr>
              <w:t>#14</w:t>
            </w:r>
          </w:p>
        </w:tc>
        <w:tc>
          <w:tcPr>
            <w:tcW w:type="dxa" w:w="4760"/>
            <w:tcMar>
              <w:top w:w="80" w:type="dxa"/>
              <w:start w:w="120" w:type="dxa"/>
              <w:bottom w:w="80" w:type="dxa"/>
              <w:end w:w="120" w:type="dxa"/>
            </w:tcMar>
            <w:vAlign w:val="center"/>
          </w:tcPr>
          <w:p>
            <w:pPr>
              <w:spacing w:before="0" w:after="0" w:line="259" w:lineRule="auto"/>
            </w:pPr>
            <w:r>
              <w:rPr>
                <w:sz w:val="18"/>
              </w:rPr>
              <w:t>Hedgers low, large speculators high, and small traders high.</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COTSmartDumbBullish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Commercial and small-trader positioning diverge in a bullish-oriented configuration.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COTSmartDumbBearish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Mirror bearish configuration.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COTSmallFadeBullish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Small traders near pessimistic positioning extreme.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COTSmallFadeBearish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Small traders near optimistic positioning extreme.</w:t>
            </w:r>
          </w:p>
        </w:tc>
      </w:tr>
    </w:tbl>
    <w:p>
      <w:pPr>
        <w:spacing w:after="20"/>
      </w:pPr>
    </w:p>
    <w:p>
      <w:pPr>
        <w:pStyle w:val="Heading2"/>
      </w:pPr>
      <w:r>
        <w:t>2.5 Positioning dynamics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COTCrowdingUnwind</w:t>
            </w:r>
          </w:p>
        </w:tc>
        <w:tc>
          <w:tcPr>
            <w:tcW w:type="dxa" w:w="1900"/>
            <w:tcMar>
              <w:top w:w="80" w:type="dxa"/>
              <w:start w:w="120" w:type="dxa"/>
              <w:bottom w:w="80" w:type="dxa"/>
              <w:end w:w="120" w:type="dxa"/>
            </w:tcMar>
            <w:vAlign w:val="center"/>
          </w:tcPr>
          <w:p>
            <w:pPr>
              <w:spacing w:before="0" w:after="0" w:line="259" w:lineRule="auto"/>
            </w:pPr>
            <w:r>
              <w:rPr>
                <w:sz w:val="18"/>
              </w:rPr>
              <w:t>#2</w:t>
            </w:r>
          </w:p>
        </w:tc>
        <w:tc>
          <w:tcPr>
            <w:tcW w:type="dxa" w:w="4760"/>
            <w:tcMar>
              <w:top w:w="80" w:type="dxa"/>
              <w:start w:w="120" w:type="dxa"/>
              <w:bottom w:w="80" w:type="dxa"/>
              <w:end w:w="120" w:type="dxa"/>
            </w:tcMar>
            <w:vAlign w:val="center"/>
          </w:tcPr>
          <w:p>
            <w:pPr>
              <w:spacing w:before="0" w:after="0" w:line="259" w:lineRule="auto"/>
            </w:pPr>
            <w:r>
              <w:rPr>
                <w:sz w:val="18"/>
              </w:rPr>
              <w:t>A crowded position is present and beginning to unwind.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COTHedgerAccelBullish</w:t>
            </w:r>
          </w:p>
        </w:tc>
        <w:tc>
          <w:tcPr>
            <w:tcW w:type="dxa" w:w="1900"/>
            <w:tcMar>
              <w:top w:w="80" w:type="dxa"/>
              <w:start w:w="120" w:type="dxa"/>
              <w:bottom w:w="80" w:type="dxa"/>
              <w:end w:w="120" w:type="dxa"/>
            </w:tcMar>
            <w:vAlign w:val="center"/>
          </w:tcPr>
          <w:p>
            <w:pPr>
              <w:spacing w:before="0" w:after="0" w:line="259" w:lineRule="auto"/>
            </w:pPr>
            <w:r>
              <w:rPr>
                <w:sz w:val="18"/>
              </w:rPr>
              <w:t>#9</w:t>
            </w:r>
          </w:p>
        </w:tc>
        <w:tc>
          <w:tcPr>
            <w:tcW w:type="dxa" w:w="4760"/>
            <w:tcMar>
              <w:top w:w="80" w:type="dxa"/>
              <w:start w:w="120" w:type="dxa"/>
              <w:bottom w:w="80" w:type="dxa"/>
              <w:end w:w="120" w:type="dxa"/>
            </w:tcMar>
            <w:vAlign w:val="center"/>
          </w:tcPr>
          <w:p>
            <w:pPr>
              <w:spacing w:before="0" w:after="0" w:line="259" w:lineRule="auto"/>
            </w:pPr>
            <w:r>
              <w:rPr>
                <w:sz w:val="18"/>
              </w:rPr>
              <w:t>Recent hedger positioning improves relative to its structural baseline.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COTHedgerAccelBearish</w:t>
            </w:r>
          </w:p>
        </w:tc>
        <w:tc>
          <w:tcPr>
            <w:tcW w:type="dxa" w:w="1900"/>
            <w:tcMar>
              <w:top w:w="80" w:type="dxa"/>
              <w:start w:w="120" w:type="dxa"/>
              <w:bottom w:w="80" w:type="dxa"/>
              <w:end w:w="120" w:type="dxa"/>
            </w:tcMar>
            <w:vAlign w:val="center"/>
          </w:tcPr>
          <w:p>
            <w:pPr>
              <w:spacing w:before="0" w:after="0" w:line="259" w:lineRule="auto"/>
            </w:pPr>
            <w:r>
              <w:rPr>
                <w:sz w:val="18"/>
              </w:rPr>
              <w:t>#9</w:t>
            </w:r>
          </w:p>
        </w:tc>
        <w:tc>
          <w:tcPr>
            <w:tcW w:type="dxa" w:w="4760"/>
            <w:tcMar>
              <w:top w:w="80" w:type="dxa"/>
              <w:start w:w="120" w:type="dxa"/>
              <w:bottom w:w="80" w:type="dxa"/>
              <w:end w:w="120" w:type="dxa"/>
            </w:tcMar>
            <w:vAlign w:val="center"/>
          </w:tcPr>
          <w:p>
            <w:pPr>
              <w:spacing w:before="0" w:after="0" w:line="259" w:lineRule="auto"/>
            </w:pPr>
            <w:r>
              <w:rPr>
                <w:sz w:val="18"/>
              </w:rPr>
              <w:t>Recent hedger positioning deteriorates relative to its structural baseline.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COTAccumulationBullish</w:t>
            </w:r>
          </w:p>
        </w:tc>
        <w:tc>
          <w:tcPr>
            <w:tcW w:type="dxa" w:w="1900"/>
            <w:tcMar>
              <w:top w:w="80" w:type="dxa"/>
              <w:start w:w="120" w:type="dxa"/>
              <w:bottom w:w="80" w:type="dxa"/>
              <w:end w:w="120" w:type="dxa"/>
            </w:tcMar>
            <w:vAlign w:val="center"/>
          </w:tcPr>
          <w:p>
            <w:pPr>
              <w:spacing w:before="0" w:after="0" w:line="259" w:lineRule="auto"/>
            </w:pPr>
            <w:r>
              <w:rPr>
                <w:sz w:val="18"/>
              </w:rPr>
              <w:t>#17 / #31</w:t>
            </w:r>
          </w:p>
        </w:tc>
        <w:tc>
          <w:tcPr>
            <w:tcW w:type="dxa" w:w="4760"/>
            <w:tcMar>
              <w:top w:w="80" w:type="dxa"/>
              <w:start w:w="120" w:type="dxa"/>
              <w:bottom w:w="80" w:type="dxa"/>
              <w:end w:w="120" w:type="dxa"/>
            </w:tcMar>
            <w:vAlign w:val="center"/>
          </w:tcPr>
          <w:p>
            <w:pPr>
              <w:spacing w:before="0" w:after="0" w:line="259" w:lineRule="auto"/>
            </w:pPr>
            <w:r>
              <w:rPr>
                <w:sz w:val="18"/>
              </w:rPr>
              <w:t>Several COT observations show improving bullish hedger/speculator structure.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COTAccumulationBearish</w:t>
            </w:r>
          </w:p>
        </w:tc>
        <w:tc>
          <w:tcPr>
            <w:tcW w:type="dxa" w:w="1900"/>
            <w:tcMar>
              <w:top w:w="80" w:type="dxa"/>
              <w:start w:w="120" w:type="dxa"/>
              <w:bottom w:w="80" w:type="dxa"/>
              <w:end w:w="120" w:type="dxa"/>
            </w:tcMar>
            <w:vAlign w:val="center"/>
          </w:tcPr>
          <w:p>
            <w:pPr>
              <w:spacing w:before="0" w:after="0" w:line="259" w:lineRule="auto"/>
            </w:pPr>
            <w:r>
              <w:rPr>
                <w:sz w:val="18"/>
              </w:rPr>
              <w:t>#17 / #31</w:t>
            </w:r>
          </w:p>
        </w:tc>
        <w:tc>
          <w:tcPr>
            <w:tcW w:type="dxa" w:w="4760"/>
            <w:tcMar>
              <w:top w:w="80" w:type="dxa"/>
              <w:start w:w="120" w:type="dxa"/>
              <w:bottom w:w="80" w:type="dxa"/>
              <w:end w:w="120" w:type="dxa"/>
            </w:tcMar>
            <w:vAlign w:val="center"/>
          </w:tcPr>
          <w:p>
            <w:pPr>
              <w:spacing w:before="0" w:after="0" w:line="259" w:lineRule="auto"/>
            </w:pPr>
            <w:r>
              <w:rPr>
                <w:sz w:val="18"/>
              </w:rPr>
              <w:t>Several observations show improving bearish structure.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COTRocBullish</w:t>
            </w:r>
          </w:p>
        </w:tc>
        <w:tc>
          <w:tcPr>
            <w:tcW w:type="dxa" w:w="1900"/>
            <w:tcMar>
              <w:top w:w="80" w:type="dxa"/>
              <w:start w:w="120" w:type="dxa"/>
              <w:bottom w:w="80" w:type="dxa"/>
              <w:end w:w="120" w:type="dxa"/>
            </w:tcMar>
            <w:vAlign w:val="center"/>
          </w:tcPr>
          <w:p>
            <w:pPr>
              <w:spacing w:before="0" w:after="0" w:line="259" w:lineRule="auto"/>
            </w:pPr>
            <w:r>
              <w:rPr>
                <w:sz w:val="18"/>
              </w:rPr>
              <w:t>#22 / #27</w:t>
            </w:r>
          </w:p>
        </w:tc>
        <w:tc>
          <w:tcPr>
            <w:tcW w:type="dxa" w:w="4760"/>
            <w:tcMar>
              <w:top w:w="80" w:type="dxa"/>
              <w:start w:w="120" w:type="dxa"/>
              <w:bottom w:w="80" w:type="dxa"/>
              <w:end w:w="120" w:type="dxa"/>
            </w:tcMar>
            <w:vAlign w:val="center"/>
          </w:tcPr>
          <w:p>
            <w:pPr>
              <w:spacing w:before="0" w:after="0" w:line="259" w:lineRule="auto"/>
            </w:pPr>
            <w:r>
              <w:rPr>
                <w:sz w:val="18"/>
              </w:rPr>
              <w:t>Hedger-speculator spread rate of change exceeds the bullish threshold.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COTRocBearish</w:t>
            </w:r>
          </w:p>
        </w:tc>
        <w:tc>
          <w:tcPr>
            <w:tcW w:type="dxa" w:w="1900"/>
            <w:tcMar>
              <w:top w:w="80" w:type="dxa"/>
              <w:start w:w="120" w:type="dxa"/>
              <w:bottom w:w="80" w:type="dxa"/>
              <w:end w:w="120" w:type="dxa"/>
            </w:tcMar>
            <w:vAlign w:val="center"/>
          </w:tcPr>
          <w:p>
            <w:pPr>
              <w:spacing w:before="0" w:after="0" w:line="259" w:lineRule="auto"/>
            </w:pPr>
            <w:r>
              <w:rPr>
                <w:sz w:val="18"/>
              </w:rPr>
              <w:t>#22 / #27</w:t>
            </w:r>
          </w:p>
        </w:tc>
        <w:tc>
          <w:tcPr>
            <w:tcW w:type="dxa" w:w="4760"/>
            <w:tcMar>
              <w:top w:w="80" w:type="dxa"/>
              <w:start w:w="120" w:type="dxa"/>
              <w:bottom w:w="80" w:type="dxa"/>
              <w:end w:w="120" w:type="dxa"/>
            </w:tcMar>
            <w:vAlign w:val="center"/>
          </w:tcPr>
          <w:p>
            <w:pPr>
              <w:spacing w:before="0" w:after="0" w:line="259" w:lineRule="auto"/>
            </w:pPr>
            <w:r>
              <w:rPr>
                <w:sz w:val="18"/>
              </w:rPr>
              <w:t>Spread rate of change exceeds the bearish threshold.</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COTMomentumRevBullish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COT momentum changes from bearish to bullish.</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COTMomentumRevBearish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COT momentum changes from bullish to bearish.</w:t>
            </w:r>
          </w:p>
        </w:tc>
      </w:tr>
    </w:tbl>
    <w:p>
      <w:pPr>
        <w:spacing w:after="20"/>
      </w:pPr>
    </w:p>
    <w:p>
      <w:pPr>
        <w:pStyle w:val="Heading2"/>
      </w:pPr>
      <w:r>
        <w:t>2.6 Spread and statistical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COTConvergence</w:t>
            </w:r>
          </w:p>
        </w:tc>
        <w:tc>
          <w:tcPr>
            <w:tcW w:type="dxa" w:w="1900"/>
            <w:tcMar>
              <w:top w:w="80" w:type="dxa"/>
              <w:start w:w="120" w:type="dxa"/>
              <w:bottom w:w="80" w:type="dxa"/>
              <w:end w:w="120" w:type="dxa"/>
            </w:tcMar>
            <w:vAlign w:val="center"/>
          </w:tcPr>
          <w:p>
            <w:pPr>
              <w:spacing w:before="0" w:after="0" w:line="259" w:lineRule="auto"/>
            </w:pPr>
            <w:r>
              <w:rPr>
                <w:sz w:val="18"/>
              </w:rPr>
              <w:t>#20 / #28</w:t>
            </w:r>
          </w:p>
        </w:tc>
        <w:tc>
          <w:tcPr>
            <w:tcW w:type="dxa" w:w="4760"/>
            <w:tcMar>
              <w:top w:w="80" w:type="dxa"/>
              <w:start w:w="120" w:type="dxa"/>
              <w:bottom w:w="80" w:type="dxa"/>
              <w:end w:w="120" w:type="dxa"/>
            </w:tcMar>
            <w:vAlign w:val="center"/>
          </w:tcPr>
          <w:p>
            <w:pPr>
              <w:spacing w:before="0" w:after="0" w:line="259" w:lineRule="auto"/>
            </w:pPr>
            <w:r>
              <w:rPr>
                <w:sz w:val="18"/>
              </w:rPr>
              <w:t>Hedger and speculator divergence is narrowing; use as normalization or exit context.</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COTSpreadZScoreBullish</w:t>
            </w:r>
          </w:p>
        </w:tc>
        <w:tc>
          <w:tcPr>
            <w:tcW w:type="dxa" w:w="1900"/>
            <w:tcMar>
              <w:top w:w="80" w:type="dxa"/>
              <w:start w:w="120" w:type="dxa"/>
              <w:bottom w:w="80" w:type="dxa"/>
              <w:end w:w="120" w:type="dxa"/>
            </w:tcMar>
            <w:vAlign w:val="center"/>
          </w:tcPr>
          <w:p>
            <w:pPr>
              <w:spacing w:before="0" w:after="0" w:line="259" w:lineRule="auto"/>
            </w:pPr>
            <w:r>
              <w:rPr>
                <w:sz w:val="18"/>
              </w:rPr>
              <w:t>#30</w:t>
            </w:r>
          </w:p>
        </w:tc>
        <w:tc>
          <w:tcPr>
            <w:tcW w:type="dxa" w:w="4760"/>
            <w:tcMar>
              <w:top w:w="80" w:type="dxa"/>
              <w:start w:w="120" w:type="dxa"/>
              <w:bottom w:w="80" w:type="dxa"/>
              <w:end w:w="120" w:type="dxa"/>
            </w:tcMar>
            <w:vAlign w:val="center"/>
          </w:tcPr>
          <w:p>
            <w:pPr>
              <w:spacing w:before="0" w:after="0" w:line="259" w:lineRule="auto"/>
            </w:pPr>
            <w:r>
              <w:rPr>
                <w:sz w:val="18"/>
              </w:rPr>
              <w:t>Hedger-spec spread is statistically high relative to its own distribution.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COTSpreadZScoreBearish</w:t>
            </w:r>
          </w:p>
        </w:tc>
        <w:tc>
          <w:tcPr>
            <w:tcW w:type="dxa" w:w="1900"/>
            <w:tcMar>
              <w:top w:w="80" w:type="dxa"/>
              <w:start w:w="120" w:type="dxa"/>
              <w:bottom w:w="80" w:type="dxa"/>
              <w:end w:w="120" w:type="dxa"/>
            </w:tcMar>
            <w:vAlign w:val="center"/>
          </w:tcPr>
          <w:p>
            <w:pPr>
              <w:spacing w:before="0" w:after="0" w:line="259" w:lineRule="auto"/>
            </w:pPr>
            <w:r>
              <w:rPr>
                <w:sz w:val="18"/>
              </w:rPr>
              <w:t>#30</w:t>
            </w:r>
          </w:p>
        </w:tc>
        <w:tc>
          <w:tcPr>
            <w:tcW w:type="dxa" w:w="4760"/>
            <w:tcMar>
              <w:top w:w="80" w:type="dxa"/>
              <w:start w:w="120" w:type="dxa"/>
              <w:bottom w:w="80" w:type="dxa"/>
              <w:end w:w="120" w:type="dxa"/>
            </w:tcMar>
            <w:vAlign w:val="center"/>
          </w:tcPr>
          <w:p>
            <w:pPr>
              <w:spacing w:before="0" w:after="0" w:line="259" w:lineRule="auto"/>
            </w:pPr>
            <w:r>
              <w:rPr>
                <w:sz w:val="18"/>
              </w:rPr>
              <w:t>Hedger-spec spread is statistically low relative to its own distribution.</w:t>
            </w:r>
          </w:p>
        </w:tc>
      </w:tr>
    </w:tbl>
    <w:p>
      <w:pPr>
        <w:spacing w:after="20"/>
      </w:pPr>
    </w:p>
    <w:p>
      <w:pPr>
        <w:pStyle w:val="Heading2"/>
      </w:pPr>
      <w:r>
        <w:t>2.7 Multi-horizon and regime signals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COT52vs156ShiftBullish</w:t>
            </w:r>
          </w:p>
        </w:tc>
        <w:tc>
          <w:tcPr>
            <w:tcW w:type="dxa" w:w="1900"/>
            <w:tcMar>
              <w:top w:w="80" w:type="dxa"/>
              <w:start w:w="120" w:type="dxa"/>
              <w:bottom w:w="80" w:type="dxa"/>
              <w:end w:w="120" w:type="dxa"/>
            </w:tcMar>
            <w:vAlign w:val="center"/>
          </w:tcPr>
          <w:p>
            <w:pPr>
              <w:spacing w:before="0" w:after="0" w:line="259" w:lineRule="auto"/>
            </w:pPr>
            <w:r>
              <w:rPr>
                <w:sz w:val="18"/>
              </w:rPr>
              <w:t>#3</w:t>
            </w:r>
          </w:p>
        </w:tc>
        <w:tc>
          <w:tcPr>
            <w:tcW w:type="dxa" w:w="4760"/>
            <w:tcMar>
              <w:top w:w="80" w:type="dxa"/>
              <w:start w:w="120" w:type="dxa"/>
              <w:bottom w:w="80" w:type="dxa"/>
              <w:end w:w="120" w:type="dxa"/>
            </w:tcMar>
            <w:vAlign w:val="center"/>
          </w:tcPr>
          <w:p>
            <w:pPr>
              <w:spacing w:before="0" w:after="0" w:line="259" w:lineRule="auto"/>
            </w:pPr>
            <w:r>
              <w:rPr>
                <w:sz w:val="18"/>
              </w:rPr>
              <w:t>The fast hedger index improves materially relative to the 156-week index.</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COT52vs156ShiftBearish</w:t>
            </w:r>
          </w:p>
        </w:tc>
        <w:tc>
          <w:tcPr>
            <w:tcW w:type="dxa" w:w="1900"/>
            <w:tcMar>
              <w:top w:w="80" w:type="dxa"/>
              <w:start w:w="120" w:type="dxa"/>
              <w:bottom w:w="80" w:type="dxa"/>
              <w:end w:w="120" w:type="dxa"/>
            </w:tcMar>
            <w:vAlign w:val="center"/>
          </w:tcPr>
          <w:p>
            <w:pPr>
              <w:spacing w:before="0" w:after="0" w:line="259" w:lineRule="auto"/>
            </w:pPr>
            <w:r>
              <w:rPr>
                <w:sz w:val="18"/>
              </w:rPr>
              <w:t>#3</w:t>
            </w:r>
          </w:p>
        </w:tc>
        <w:tc>
          <w:tcPr>
            <w:tcW w:type="dxa" w:w="4760"/>
            <w:tcMar>
              <w:top w:w="80" w:type="dxa"/>
              <w:start w:w="120" w:type="dxa"/>
              <w:bottom w:w="80" w:type="dxa"/>
              <w:end w:w="120" w:type="dxa"/>
            </w:tcMar>
            <w:vAlign w:val="center"/>
          </w:tcPr>
          <w:p>
            <w:pPr>
              <w:spacing w:before="0" w:after="0" w:line="259" w:lineRule="auto"/>
            </w:pPr>
            <w:r>
              <w:rPr>
                <w:sz w:val="18"/>
              </w:rPr>
              <w:t>The fast hedger index deteriorates materially relative to the 156-week index.</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COTMultiWindowBullish</w:t>
            </w:r>
          </w:p>
        </w:tc>
        <w:tc>
          <w:tcPr>
            <w:tcW w:type="dxa" w:w="1900"/>
            <w:tcMar>
              <w:top w:w="80" w:type="dxa"/>
              <w:start w:w="120" w:type="dxa"/>
              <w:bottom w:w="80" w:type="dxa"/>
              <w:end w:w="120" w:type="dxa"/>
            </w:tcMar>
            <w:vAlign w:val="center"/>
          </w:tcPr>
          <w:p>
            <w:pPr>
              <w:spacing w:before="0" w:after="0" w:line="259" w:lineRule="auto"/>
            </w:pPr>
            <w:r>
              <w:rPr>
                <w:sz w:val="18"/>
              </w:rPr>
              <w:t>#1 / #19</w:t>
            </w:r>
          </w:p>
        </w:tc>
        <w:tc>
          <w:tcPr>
            <w:tcW w:type="dxa" w:w="4760"/>
            <w:tcMar>
              <w:top w:w="80" w:type="dxa"/>
              <w:start w:w="120" w:type="dxa"/>
              <w:bottom w:w="80" w:type="dxa"/>
              <w:end w:w="120" w:type="dxa"/>
            </w:tcMar>
            <w:vAlign w:val="center"/>
          </w:tcPr>
          <w:p>
            <w:pPr>
              <w:spacing w:before="0" w:after="0" w:line="259" w:lineRule="auto"/>
            </w:pPr>
            <w:r>
              <w:rPr>
                <w:sz w:val="18"/>
              </w:rPr>
              <w:t>Both 52-week and 156-week views confirm a bullish configuration.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COTMultiWindowBearish</w:t>
            </w:r>
          </w:p>
        </w:tc>
        <w:tc>
          <w:tcPr>
            <w:tcW w:type="dxa" w:w="1900"/>
            <w:tcMar>
              <w:top w:w="80" w:type="dxa"/>
              <w:start w:w="120" w:type="dxa"/>
              <w:bottom w:w="80" w:type="dxa"/>
              <w:end w:w="120" w:type="dxa"/>
            </w:tcMar>
            <w:vAlign w:val="center"/>
          </w:tcPr>
          <w:p>
            <w:pPr>
              <w:spacing w:before="0" w:after="0" w:line="259" w:lineRule="auto"/>
            </w:pPr>
            <w:r>
              <w:rPr>
                <w:sz w:val="18"/>
              </w:rPr>
              <w:t>#1 / #19</w:t>
            </w:r>
          </w:p>
        </w:tc>
        <w:tc>
          <w:tcPr>
            <w:tcW w:type="dxa" w:w="4760"/>
            <w:tcMar>
              <w:top w:w="80" w:type="dxa"/>
              <w:start w:w="120" w:type="dxa"/>
              <w:bottom w:w="80" w:type="dxa"/>
              <w:end w:w="120" w:type="dxa"/>
            </w:tcMar>
            <w:vAlign w:val="center"/>
          </w:tcPr>
          <w:p>
            <w:pPr>
              <w:spacing w:before="0" w:after="0" w:line="259" w:lineRule="auto"/>
            </w:pPr>
            <w:r>
              <w:rPr>
                <w:sz w:val="18"/>
              </w:rPr>
              <w:t>Both windows confirm a bearish configuration.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COTRegimeShiftBullish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A formerly bearish score moves above the selected bullish 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COTRegimeShiftBearish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A formerly bullish score moves below the selected bearish 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COTSeasonalBullish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Current hedger CPI is above its comparable week-of-year reference.</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COTSeasonalBearish</w:t>
            </w:r>
          </w:p>
        </w:tc>
        <w:tc>
          <w:tcPr>
            <w:tcW w:type="dxa" w:w="1900"/>
            <w:tcMar>
              <w:top w:w="80" w:type="dxa"/>
              <w:start w:w="120" w:type="dxa"/>
              <w:bottom w:w="80" w:type="dxa"/>
              <w:end w:w="120" w:type="dxa"/>
            </w:tcMar>
            <w:vAlign w:val="center"/>
          </w:tcPr>
          <w:p>
            <w:pPr>
              <w:spacing w:before="0" w:after="0" w:line="259" w:lineRule="auto"/>
            </w:pPr>
            <w:r>
              <w:rPr>
                <w:sz w:val="18"/>
              </w:rPr>
              <w:t>Extension</w:t>
            </w:r>
          </w:p>
        </w:tc>
        <w:tc>
          <w:tcPr>
            <w:tcW w:type="dxa" w:w="4760"/>
            <w:tcMar>
              <w:top w:w="80" w:type="dxa"/>
              <w:start w:w="120" w:type="dxa"/>
              <w:bottom w:w="80" w:type="dxa"/>
              <w:end w:w="120" w:type="dxa"/>
            </w:tcMar>
            <w:vAlign w:val="center"/>
          </w:tcPr>
          <w:p>
            <w:pPr>
              <w:spacing w:before="0" w:after="0" w:line="259" w:lineRule="auto"/>
            </w:pPr>
            <w:r>
              <w:rPr>
                <w:sz w:val="18"/>
              </w:rPr>
              <w:t>Current hedger CPI is below its comparable week-of-year reference.</w:t>
            </w:r>
          </w:p>
        </w:tc>
      </w:tr>
    </w:tbl>
    <w:p>
      <w:pPr>
        <w:spacing w:after="20"/>
      </w:pPr>
    </w:p>
    <w:p>
      <w:pPr>
        <w:pStyle w:val="Heading2"/>
      </w:pPr>
      <w:r>
        <w:t>2.8 Structural patterns</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COTHigherLow</w:t>
            </w:r>
          </w:p>
        </w:tc>
        <w:tc>
          <w:tcPr>
            <w:tcW w:type="dxa" w:w="1900"/>
            <w:tcMar>
              <w:top w:w="80" w:type="dxa"/>
              <w:start w:w="120" w:type="dxa"/>
              <w:bottom w:w="80" w:type="dxa"/>
              <w:end w:w="120" w:type="dxa"/>
            </w:tcMar>
            <w:vAlign w:val="center"/>
          </w:tcPr>
          <w:p>
            <w:pPr>
              <w:spacing w:before="0" w:after="0" w:line="259" w:lineRule="auto"/>
            </w:pPr>
            <w:r>
              <w:rPr>
                <w:sz w:val="18"/>
              </w:rPr>
              <w:t>#15 / #32</w:t>
            </w:r>
          </w:p>
        </w:tc>
        <w:tc>
          <w:tcPr>
            <w:tcW w:type="dxa" w:w="4760"/>
            <w:tcMar>
              <w:top w:w="80" w:type="dxa"/>
              <w:start w:w="120" w:type="dxa"/>
              <w:bottom w:w="80" w:type="dxa"/>
              <w:end w:w="120" w:type="dxa"/>
            </w:tcMar>
            <w:vAlign w:val="center"/>
          </w:tcPr>
          <w:p>
            <w:pPr>
              <w:spacing w:before="0" w:after="0" w:line="259" w:lineRule="auto"/>
            </w:pPr>
            <w:r>
              <w:rPr>
                <w:sz w:val="18"/>
              </w:rPr>
              <w:t>Selected COT measure forms a higher low.</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COTLowerHigh</w:t>
            </w:r>
          </w:p>
        </w:tc>
        <w:tc>
          <w:tcPr>
            <w:tcW w:type="dxa" w:w="1900"/>
            <w:tcMar>
              <w:top w:w="80" w:type="dxa"/>
              <w:start w:w="120" w:type="dxa"/>
              <w:bottom w:w="80" w:type="dxa"/>
              <w:end w:w="120" w:type="dxa"/>
            </w:tcMar>
            <w:vAlign w:val="center"/>
          </w:tcPr>
          <w:p>
            <w:pPr>
              <w:spacing w:before="0" w:after="0" w:line="259" w:lineRule="auto"/>
            </w:pPr>
            <w:r>
              <w:rPr>
                <w:sz w:val="18"/>
              </w:rPr>
              <w:t>#15 / #32</w:t>
            </w:r>
          </w:p>
        </w:tc>
        <w:tc>
          <w:tcPr>
            <w:tcW w:type="dxa" w:w="4760"/>
            <w:tcMar>
              <w:top w:w="80" w:type="dxa"/>
              <w:start w:w="120" w:type="dxa"/>
              <w:bottom w:w="80" w:type="dxa"/>
              <w:end w:w="120" w:type="dxa"/>
            </w:tcMar>
            <w:vAlign w:val="center"/>
          </w:tcPr>
          <w:p>
            <w:pPr>
              <w:spacing w:before="0" w:after="0" w:line="259" w:lineRule="auto"/>
            </w:pPr>
            <w:r>
              <w:rPr>
                <w:sz w:val="18"/>
              </w:rPr>
              <w:t>Selected COT measure forms a lower high.</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COTHedgerDivConfBullish</w:t>
            </w:r>
          </w:p>
        </w:tc>
        <w:tc>
          <w:tcPr>
            <w:tcW w:type="dxa" w:w="1900"/>
            <w:tcMar>
              <w:top w:w="80" w:type="dxa"/>
              <w:start w:w="120" w:type="dxa"/>
              <w:bottom w:w="80" w:type="dxa"/>
              <w:end w:w="120" w:type="dxa"/>
            </w:tcMar>
            <w:vAlign w:val="center"/>
          </w:tcPr>
          <w:p>
            <w:pPr>
              <w:spacing w:before="0" w:after="0" w:line="259" w:lineRule="auto"/>
            </w:pPr>
            <w:r>
              <w:rPr>
                <w:sz w:val="18"/>
              </w:rPr>
              <w:t>Extension of #15 / #31</w:t>
            </w:r>
          </w:p>
        </w:tc>
        <w:tc>
          <w:tcPr>
            <w:tcW w:type="dxa" w:w="4760"/>
            <w:tcMar>
              <w:top w:w="80" w:type="dxa"/>
              <w:start w:w="120" w:type="dxa"/>
              <w:bottom w:w="80" w:type="dxa"/>
              <w:end w:w="120" w:type="dxa"/>
            </w:tcMar>
            <w:vAlign w:val="center"/>
          </w:tcPr>
          <w:p>
            <w:pPr>
              <w:spacing w:before="0" w:after="0" w:line="259" w:lineRule="auto"/>
            </w:pPr>
            <w:r>
              <w:rPr>
                <w:sz w:val="18"/>
              </w:rPr>
              <w:t>Bullish hedger-positioning divergence receives price confirmation.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COTHedgerDivConfBearish</w:t>
            </w:r>
          </w:p>
        </w:tc>
        <w:tc>
          <w:tcPr>
            <w:tcW w:type="dxa" w:w="1900"/>
            <w:tcMar>
              <w:top w:w="80" w:type="dxa"/>
              <w:start w:w="120" w:type="dxa"/>
              <w:bottom w:w="80" w:type="dxa"/>
              <w:end w:w="120" w:type="dxa"/>
            </w:tcMar>
            <w:vAlign w:val="center"/>
          </w:tcPr>
          <w:p>
            <w:pPr>
              <w:spacing w:before="0" w:after="0" w:line="259" w:lineRule="auto"/>
            </w:pPr>
            <w:r>
              <w:rPr>
                <w:sz w:val="18"/>
              </w:rPr>
              <w:t>Extension of #15 / #31</w:t>
            </w:r>
          </w:p>
        </w:tc>
        <w:tc>
          <w:tcPr>
            <w:tcW w:type="dxa" w:w="4760"/>
            <w:tcMar>
              <w:top w:w="80" w:type="dxa"/>
              <w:start w:w="120" w:type="dxa"/>
              <w:bottom w:w="80" w:type="dxa"/>
              <w:end w:w="120" w:type="dxa"/>
            </w:tcMar>
            <w:vAlign w:val="center"/>
          </w:tcPr>
          <w:p>
            <w:pPr>
              <w:spacing w:before="0" w:after="0" w:line="259" w:lineRule="auto"/>
            </w:pPr>
            <w:r>
              <w:rPr>
                <w:sz w:val="18"/>
              </w:rPr>
              <w:t>Mirror bearish divergence confirmation.</w:t>
            </w:r>
          </w:p>
        </w:tc>
      </w:tr>
    </w:tbl>
    <w:p>
      <w:pPr>
        <w:spacing w:after="20"/>
      </w:pPr>
    </w:p>
    <w:p>
      <w:pPr>
        <w:pStyle w:val="Heading2"/>
      </w:pPr>
      <w:r>
        <w:t>2.9 Neutral-zone filter</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COTNeutralZone</w:t>
            </w:r>
          </w:p>
        </w:tc>
        <w:tc>
          <w:tcPr>
            <w:tcW w:type="dxa" w:w="1900"/>
            <w:tcMar>
              <w:top w:w="80" w:type="dxa"/>
              <w:start w:w="120" w:type="dxa"/>
              <w:bottom w:w="80" w:type="dxa"/>
              <w:end w:w="120" w:type="dxa"/>
            </w:tcMar>
            <w:vAlign w:val="center"/>
          </w:tcPr>
          <w:p>
            <w:pPr>
              <w:spacing w:before="0" w:after="0" w:line="259" w:lineRule="auto"/>
            </w:pPr>
            <w:r>
              <w:rPr>
                <w:sz w:val="18"/>
              </w:rPr>
              <w:t>Derived filter</w:t>
            </w:r>
          </w:p>
        </w:tc>
        <w:tc>
          <w:tcPr>
            <w:tcW w:type="dxa" w:w="4760"/>
            <w:tcMar>
              <w:top w:w="80" w:type="dxa"/>
              <w:start w:w="120" w:type="dxa"/>
              <w:bottom w:w="80" w:type="dxa"/>
              <w:end w:w="120" w:type="dxa"/>
            </w:tcMar>
            <w:vAlign w:val="center"/>
          </w:tcPr>
          <w:p>
            <w:pPr>
              <w:spacing w:before="0" w:after="0" w:line="259" w:lineRule="auto"/>
            </w:pPr>
            <w:r>
              <w:rPr>
                <w:sz w:val="18"/>
              </w:rPr>
              <w:t>Absolute Composite Score is below NeutralBand. Use primarily to suppress trades or identify low-information regimes.</w:t>
            </w:r>
          </w:p>
        </w:tc>
      </w:tr>
    </w:tbl>
    <w:p>
      <w:pPr>
        <w:spacing w:after="20"/>
      </w:pPr>
    </w:p>
    <w:p>
      <w:pPr>
        <w:pStyle w:val="Heading2"/>
      </w:pPr>
      <w:r>
        <w:t>2.10 VIX proxy signals</w:t>
      </w:r>
    </w:p>
    <w:p>
      <w:pPr>
        <w:keepLines w:val="0"/>
      </w:pPr>
      <w:r>
        <w:rPr>
          <w:i w:val="0"/>
        </w:rPr>
        <w:t>These blocks use VX COT as a cross-market input for ES, NQ, YM, or RTY research. Direct index COT may be regime-dependent, but VX COT was also described as a relatively weak series. Therefore, the proxy direction and stability must be validated out of sample; it should not be presented as proven to be more predictive.</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research</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COTVixProxyBullish</w:t>
            </w:r>
          </w:p>
        </w:tc>
        <w:tc>
          <w:tcPr>
            <w:tcW w:type="dxa" w:w="1900"/>
            <w:tcMar>
              <w:top w:w="80" w:type="dxa"/>
              <w:start w:w="120" w:type="dxa"/>
              <w:bottom w:w="80" w:type="dxa"/>
              <w:end w:w="120" w:type="dxa"/>
            </w:tcMar>
            <w:vAlign w:val="center"/>
          </w:tcPr>
          <w:p>
            <w:pPr>
              <w:spacing w:before="0" w:after="0" w:line="259" w:lineRule="auto"/>
            </w:pPr>
            <w:r>
              <w:rPr>
                <w:sz w:val="18"/>
              </w:rPr>
              <w:t>Cross-market hypothesis</w:t>
            </w:r>
          </w:p>
        </w:tc>
        <w:tc>
          <w:tcPr>
            <w:tcW w:type="dxa" w:w="4760"/>
            <w:tcMar>
              <w:top w:w="80" w:type="dxa"/>
              <w:start w:w="120" w:type="dxa"/>
              <w:bottom w:w="80" w:type="dxa"/>
              <w:end w:w="120" w:type="dxa"/>
            </w:tcMar>
            <w:vAlign w:val="center"/>
          </w:tcPr>
          <w:p>
            <w:pPr>
              <w:spacing w:before="0" w:after="0" w:line="259" w:lineRule="auto"/>
            </w:pPr>
            <w:r>
              <w:rPr>
                <w:sz w:val="18"/>
              </w:rPr>
              <w:t>Uses VX COT in the configured bullish-oriented proxy relationship for an equity-index strategy.</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COTVixProxyBearish</w:t>
            </w:r>
          </w:p>
        </w:tc>
        <w:tc>
          <w:tcPr>
            <w:tcW w:type="dxa" w:w="1900"/>
            <w:tcMar>
              <w:top w:w="80" w:type="dxa"/>
              <w:start w:w="120" w:type="dxa"/>
              <w:bottom w:w="80" w:type="dxa"/>
              <w:end w:w="120" w:type="dxa"/>
            </w:tcMar>
            <w:vAlign w:val="center"/>
          </w:tcPr>
          <w:p>
            <w:pPr>
              <w:spacing w:before="0" w:after="0" w:line="259" w:lineRule="auto"/>
            </w:pPr>
            <w:r>
              <w:rPr>
                <w:sz w:val="18"/>
              </w:rPr>
              <w:t>Cross-market hypothesis</w:t>
            </w:r>
          </w:p>
        </w:tc>
        <w:tc>
          <w:tcPr>
            <w:tcW w:type="dxa" w:w="4760"/>
            <w:tcMar>
              <w:top w:w="80" w:type="dxa"/>
              <w:start w:w="120" w:type="dxa"/>
              <w:bottom w:w="80" w:type="dxa"/>
              <w:end w:w="120" w:type="dxa"/>
            </w:tcMar>
            <w:vAlign w:val="center"/>
          </w:tcPr>
          <w:p>
            <w:pPr>
              <w:spacing w:before="0" w:after="0" w:line="259" w:lineRule="auto"/>
            </w:pPr>
            <w:r>
              <w:rPr>
                <w:sz w:val="18"/>
              </w:rPr>
              <w:t>Uses VX COT in the configured bearish-oriented proxy relationship.</w:t>
            </w:r>
          </w:p>
        </w:tc>
      </w:tr>
    </w:tbl>
    <w:p>
      <w:pPr>
        <w:spacing w:after="20"/>
      </w:pPr>
    </w:p>
    <w:p>
      <w:pPr>
        <w:pStyle w:val="Heading2"/>
      </w:pPr>
      <w:r>
        <w:t>2.11 Full-cycle signals</w:t>
      </w:r>
    </w:p>
    <w:p>
      <w:pPr>
        <w:keepLines w:val="0"/>
      </w:pPr>
      <w:r>
        <w:rPr>
          <w:i w:val="0"/>
        </w:rPr>
        <w:t>Initial long-side parameter grid: EntryLevel 0.10, 0.20, or 0.30; ExitLevel 0.60, 0.70, 0.80, or 0.90. These values are normalized 0-to-1 thresholds. Strategy 39 was negative in the initial 45-market standalone test.</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cantSplit/>
        </w:trPr>
        <w:tc>
          <w:tcPr>
            <w:tcW w:type="dxa" w:w="2700"/>
            <w:shd w:fill="E8EEF5"/>
            <w:tcMar>
              <w:top w:w="80" w:type="dxa"/>
              <w:start w:w="120" w:type="dxa"/>
              <w:bottom w:w="80" w:type="dxa"/>
              <w:end w:w="120" w:type="dxa"/>
            </w:tcMar>
            <w:vAlign w:val="center"/>
          </w:tcPr>
          <w:p>
            <w:pPr>
              <w:spacing w:after="0" w:line="240" w:lineRule="auto"/>
            </w:pPr>
            <w:r>
              <w:rPr>
                <w:b/>
                <w:sz w:val="19"/>
              </w:rPr>
              <w:t>Block</w:t>
            </w:r>
          </w:p>
        </w:tc>
        <w:tc>
          <w:tcPr>
            <w:tcW w:type="dxa" w:w="1900"/>
            <w:shd w:fill="E8EEF5"/>
            <w:tcMar>
              <w:top w:w="80" w:type="dxa"/>
              <w:start w:w="120" w:type="dxa"/>
              <w:bottom w:w="80" w:type="dxa"/>
              <w:end w:w="120" w:type="dxa"/>
            </w:tcMar>
            <w:vAlign w:val="center"/>
          </w:tcPr>
          <w:p>
            <w:pPr>
              <w:spacing w:after="0" w:line="240" w:lineRule="auto"/>
            </w:pPr>
            <w:r>
              <w:rPr>
                <w:b/>
                <w:sz w:val="19"/>
              </w:rPr>
              <w:t>Related v8 concept</w:t>
            </w:r>
          </w:p>
        </w:tc>
        <w:tc>
          <w:tcPr>
            <w:tcW w:type="dxa" w:w="4760"/>
            <w:shd w:fill="E8EEF5"/>
            <w:tcMar>
              <w:top w:w="80" w:type="dxa"/>
              <w:start w:w="120" w:type="dxa"/>
              <w:bottom w:w="80" w:type="dxa"/>
              <w:end w:w="120" w:type="dxa"/>
            </w:tcMar>
            <w:vAlign w:val="center"/>
          </w:tcPr>
          <w:p>
            <w:pPr>
              <w:spacing w:after="0" w:line="240" w:lineRule="auto"/>
            </w:pPr>
            <w:r>
              <w:rPr>
                <w:b/>
                <w:sz w:val="19"/>
              </w:rPr>
              <w:t>Signal meaning</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COTFullCycleLong</w:t>
            </w:r>
          </w:p>
        </w:tc>
        <w:tc>
          <w:tcPr>
            <w:tcW w:type="dxa" w:w="1900"/>
            <w:tcMar>
              <w:top w:w="80" w:type="dxa"/>
              <w:start w:w="120" w:type="dxa"/>
              <w:bottom w:w="80" w:type="dxa"/>
              <w:end w:w="120" w:type="dxa"/>
            </w:tcMar>
            <w:vAlign w:val="center"/>
          </w:tcPr>
          <w:p>
            <w:pPr>
              <w:spacing w:before="0" w:after="0" w:line="259" w:lineRule="auto"/>
            </w:pPr>
            <w:r>
              <w:rPr>
                <w:sz w:val="18"/>
              </w:rPr>
              <w:t>#39</w:t>
            </w:r>
          </w:p>
        </w:tc>
        <w:tc>
          <w:tcPr>
            <w:tcW w:type="dxa" w:w="4760"/>
            <w:tcMar>
              <w:top w:w="80" w:type="dxa"/>
              <w:start w:w="120" w:type="dxa"/>
              <w:bottom w:w="80" w:type="dxa"/>
              <w:end w:w="120" w:type="dxa"/>
            </w:tcMar>
            <w:vAlign w:val="center"/>
          </w:tcPr>
          <w:p>
            <w:pPr>
              <w:spacing w:before="0" w:after="0" w:line="259" w:lineRule="auto"/>
            </w:pPr>
            <w:r>
              <w:rPr>
                <w:sz w:val="18"/>
              </w:rPr>
              <w:t>Selected COT index crosses upward through the long EntryLevel.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COTFullCycleShort</w:t>
            </w:r>
          </w:p>
        </w:tc>
        <w:tc>
          <w:tcPr>
            <w:tcW w:type="dxa" w:w="1900"/>
            <w:tcMar>
              <w:top w:w="80" w:type="dxa"/>
              <w:start w:w="120" w:type="dxa"/>
              <w:bottom w:w="80" w:type="dxa"/>
              <w:end w:w="120" w:type="dxa"/>
            </w:tcMar>
            <w:vAlign w:val="center"/>
          </w:tcPr>
          <w:p>
            <w:pPr>
              <w:spacing w:before="0" w:after="0" w:line="259" w:lineRule="auto"/>
            </w:pPr>
            <w:r>
              <w:rPr>
                <w:sz w:val="18"/>
              </w:rPr>
              <w:t>#39 extension</w:t>
            </w:r>
          </w:p>
        </w:tc>
        <w:tc>
          <w:tcPr>
            <w:tcW w:type="dxa" w:w="4760"/>
            <w:tcMar>
              <w:top w:w="80" w:type="dxa"/>
              <w:start w:w="120" w:type="dxa"/>
              <w:bottom w:w="80" w:type="dxa"/>
              <w:end w:w="120" w:type="dxa"/>
            </w:tcMar>
            <w:vAlign w:val="center"/>
          </w:tcPr>
          <w:p>
            <w:pPr>
              <w:spacing w:before="0" w:after="0" w:line="259" w:lineRule="auto"/>
            </w:pPr>
            <w:r>
              <w:rPr>
                <w:sz w:val="18"/>
              </w:rPr>
              <w:t>Selected COT index crosses downward through the short EntryLevel.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COTFullCycleExitLong</w:t>
            </w:r>
          </w:p>
        </w:tc>
        <w:tc>
          <w:tcPr>
            <w:tcW w:type="dxa" w:w="1900"/>
            <w:tcMar>
              <w:top w:w="80" w:type="dxa"/>
              <w:start w:w="120" w:type="dxa"/>
              <w:bottom w:w="80" w:type="dxa"/>
              <w:end w:w="120" w:type="dxa"/>
            </w:tcMar>
            <w:vAlign w:val="center"/>
          </w:tcPr>
          <w:p>
            <w:pPr>
              <w:spacing w:before="0" w:after="0" w:line="259" w:lineRule="auto"/>
            </w:pPr>
            <w:r>
              <w:rPr>
                <w:sz w:val="18"/>
              </w:rPr>
              <w:t>#39</w:t>
            </w:r>
          </w:p>
        </w:tc>
        <w:tc>
          <w:tcPr>
            <w:tcW w:type="dxa" w:w="4760"/>
            <w:tcMar>
              <w:top w:w="80" w:type="dxa"/>
              <w:start w:w="120" w:type="dxa"/>
              <w:bottom w:w="80" w:type="dxa"/>
              <w:end w:w="120" w:type="dxa"/>
            </w:tcMar>
            <w:vAlign w:val="center"/>
          </w:tcPr>
          <w:p>
            <w:pPr>
              <w:spacing w:before="0" w:after="0" w:line="259" w:lineRule="auto"/>
            </w:pPr>
            <w:r>
              <w:rPr>
                <w:sz w:val="18"/>
              </w:rPr>
              <w:t>Selected COT index reaches the configured long ExitLevel; close the position.</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COTFullCycleExitShort</w:t>
            </w:r>
          </w:p>
        </w:tc>
        <w:tc>
          <w:tcPr>
            <w:tcW w:type="dxa" w:w="1900"/>
            <w:tcMar>
              <w:top w:w="80" w:type="dxa"/>
              <w:start w:w="120" w:type="dxa"/>
              <w:bottom w:w="80" w:type="dxa"/>
              <w:end w:w="120" w:type="dxa"/>
            </w:tcMar>
            <w:vAlign w:val="center"/>
          </w:tcPr>
          <w:p>
            <w:pPr>
              <w:spacing w:before="0" w:after="0" w:line="259" w:lineRule="auto"/>
            </w:pPr>
            <w:r>
              <w:rPr>
                <w:sz w:val="18"/>
              </w:rPr>
              <w:t>#39 extension</w:t>
            </w:r>
          </w:p>
        </w:tc>
        <w:tc>
          <w:tcPr>
            <w:tcW w:type="dxa" w:w="4760"/>
            <w:tcMar>
              <w:top w:w="80" w:type="dxa"/>
              <w:start w:w="120" w:type="dxa"/>
              <w:bottom w:w="80" w:type="dxa"/>
              <w:end w:w="120" w:type="dxa"/>
            </w:tcMar>
            <w:vAlign w:val="center"/>
          </w:tcPr>
          <w:p>
            <w:pPr>
              <w:spacing w:before="0" w:after="0" w:line="259" w:lineRule="auto"/>
            </w:pPr>
            <w:r>
              <w:rPr>
                <w:sz w:val="18"/>
              </w:rPr>
              <w:t>Selected COT index reaches the configured short ExitLevel.</w:t>
            </w:r>
          </w:p>
        </w:tc>
      </w:tr>
      <w:tr>
        <w:trPr>
          <w:cantSplit/>
        </w:trPr>
        <w:tc>
          <w:tcPr>
            <w:tcW w:type="dxa" w:w="2700"/>
            <w:tcMar>
              <w:top w:w="80" w:type="dxa"/>
              <w:start w:w="120" w:type="dxa"/>
              <w:bottom w:w="80" w:type="dxa"/>
              <w:end w:w="120" w:type="dxa"/>
            </w:tcMar>
            <w:vAlign w:val="center"/>
          </w:tcPr>
          <w:p>
            <w:pPr>
              <w:spacing w:before="0" w:after="0" w:line="259" w:lineRule="auto"/>
            </w:pPr>
            <w:r>
              <w:rPr>
                <w:sz w:val="18"/>
              </w:rPr>
              <w:t>COTEmergencyExitLong</w:t>
            </w:r>
          </w:p>
        </w:tc>
        <w:tc>
          <w:tcPr>
            <w:tcW w:type="dxa" w:w="1900"/>
            <w:tcMar>
              <w:top w:w="80" w:type="dxa"/>
              <w:start w:w="120" w:type="dxa"/>
              <w:bottom w:w="80" w:type="dxa"/>
              <w:end w:w="120" w:type="dxa"/>
            </w:tcMar>
            <w:vAlign w:val="center"/>
          </w:tcPr>
          <w:p>
            <w:pPr>
              <w:spacing w:before="0" w:after="0" w:line="259" w:lineRule="auto"/>
            </w:pPr>
            <w:r>
              <w:rPr>
                <w:sz w:val="18"/>
              </w:rPr>
              <w:t>#39</w:t>
            </w:r>
          </w:p>
        </w:tc>
        <w:tc>
          <w:tcPr>
            <w:tcW w:type="dxa" w:w="4760"/>
            <w:tcMar>
              <w:top w:w="80" w:type="dxa"/>
              <w:start w:w="120" w:type="dxa"/>
              <w:bottom w:w="80" w:type="dxa"/>
              <w:end w:w="120" w:type="dxa"/>
            </w:tcMar>
            <w:vAlign w:val="center"/>
          </w:tcPr>
          <w:p>
            <w:pPr>
              <w:spacing w:before="0" w:after="0" w:line="259" w:lineRule="auto"/>
            </w:pPr>
            <w:r>
              <w:rPr>
                <w:sz w:val="18"/>
              </w:rPr>
              <w:t>Weekly close is below the previous calendar month's low; emergency price-based risk exit.</w:t>
            </w:r>
          </w:p>
        </w:tc>
      </w:tr>
    </w:tbl>
    <w:p>
      <w:pPr>
        <w:spacing w:after="20"/>
      </w:pPr>
    </w:p>
    <w:p>
      <w:pPr>
        <w:keepLines/>
        <w:spacing w:before="120" w:after="160"/>
        <w:ind w:left="173" w:right="115"/>
        <w:shd w:fill="F4F6F9"/>
        <w:pBdr>
          <w:left w:val="single" w:sz="18" w:space="8" w:color="2E74B5"/>
        </w:pBdr>
      </w:pPr>
      <w:r>
        <w:rPr>
          <w:b/>
          <w:color w:val="1F4D78"/>
        </w:rPr>
        <w:t xml:space="preserve">Professional terminology: </w:t>
      </w:r>
      <w:r>
        <w:t>The block names COTSmartDumbBullish/Bearish are retained because they identify implemented blocks. In explanatory text, use “commercial versus non-reportable positioning”; small traders are not assumed to be systematically wrong.</w:t>
      </w:r>
    </w:p>
    <w:p>
      <w:pPr>
        <w:pStyle w:val="Heading1"/>
      </w:pPr>
      <w:r>
        <w:t>3. Strategy-to-Block Mapping</w:t>
      </w:r>
    </w:p>
    <w:p>
      <w:pPr>
        <w:keepLines w:val="0"/>
      </w:pPr>
      <w:r>
        <w:rPr>
          <w:i w:val="0"/>
        </w:rPr>
        <w:t>This table provides a compact lookup from the v8 research guide to the implemented SQX blocks. “Extension” means the block is an engineering or research variation rather than a direct one-to-one implementation of a named v8 strategy.</w:t>
      </w:r>
    </w:p>
    <w:tbl>
      <w:tblPr>
        <w:tblStyle w:val="TableGrid"/>
        <w:tblW w:type="dxa" w:w="9360"/>
        <w:jc w:val="left"/>
        <w:tblLayout w:type="fixed"/>
        <w:tblLook w:firstColumn="1" w:firstRow="1" w:lastColumn="0" w:lastRow="0" w:noHBand="0" w:noVBand="1" w:val="04A0"/>
        <w:tblInd w:w="120" w:type="dxa"/>
      </w:tblPr>
      <w:tblGrid>
        <w:gridCol w:w="1500"/>
        <w:gridCol w:w="3100"/>
        <w:gridCol w:w="4760"/>
      </w:tblGrid>
      <w:tr>
        <w:trPr>
          <w:tblHeader w:val="true"/>
          <w:cantSplit/>
        </w:trPr>
        <w:tc>
          <w:tcPr>
            <w:tcW w:type="dxa" w:w="1500"/>
            <w:shd w:fill="E8EEF5"/>
            <w:tcMar>
              <w:top w:w="80" w:type="dxa"/>
              <w:start w:w="120" w:type="dxa"/>
              <w:bottom w:w="80" w:type="dxa"/>
              <w:end w:w="120" w:type="dxa"/>
            </w:tcMar>
            <w:vAlign w:val="center"/>
          </w:tcPr>
          <w:p>
            <w:pPr>
              <w:spacing w:after="0" w:line="240" w:lineRule="auto"/>
            </w:pPr>
            <w:r>
              <w:rPr>
                <w:b/>
                <w:sz w:val="19"/>
              </w:rPr>
              <w:t>v8 strategy</w:t>
            </w:r>
          </w:p>
        </w:tc>
        <w:tc>
          <w:tcPr>
            <w:tcW w:type="dxa" w:w="3100"/>
            <w:shd w:fill="E8EEF5"/>
            <w:tcMar>
              <w:top w:w="80" w:type="dxa"/>
              <w:start w:w="120" w:type="dxa"/>
              <w:bottom w:w="80" w:type="dxa"/>
              <w:end w:w="120" w:type="dxa"/>
            </w:tcMar>
            <w:vAlign w:val="center"/>
          </w:tcPr>
          <w:p>
            <w:pPr>
              <w:spacing w:after="0" w:line="240" w:lineRule="auto"/>
            </w:pPr>
            <w:r>
              <w:rPr>
                <w:b/>
                <w:sz w:val="19"/>
              </w:rPr>
              <w:t>Concept</w:t>
            </w:r>
          </w:p>
        </w:tc>
        <w:tc>
          <w:tcPr>
            <w:tcW w:type="dxa" w:w="4760"/>
            <w:shd w:fill="E8EEF5"/>
            <w:tcMar>
              <w:top w:w="80" w:type="dxa"/>
              <w:start w:w="120" w:type="dxa"/>
              <w:bottom w:w="80" w:type="dxa"/>
              <w:end w:w="120" w:type="dxa"/>
            </w:tcMar>
            <w:vAlign w:val="center"/>
          </w:tcPr>
          <w:p>
            <w:pPr>
              <w:spacing w:after="0" w:line="240" w:lineRule="auto"/>
            </w:pPr>
            <w:r>
              <w:rPr>
                <w:b/>
                <w:sz w:val="19"/>
              </w:rPr>
              <w:t>SQX block(s)</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w:t>
            </w:r>
          </w:p>
        </w:tc>
        <w:tc>
          <w:tcPr>
            <w:tcW w:type="dxa" w:w="3100"/>
            <w:tcMar>
              <w:top w:w="80" w:type="dxa"/>
              <w:start w:w="120" w:type="dxa"/>
              <w:bottom w:w="80" w:type="dxa"/>
              <w:end w:w="120" w:type="dxa"/>
            </w:tcMar>
            <w:vAlign w:val="center"/>
          </w:tcPr>
          <w:p>
            <w:pPr>
              <w:spacing w:before="0" w:after="0" w:line="259" w:lineRule="auto"/>
            </w:pPr>
            <w:r>
              <w:rPr>
                <w:sz w:val="18"/>
              </w:rPr>
              <w:t>Hedger vs Speculator Extreme</w:t>
            </w:r>
          </w:p>
        </w:tc>
        <w:tc>
          <w:tcPr>
            <w:tcW w:type="dxa" w:w="4760"/>
            <w:tcMar>
              <w:top w:w="80" w:type="dxa"/>
              <w:start w:w="120" w:type="dxa"/>
              <w:bottom w:w="80" w:type="dxa"/>
              <w:end w:w="120" w:type="dxa"/>
            </w:tcMar>
            <w:vAlign w:val="center"/>
          </w:tcPr>
          <w:p>
            <w:pPr>
              <w:spacing w:before="0" w:after="0" w:line="259" w:lineRule="auto"/>
            </w:pPr>
            <w:r>
              <w:rPr>
                <w:sz w:val="18"/>
              </w:rPr>
              <w:t>COTBullishExtreme / COTBearishExtreme</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2</w:t>
            </w:r>
          </w:p>
        </w:tc>
        <w:tc>
          <w:tcPr>
            <w:tcW w:type="dxa" w:w="3100"/>
            <w:tcMar>
              <w:top w:w="80" w:type="dxa"/>
              <w:start w:w="120" w:type="dxa"/>
              <w:bottom w:w="80" w:type="dxa"/>
              <w:end w:w="120" w:type="dxa"/>
            </w:tcMar>
            <w:vAlign w:val="center"/>
          </w:tcPr>
          <w:p>
            <w:pPr>
              <w:spacing w:before="0" w:after="0" w:line="259" w:lineRule="auto"/>
            </w:pPr>
            <w:r>
              <w:rPr>
                <w:sz w:val="18"/>
              </w:rPr>
              <w:t>Crowding Unwind</w:t>
            </w:r>
          </w:p>
        </w:tc>
        <w:tc>
          <w:tcPr>
            <w:tcW w:type="dxa" w:w="4760"/>
            <w:tcMar>
              <w:top w:w="80" w:type="dxa"/>
              <w:start w:w="120" w:type="dxa"/>
              <w:bottom w:w="80" w:type="dxa"/>
              <w:end w:w="120" w:type="dxa"/>
            </w:tcMar>
            <w:vAlign w:val="center"/>
          </w:tcPr>
          <w:p>
            <w:pPr>
              <w:spacing w:before="0" w:after="0" w:line="259" w:lineRule="auto"/>
            </w:pPr>
            <w:r>
              <w:rPr>
                <w:sz w:val="18"/>
              </w:rPr>
              <w:t>COTCrowdingUnwind</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3</w:t>
            </w:r>
          </w:p>
        </w:tc>
        <w:tc>
          <w:tcPr>
            <w:tcW w:type="dxa" w:w="3100"/>
            <w:tcMar>
              <w:top w:w="80" w:type="dxa"/>
              <w:start w:w="120" w:type="dxa"/>
              <w:bottom w:w="80" w:type="dxa"/>
              <w:end w:w="120" w:type="dxa"/>
            </w:tcMar>
            <w:vAlign w:val="center"/>
          </w:tcPr>
          <w:p>
            <w:pPr>
              <w:spacing w:before="0" w:after="0" w:line="259" w:lineRule="auto"/>
            </w:pPr>
            <w:r>
              <w:rPr>
                <w:sz w:val="18"/>
              </w:rPr>
              <w:t>52w vs 156w Positioning Shift</w:t>
            </w:r>
          </w:p>
        </w:tc>
        <w:tc>
          <w:tcPr>
            <w:tcW w:type="dxa" w:w="4760"/>
            <w:tcMar>
              <w:top w:w="80" w:type="dxa"/>
              <w:start w:w="120" w:type="dxa"/>
              <w:bottom w:w="80" w:type="dxa"/>
              <w:end w:w="120" w:type="dxa"/>
            </w:tcMar>
            <w:vAlign w:val="center"/>
          </w:tcPr>
          <w:p>
            <w:pPr>
              <w:spacing w:before="0" w:after="0" w:line="259" w:lineRule="auto"/>
            </w:pPr>
            <w:r>
              <w:rPr>
                <w:sz w:val="18"/>
              </w:rPr>
              <w:t>COT52vs156ShiftBullish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4 / 12</w:t>
            </w:r>
          </w:p>
        </w:tc>
        <w:tc>
          <w:tcPr>
            <w:tcW w:type="dxa" w:w="3100"/>
            <w:tcMar>
              <w:top w:w="80" w:type="dxa"/>
              <w:start w:w="120" w:type="dxa"/>
              <w:bottom w:w="80" w:type="dxa"/>
              <w:end w:w="120" w:type="dxa"/>
            </w:tcMar>
            <w:vAlign w:val="center"/>
          </w:tcPr>
          <w:p>
            <w:pPr>
              <w:spacing w:before="0" w:after="0" w:line="259" w:lineRule="auto"/>
            </w:pPr>
            <w:r>
              <w:rPr>
                <w:sz w:val="18"/>
              </w:rPr>
              <w:t>Speculator Trend Following</w:t>
            </w:r>
          </w:p>
        </w:tc>
        <w:tc>
          <w:tcPr>
            <w:tcW w:type="dxa" w:w="4760"/>
            <w:tcMar>
              <w:top w:w="80" w:type="dxa"/>
              <w:start w:w="120" w:type="dxa"/>
              <w:bottom w:w="80" w:type="dxa"/>
              <w:end w:w="120" w:type="dxa"/>
            </w:tcMar>
            <w:vAlign w:val="center"/>
          </w:tcPr>
          <w:p>
            <w:pPr>
              <w:spacing w:before="0" w:after="0" w:line="259" w:lineRule="auto"/>
            </w:pPr>
            <w:r>
              <w:rPr>
                <w:sz w:val="18"/>
              </w:rPr>
              <w:t>COTSpecTrendLong / Short</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5</w:t>
            </w:r>
          </w:p>
        </w:tc>
        <w:tc>
          <w:tcPr>
            <w:tcW w:type="dxa" w:w="3100"/>
            <w:tcMar>
              <w:top w:w="80" w:type="dxa"/>
              <w:start w:w="120" w:type="dxa"/>
              <w:bottom w:w="80" w:type="dxa"/>
              <w:end w:w="120" w:type="dxa"/>
            </w:tcMar>
            <w:vAlign w:val="center"/>
          </w:tcPr>
          <w:p>
            <w:pPr>
              <w:spacing w:before="0" w:after="0" w:line="259" w:lineRule="auto"/>
            </w:pPr>
            <w:r>
              <w:rPr>
                <w:sz w:val="18"/>
              </w:rPr>
              <w:t>Composite Score Regime</w:t>
            </w:r>
          </w:p>
        </w:tc>
        <w:tc>
          <w:tcPr>
            <w:tcW w:type="dxa" w:w="4760"/>
            <w:tcMar>
              <w:top w:w="80" w:type="dxa"/>
              <w:start w:w="120" w:type="dxa"/>
              <w:bottom w:w="80" w:type="dxa"/>
              <w:end w:w="120" w:type="dxa"/>
            </w:tcMar>
            <w:vAlign w:val="center"/>
          </w:tcPr>
          <w:p>
            <w:pPr>
              <w:spacing w:before="0" w:after="0" w:line="259" w:lineRule="auto"/>
            </w:pPr>
            <w:r>
              <w:rPr>
                <w:sz w:val="18"/>
              </w:rPr>
              <w:t>COTScoreAbove / COTScoreBelow</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6 / 24</w:t>
            </w:r>
          </w:p>
        </w:tc>
        <w:tc>
          <w:tcPr>
            <w:tcW w:type="dxa" w:w="3100"/>
            <w:tcMar>
              <w:top w:w="80" w:type="dxa"/>
              <w:start w:w="120" w:type="dxa"/>
              <w:bottom w:w="80" w:type="dxa"/>
              <w:end w:w="120" w:type="dxa"/>
            </w:tcMar>
            <w:vAlign w:val="center"/>
          </w:tcPr>
          <w:p>
            <w:pPr>
              <w:spacing w:before="0" w:after="0" w:line="259" w:lineRule="auto"/>
            </w:pPr>
            <w:r>
              <w:rPr>
                <w:sz w:val="18"/>
              </w:rPr>
              <w:t>Extreme Exit</w:t>
            </w:r>
          </w:p>
        </w:tc>
        <w:tc>
          <w:tcPr>
            <w:tcW w:type="dxa" w:w="4760"/>
            <w:tcMar>
              <w:top w:w="80" w:type="dxa"/>
              <w:start w:w="120" w:type="dxa"/>
              <w:bottom w:w="80" w:type="dxa"/>
              <w:end w:w="120" w:type="dxa"/>
            </w:tcMar>
            <w:vAlign w:val="center"/>
          </w:tcPr>
          <w:p>
            <w:pPr>
              <w:spacing w:before="0" w:after="0" w:line="259" w:lineRule="auto"/>
            </w:pPr>
            <w:r>
              <w:rPr>
                <w:sz w:val="18"/>
              </w:rPr>
              <w:t>COTExtremeExitBullish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7 / 23</w:t>
            </w:r>
          </w:p>
        </w:tc>
        <w:tc>
          <w:tcPr>
            <w:tcW w:type="dxa" w:w="3100"/>
            <w:tcMar>
              <w:top w:w="80" w:type="dxa"/>
              <w:start w:w="120" w:type="dxa"/>
              <w:bottom w:w="80" w:type="dxa"/>
              <w:end w:w="120" w:type="dxa"/>
            </w:tcMar>
            <w:vAlign w:val="center"/>
          </w:tcPr>
          <w:p>
            <w:pPr>
              <w:spacing w:before="0" w:after="0" w:line="259" w:lineRule="auto"/>
            </w:pPr>
            <w:r>
              <w:rPr>
                <w:sz w:val="18"/>
              </w:rPr>
              <w:t>Extreme Persistence / Duration</w:t>
            </w:r>
          </w:p>
        </w:tc>
        <w:tc>
          <w:tcPr>
            <w:tcW w:type="dxa" w:w="4760"/>
            <w:tcMar>
              <w:top w:w="80" w:type="dxa"/>
              <w:start w:w="120" w:type="dxa"/>
              <w:bottom w:w="80" w:type="dxa"/>
              <w:end w:w="120" w:type="dxa"/>
            </w:tcMar>
            <w:vAlign w:val="center"/>
          </w:tcPr>
          <w:p>
            <w:pPr>
              <w:spacing w:before="0" w:after="0" w:line="259" w:lineRule="auto"/>
            </w:pPr>
            <w:r>
              <w:rPr>
                <w:sz w:val="18"/>
              </w:rPr>
              <w:t>COTExtremePersistence</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8</w:t>
            </w:r>
          </w:p>
        </w:tc>
        <w:tc>
          <w:tcPr>
            <w:tcW w:type="dxa" w:w="3100"/>
            <w:tcMar>
              <w:top w:w="80" w:type="dxa"/>
              <w:start w:w="120" w:type="dxa"/>
              <w:bottom w:w="80" w:type="dxa"/>
              <w:end w:w="120" w:type="dxa"/>
            </w:tcMar>
            <w:vAlign w:val="center"/>
          </w:tcPr>
          <w:p>
            <w:pPr>
              <w:spacing w:before="0" w:after="0" w:line="259" w:lineRule="auto"/>
            </w:pPr>
            <w:r>
              <w:rPr>
                <w:sz w:val="18"/>
              </w:rPr>
              <w:t>Extreme Unwind</w:t>
            </w:r>
          </w:p>
        </w:tc>
        <w:tc>
          <w:tcPr>
            <w:tcW w:type="dxa" w:w="4760"/>
            <w:tcMar>
              <w:top w:w="80" w:type="dxa"/>
              <w:start w:w="120" w:type="dxa"/>
              <w:bottom w:w="80" w:type="dxa"/>
              <w:end w:w="120" w:type="dxa"/>
            </w:tcMar>
            <w:vAlign w:val="center"/>
          </w:tcPr>
          <w:p>
            <w:pPr>
              <w:spacing w:before="0" w:after="0" w:line="259" w:lineRule="auto"/>
            </w:pPr>
            <w:r>
              <w:rPr>
                <w:sz w:val="18"/>
              </w:rPr>
              <w:t>COTExtremeUnwindBullish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9</w:t>
            </w:r>
          </w:p>
        </w:tc>
        <w:tc>
          <w:tcPr>
            <w:tcW w:type="dxa" w:w="3100"/>
            <w:tcMar>
              <w:top w:w="80" w:type="dxa"/>
              <w:start w:w="120" w:type="dxa"/>
              <w:bottom w:w="80" w:type="dxa"/>
              <w:end w:w="120" w:type="dxa"/>
            </w:tcMar>
            <w:vAlign w:val="center"/>
          </w:tcPr>
          <w:p>
            <w:pPr>
              <w:spacing w:before="0" w:after="0" w:line="259" w:lineRule="auto"/>
            </w:pPr>
            <w:r>
              <w:rPr>
                <w:sz w:val="18"/>
              </w:rPr>
              <w:t>Hedger Acceleration</w:t>
            </w:r>
          </w:p>
        </w:tc>
        <w:tc>
          <w:tcPr>
            <w:tcW w:type="dxa" w:w="4760"/>
            <w:tcMar>
              <w:top w:w="80" w:type="dxa"/>
              <w:start w:w="120" w:type="dxa"/>
              <w:bottom w:w="80" w:type="dxa"/>
              <w:end w:w="120" w:type="dxa"/>
            </w:tcMar>
            <w:vAlign w:val="center"/>
          </w:tcPr>
          <w:p>
            <w:pPr>
              <w:spacing w:before="0" w:after="0" w:line="259" w:lineRule="auto"/>
            </w:pPr>
            <w:r>
              <w:rPr>
                <w:sz w:val="18"/>
              </w:rPr>
              <w:t>COTHedgerAccelBullish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10 / 37</w:t>
            </w:r>
          </w:p>
        </w:tc>
        <w:tc>
          <w:tcPr>
            <w:tcW w:type="dxa" w:w="3100"/>
            <w:tcMar>
              <w:top w:w="80" w:type="dxa"/>
              <w:start w:w="120" w:type="dxa"/>
              <w:bottom w:w="80" w:type="dxa"/>
              <w:end w:w="120" w:type="dxa"/>
            </w:tcMar>
            <w:vAlign w:val="center"/>
          </w:tcPr>
          <w:p>
            <w:pPr>
              <w:spacing w:before="0" w:after="0" w:line="259" w:lineRule="auto"/>
            </w:pPr>
            <w:r>
              <w:rPr>
                <w:sz w:val="18"/>
              </w:rPr>
              <w:t>Score Momentum / Level + Momentum</w:t>
            </w:r>
          </w:p>
        </w:tc>
        <w:tc>
          <w:tcPr>
            <w:tcW w:type="dxa" w:w="4760"/>
            <w:tcMar>
              <w:top w:w="80" w:type="dxa"/>
              <w:start w:w="120" w:type="dxa"/>
              <w:bottom w:w="80" w:type="dxa"/>
              <w:end w:w="120" w:type="dxa"/>
            </w:tcMar>
            <w:vAlign w:val="center"/>
          </w:tcPr>
          <w:p>
            <w:pPr>
              <w:spacing w:before="0" w:after="0" w:line="259" w:lineRule="auto"/>
            </w:pPr>
            <w:r>
              <w:rPr>
                <w:sz w:val="18"/>
              </w:rPr>
              <w:t>COTScoreMomentumAbove / Below</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11</w:t>
            </w:r>
          </w:p>
        </w:tc>
        <w:tc>
          <w:tcPr>
            <w:tcW w:type="dxa" w:w="3100"/>
            <w:tcMar>
              <w:top w:w="80" w:type="dxa"/>
              <w:start w:w="120" w:type="dxa"/>
              <w:bottom w:w="80" w:type="dxa"/>
              <w:end w:w="120" w:type="dxa"/>
            </w:tcMar>
            <w:vAlign w:val="center"/>
          </w:tcPr>
          <w:p>
            <w:pPr>
              <w:spacing w:before="0" w:after="0" w:line="259" w:lineRule="auto"/>
            </w:pPr>
            <w:r>
              <w:rPr>
                <w:sz w:val="18"/>
              </w:rPr>
              <w:t>Score Zero Cross</w:t>
            </w:r>
          </w:p>
        </w:tc>
        <w:tc>
          <w:tcPr>
            <w:tcW w:type="dxa" w:w="4760"/>
            <w:tcMar>
              <w:top w:w="80" w:type="dxa"/>
              <w:start w:w="120" w:type="dxa"/>
              <w:bottom w:w="80" w:type="dxa"/>
              <w:end w:w="120" w:type="dxa"/>
            </w:tcMar>
            <w:vAlign w:val="center"/>
          </w:tcPr>
          <w:p>
            <w:pPr>
              <w:spacing w:before="0" w:after="0" w:line="259" w:lineRule="auto"/>
            </w:pPr>
            <w:r>
              <w:rPr>
                <w:sz w:val="18"/>
              </w:rPr>
              <w:t>COTScoreZeroCrossUp / Down</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13</w:t>
            </w:r>
          </w:p>
        </w:tc>
        <w:tc>
          <w:tcPr>
            <w:tcW w:type="dxa" w:w="3100"/>
            <w:tcMar>
              <w:top w:w="80" w:type="dxa"/>
              <w:start w:w="120" w:type="dxa"/>
              <w:bottom w:w="80" w:type="dxa"/>
              <w:end w:w="120" w:type="dxa"/>
            </w:tcMar>
            <w:vAlign w:val="center"/>
          </w:tcPr>
          <w:p>
            <w:pPr>
              <w:spacing w:before="0" w:after="0" w:line="259" w:lineRule="auto"/>
            </w:pPr>
            <w:r>
              <w:rPr>
                <w:sz w:val="18"/>
              </w:rPr>
              <w:t>Speculator Exhaustion</w:t>
            </w:r>
          </w:p>
        </w:tc>
        <w:tc>
          <w:tcPr>
            <w:tcW w:type="dxa" w:w="4760"/>
            <w:tcMar>
              <w:top w:w="80" w:type="dxa"/>
              <w:start w:w="120" w:type="dxa"/>
              <w:bottom w:w="80" w:type="dxa"/>
              <w:end w:w="120" w:type="dxa"/>
            </w:tcMar>
            <w:vAlign w:val="center"/>
          </w:tcPr>
          <w:p>
            <w:pPr>
              <w:spacing w:before="0" w:after="0" w:line="259" w:lineRule="auto"/>
            </w:pPr>
            <w:r>
              <w:rPr>
                <w:sz w:val="18"/>
              </w:rPr>
              <w:t>COTSpecExhaustionShort / Long</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14</w:t>
            </w:r>
          </w:p>
        </w:tc>
        <w:tc>
          <w:tcPr>
            <w:tcW w:type="dxa" w:w="3100"/>
            <w:tcMar>
              <w:top w:w="80" w:type="dxa"/>
              <w:start w:w="120" w:type="dxa"/>
              <w:bottom w:w="80" w:type="dxa"/>
              <w:end w:w="120" w:type="dxa"/>
            </w:tcMar>
            <w:vAlign w:val="center"/>
          </w:tcPr>
          <w:p>
            <w:pPr>
              <w:spacing w:before="0" w:after="0" w:line="259" w:lineRule="auto"/>
            </w:pPr>
            <w:r>
              <w:rPr>
                <w:sz w:val="18"/>
              </w:rPr>
              <w:t>Triple Positioning Divergence</w:t>
            </w:r>
          </w:p>
        </w:tc>
        <w:tc>
          <w:tcPr>
            <w:tcW w:type="dxa" w:w="4760"/>
            <w:tcMar>
              <w:top w:w="80" w:type="dxa"/>
              <w:start w:w="120" w:type="dxa"/>
              <w:bottom w:w="80" w:type="dxa"/>
              <w:end w:w="120" w:type="dxa"/>
            </w:tcMar>
            <w:vAlign w:val="center"/>
          </w:tcPr>
          <w:p>
            <w:pPr>
              <w:spacing w:before="0" w:after="0" w:line="259" w:lineRule="auto"/>
            </w:pPr>
            <w:r>
              <w:rPr>
                <w:sz w:val="18"/>
              </w:rPr>
              <w:t>COTTripleDivBullish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15 / 32</w:t>
            </w:r>
          </w:p>
        </w:tc>
        <w:tc>
          <w:tcPr>
            <w:tcW w:type="dxa" w:w="3100"/>
            <w:tcMar>
              <w:top w:w="80" w:type="dxa"/>
              <w:start w:w="120" w:type="dxa"/>
              <w:bottom w:w="80" w:type="dxa"/>
              <w:end w:w="120" w:type="dxa"/>
            </w:tcMar>
            <w:vAlign w:val="center"/>
          </w:tcPr>
          <w:p>
            <w:pPr>
              <w:spacing w:before="0" w:after="0" w:line="259" w:lineRule="auto"/>
            </w:pPr>
            <w:r>
              <w:rPr>
                <w:sz w:val="18"/>
              </w:rPr>
              <w:t>COT/Price Structural Divergence</w:t>
            </w:r>
          </w:p>
        </w:tc>
        <w:tc>
          <w:tcPr>
            <w:tcW w:type="dxa" w:w="4760"/>
            <w:tcMar>
              <w:top w:w="80" w:type="dxa"/>
              <w:start w:w="120" w:type="dxa"/>
              <w:bottom w:w="80" w:type="dxa"/>
              <w:end w:w="120" w:type="dxa"/>
            </w:tcMar>
            <w:vAlign w:val="center"/>
          </w:tcPr>
          <w:p>
            <w:pPr>
              <w:spacing w:before="0" w:after="0" w:line="259" w:lineRule="auto"/>
            </w:pPr>
            <w:r>
              <w:rPr>
                <w:sz w:val="18"/>
              </w:rPr>
              <w:t>COTHigherLow / COTLowerHigh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17 / 31</w:t>
            </w:r>
          </w:p>
        </w:tc>
        <w:tc>
          <w:tcPr>
            <w:tcW w:type="dxa" w:w="3100"/>
            <w:tcMar>
              <w:top w:w="80" w:type="dxa"/>
              <w:start w:w="120" w:type="dxa"/>
              <w:bottom w:w="80" w:type="dxa"/>
              <w:end w:w="120" w:type="dxa"/>
            </w:tcMar>
            <w:vAlign w:val="center"/>
          </w:tcPr>
          <w:p>
            <w:pPr>
              <w:spacing w:before="0" w:after="0" w:line="259" w:lineRule="auto"/>
            </w:pPr>
            <w:r>
              <w:rPr>
                <w:sz w:val="18"/>
              </w:rPr>
              <w:t>Accumulation</w:t>
            </w:r>
          </w:p>
        </w:tc>
        <w:tc>
          <w:tcPr>
            <w:tcW w:type="dxa" w:w="4760"/>
            <w:tcMar>
              <w:top w:w="80" w:type="dxa"/>
              <w:start w:w="120" w:type="dxa"/>
              <w:bottom w:w="80" w:type="dxa"/>
              <w:end w:w="120" w:type="dxa"/>
            </w:tcMar>
            <w:vAlign w:val="center"/>
          </w:tcPr>
          <w:p>
            <w:pPr>
              <w:spacing w:before="0" w:after="0" w:line="259" w:lineRule="auto"/>
            </w:pPr>
            <w:r>
              <w:rPr>
                <w:sz w:val="18"/>
              </w:rPr>
              <w:t>COTAccumulationBullish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20 / 28</w:t>
            </w:r>
          </w:p>
        </w:tc>
        <w:tc>
          <w:tcPr>
            <w:tcW w:type="dxa" w:w="3100"/>
            <w:tcMar>
              <w:top w:w="80" w:type="dxa"/>
              <w:start w:w="120" w:type="dxa"/>
              <w:bottom w:w="80" w:type="dxa"/>
              <w:end w:w="120" w:type="dxa"/>
            </w:tcMar>
            <w:vAlign w:val="center"/>
          </w:tcPr>
          <w:p>
            <w:pPr>
              <w:spacing w:before="0" w:after="0" w:line="259" w:lineRule="auto"/>
            </w:pPr>
            <w:r>
              <w:rPr>
                <w:sz w:val="18"/>
              </w:rPr>
              <w:t>Normalization / Convergence</w:t>
            </w:r>
          </w:p>
        </w:tc>
        <w:tc>
          <w:tcPr>
            <w:tcW w:type="dxa" w:w="4760"/>
            <w:tcMar>
              <w:top w:w="80" w:type="dxa"/>
              <w:start w:w="120" w:type="dxa"/>
              <w:bottom w:w="80" w:type="dxa"/>
              <w:end w:w="120" w:type="dxa"/>
            </w:tcMar>
            <w:vAlign w:val="center"/>
          </w:tcPr>
          <w:p>
            <w:pPr>
              <w:spacing w:before="0" w:after="0" w:line="259" w:lineRule="auto"/>
            </w:pPr>
            <w:r>
              <w:rPr>
                <w:sz w:val="18"/>
              </w:rPr>
              <w:t>COTConvergence</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22 / 27</w:t>
            </w:r>
          </w:p>
        </w:tc>
        <w:tc>
          <w:tcPr>
            <w:tcW w:type="dxa" w:w="3100"/>
            <w:tcMar>
              <w:top w:w="80" w:type="dxa"/>
              <w:start w:w="120" w:type="dxa"/>
              <w:bottom w:w="80" w:type="dxa"/>
              <w:end w:w="120" w:type="dxa"/>
            </w:tcMar>
            <w:vAlign w:val="center"/>
          </w:tcPr>
          <w:p>
            <w:pPr>
              <w:spacing w:before="0" w:after="0" w:line="259" w:lineRule="auto"/>
            </w:pPr>
            <w:r>
              <w:rPr>
                <w:sz w:val="18"/>
              </w:rPr>
              <w:t>Rate of Change / Spread Expansion</w:t>
            </w:r>
          </w:p>
        </w:tc>
        <w:tc>
          <w:tcPr>
            <w:tcW w:type="dxa" w:w="4760"/>
            <w:tcMar>
              <w:top w:w="80" w:type="dxa"/>
              <w:start w:w="120" w:type="dxa"/>
              <w:bottom w:w="80" w:type="dxa"/>
              <w:end w:w="120" w:type="dxa"/>
            </w:tcMar>
            <w:vAlign w:val="center"/>
          </w:tcPr>
          <w:p>
            <w:pPr>
              <w:spacing w:before="0" w:after="0" w:line="259" w:lineRule="auto"/>
            </w:pPr>
            <w:r>
              <w:rPr>
                <w:sz w:val="18"/>
              </w:rPr>
              <w:t>COTRocBullish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30</w:t>
            </w:r>
          </w:p>
        </w:tc>
        <w:tc>
          <w:tcPr>
            <w:tcW w:type="dxa" w:w="3100"/>
            <w:tcMar>
              <w:top w:w="80" w:type="dxa"/>
              <w:start w:w="120" w:type="dxa"/>
              <w:bottom w:w="80" w:type="dxa"/>
              <w:end w:w="120" w:type="dxa"/>
            </w:tcMar>
            <w:vAlign w:val="center"/>
          </w:tcPr>
          <w:p>
            <w:pPr>
              <w:spacing w:before="0" w:after="0" w:line="259" w:lineRule="auto"/>
            </w:pPr>
            <w:r>
              <w:rPr>
                <w:sz w:val="18"/>
              </w:rPr>
              <w:t>COT Z-Score</w:t>
            </w:r>
          </w:p>
        </w:tc>
        <w:tc>
          <w:tcPr>
            <w:tcW w:type="dxa" w:w="4760"/>
            <w:tcMar>
              <w:top w:w="80" w:type="dxa"/>
              <w:start w:w="120" w:type="dxa"/>
              <w:bottom w:w="80" w:type="dxa"/>
              <w:end w:w="120" w:type="dxa"/>
            </w:tcMar>
            <w:vAlign w:val="center"/>
          </w:tcPr>
          <w:p>
            <w:pPr>
              <w:spacing w:before="0" w:after="0" w:line="259" w:lineRule="auto"/>
            </w:pPr>
            <w:r>
              <w:rPr>
                <w:sz w:val="18"/>
              </w:rPr>
              <w:t>COTSpreadZScoreBullish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38</w:t>
            </w:r>
          </w:p>
        </w:tc>
        <w:tc>
          <w:tcPr>
            <w:tcW w:type="dxa" w:w="3100"/>
            <w:tcMar>
              <w:top w:w="80" w:type="dxa"/>
              <w:start w:w="120" w:type="dxa"/>
              <w:bottom w:w="80" w:type="dxa"/>
              <w:end w:w="120" w:type="dxa"/>
            </w:tcMar>
            <w:vAlign w:val="center"/>
          </w:tcPr>
          <w:p>
            <w:pPr>
              <w:spacing w:before="0" w:after="0" w:line="259" w:lineRule="auto"/>
            </w:pPr>
            <w:r>
              <w:rPr>
                <w:sz w:val="18"/>
              </w:rPr>
              <w:t>COT Acceleration</w:t>
            </w:r>
          </w:p>
        </w:tc>
        <w:tc>
          <w:tcPr>
            <w:tcW w:type="dxa" w:w="4760"/>
            <w:tcMar>
              <w:top w:w="80" w:type="dxa"/>
              <w:start w:w="120" w:type="dxa"/>
              <w:bottom w:w="80" w:type="dxa"/>
              <w:end w:w="120" w:type="dxa"/>
            </w:tcMar>
            <w:vAlign w:val="center"/>
          </w:tcPr>
          <w:p>
            <w:pPr>
              <w:spacing w:before="0" w:after="0" w:line="259" w:lineRule="auto"/>
            </w:pPr>
            <w:r>
              <w:rPr>
                <w:sz w:val="18"/>
              </w:rPr>
              <w:t>COTScoreAccelBullish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39</w:t>
            </w:r>
          </w:p>
        </w:tc>
        <w:tc>
          <w:tcPr>
            <w:tcW w:type="dxa" w:w="3100"/>
            <w:tcMar>
              <w:top w:w="80" w:type="dxa"/>
              <w:start w:w="120" w:type="dxa"/>
              <w:bottom w:w="80" w:type="dxa"/>
              <w:end w:w="120" w:type="dxa"/>
            </w:tcMar>
            <w:vAlign w:val="center"/>
          </w:tcPr>
          <w:p>
            <w:pPr>
              <w:spacing w:before="0" w:after="0" w:line="259" w:lineRule="auto"/>
            </w:pPr>
            <w:r>
              <w:rPr>
                <w:sz w:val="18"/>
              </w:rPr>
              <w:t>Full-Cycle Positioning</w:t>
            </w:r>
          </w:p>
        </w:tc>
        <w:tc>
          <w:tcPr>
            <w:tcW w:type="dxa" w:w="4760"/>
            <w:tcMar>
              <w:top w:w="80" w:type="dxa"/>
              <w:start w:w="120" w:type="dxa"/>
              <w:bottom w:w="80" w:type="dxa"/>
              <w:end w:w="120" w:type="dxa"/>
            </w:tcMar>
            <w:vAlign w:val="center"/>
          </w:tcPr>
          <w:p>
            <w:pPr>
              <w:spacing w:before="0" w:after="0" w:line="259" w:lineRule="auto"/>
            </w:pPr>
            <w:r>
              <w:rPr>
                <w:sz w:val="18"/>
              </w:rPr>
              <w:t>COTFullCycleLong/Short; ExitLong/Short; COTEmergencyExitLong</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Extension</w:t>
            </w:r>
          </w:p>
        </w:tc>
        <w:tc>
          <w:tcPr>
            <w:tcW w:type="dxa" w:w="3100"/>
            <w:tcMar>
              <w:top w:w="80" w:type="dxa"/>
              <w:start w:w="120" w:type="dxa"/>
              <w:bottom w:w="80" w:type="dxa"/>
              <w:end w:w="120" w:type="dxa"/>
            </w:tcMar>
            <w:vAlign w:val="center"/>
          </w:tcPr>
          <w:p>
            <w:pPr>
              <w:spacing w:before="0" w:after="0" w:line="259" w:lineRule="auto"/>
            </w:pPr>
            <w:r>
              <w:rPr>
                <w:sz w:val="18"/>
              </w:rPr>
              <w:t>Multi-Window Confirmation</w:t>
            </w:r>
          </w:p>
        </w:tc>
        <w:tc>
          <w:tcPr>
            <w:tcW w:type="dxa" w:w="4760"/>
            <w:tcMar>
              <w:top w:w="80" w:type="dxa"/>
              <w:start w:w="120" w:type="dxa"/>
              <w:bottom w:w="80" w:type="dxa"/>
              <w:end w:w="120" w:type="dxa"/>
            </w:tcMar>
            <w:vAlign w:val="center"/>
          </w:tcPr>
          <w:p>
            <w:pPr>
              <w:spacing w:before="0" w:after="0" w:line="259" w:lineRule="auto"/>
            </w:pPr>
            <w:r>
              <w:rPr>
                <w:sz w:val="18"/>
              </w:rPr>
              <w:t>COTMultiWindowBullish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Extension</w:t>
            </w:r>
          </w:p>
        </w:tc>
        <w:tc>
          <w:tcPr>
            <w:tcW w:type="dxa" w:w="3100"/>
            <w:tcMar>
              <w:top w:w="80" w:type="dxa"/>
              <w:start w:w="120" w:type="dxa"/>
              <w:bottom w:w="80" w:type="dxa"/>
              <w:end w:w="120" w:type="dxa"/>
            </w:tcMar>
            <w:vAlign w:val="center"/>
          </w:tcPr>
          <w:p>
            <w:pPr>
              <w:spacing w:before="0" w:after="0" w:line="259" w:lineRule="auto"/>
            </w:pPr>
            <w:r>
              <w:rPr>
                <w:sz w:val="18"/>
              </w:rPr>
              <w:t>Regime Shift</w:t>
            </w:r>
          </w:p>
        </w:tc>
        <w:tc>
          <w:tcPr>
            <w:tcW w:type="dxa" w:w="4760"/>
            <w:tcMar>
              <w:top w:w="80" w:type="dxa"/>
              <w:start w:w="120" w:type="dxa"/>
              <w:bottom w:w="80" w:type="dxa"/>
              <w:end w:w="120" w:type="dxa"/>
            </w:tcMar>
            <w:vAlign w:val="center"/>
          </w:tcPr>
          <w:p>
            <w:pPr>
              <w:spacing w:before="0" w:after="0" w:line="259" w:lineRule="auto"/>
            </w:pPr>
            <w:r>
              <w:rPr>
                <w:sz w:val="18"/>
              </w:rPr>
              <w:t>COTRegimeShiftBullish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Extension</w:t>
            </w:r>
          </w:p>
        </w:tc>
        <w:tc>
          <w:tcPr>
            <w:tcW w:type="dxa" w:w="3100"/>
            <w:tcMar>
              <w:top w:w="80" w:type="dxa"/>
              <w:start w:w="120" w:type="dxa"/>
              <w:bottom w:w="80" w:type="dxa"/>
              <w:end w:w="120" w:type="dxa"/>
            </w:tcMar>
            <w:vAlign w:val="center"/>
          </w:tcPr>
          <w:p>
            <w:pPr>
              <w:spacing w:before="0" w:after="0" w:line="259" w:lineRule="auto"/>
            </w:pPr>
            <w:r>
              <w:rPr>
                <w:sz w:val="18"/>
              </w:rPr>
              <w:t>Seasonal COT Filter</w:t>
            </w:r>
          </w:p>
        </w:tc>
        <w:tc>
          <w:tcPr>
            <w:tcW w:type="dxa" w:w="4760"/>
            <w:tcMar>
              <w:top w:w="80" w:type="dxa"/>
              <w:start w:w="120" w:type="dxa"/>
              <w:bottom w:w="80" w:type="dxa"/>
              <w:end w:w="120" w:type="dxa"/>
            </w:tcMar>
            <w:vAlign w:val="center"/>
          </w:tcPr>
          <w:p>
            <w:pPr>
              <w:spacing w:before="0" w:after="0" w:line="259" w:lineRule="auto"/>
            </w:pPr>
            <w:r>
              <w:rPr>
                <w:sz w:val="18"/>
              </w:rPr>
              <w:t>COTSeasonalBullish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Extension</w:t>
            </w:r>
          </w:p>
        </w:tc>
        <w:tc>
          <w:tcPr>
            <w:tcW w:type="dxa" w:w="3100"/>
            <w:tcMar>
              <w:top w:w="80" w:type="dxa"/>
              <w:start w:w="120" w:type="dxa"/>
              <w:bottom w:w="80" w:type="dxa"/>
              <w:end w:w="120" w:type="dxa"/>
            </w:tcMar>
            <w:vAlign w:val="center"/>
          </w:tcPr>
          <w:p>
            <w:pPr>
              <w:spacing w:before="0" w:after="0" w:line="259" w:lineRule="auto"/>
            </w:pPr>
            <w:r>
              <w:rPr>
                <w:sz w:val="18"/>
              </w:rPr>
              <w:t>VIX Cross-Market Proxy</w:t>
            </w:r>
          </w:p>
        </w:tc>
        <w:tc>
          <w:tcPr>
            <w:tcW w:type="dxa" w:w="4760"/>
            <w:tcMar>
              <w:top w:w="80" w:type="dxa"/>
              <w:start w:w="120" w:type="dxa"/>
              <w:bottom w:w="80" w:type="dxa"/>
              <w:end w:w="120" w:type="dxa"/>
            </w:tcMar>
            <w:vAlign w:val="center"/>
          </w:tcPr>
          <w:p>
            <w:pPr>
              <w:spacing w:before="0" w:after="0" w:line="259" w:lineRule="auto"/>
            </w:pPr>
            <w:r>
              <w:rPr>
                <w:sz w:val="18"/>
              </w:rPr>
              <w:t>COTVixProxyBullish / Bearish</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ML feature family</w:t>
            </w:r>
          </w:p>
        </w:tc>
        <w:tc>
          <w:tcPr>
            <w:tcW w:type="dxa" w:w="3100"/>
            <w:tcMar>
              <w:top w:w="80" w:type="dxa"/>
              <w:start w:w="120" w:type="dxa"/>
              <w:bottom w:w="80" w:type="dxa"/>
              <w:end w:w="120" w:type="dxa"/>
            </w:tcMar>
            <w:vAlign w:val="center"/>
          </w:tcPr>
          <w:p>
            <w:pPr>
              <w:spacing w:before="0" w:after="0" w:line="259" w:lineRule="auto"/>
            </w:pPr>
            <w:r>
              <w:rPr>
                <w:sz w:val="18"/>
              </w:rPr>
              <w:t>Generic Field / Momentum / Spread</w:t>
            </w:r>
          </w:p>
        </w:tc>
        <w:tc>
          <w:tcPr>
            <w:tcW w:type="dxa" w:w="4760"/>
            <w:tcMar>
              <w:top w:w="80" w:type="dxa"/>
              <w:start w:w="120" w:type="dxa"/>
              <w:bottom w:w="80" w:type="dxa"/>
              <w:end w:w="120" w:type="dxa"/>
            </w:tcMar>
            <w:vAlign w:val="center"/>
          </w:tcPr>
          <w:p>
            <w:pPr>
              <w:spacing w:before="0" w:after="0" w:line="259" w:lineRule="auto"/>
            </w:pPr>
            <w:r>
              <w:rPr>
                <w:sz w:val="18"/>
              </w:rPr>
              <w:t>COTFieldValue, COTMomentum, COTCrossFieldSpread</w:t>
            </w:r>
          </w:p>
        </w:tc>
      </w:tr>
      <w:tr>
        <w:trPr>
          <w:cantSplit/>
        </w:trPr>
        <w:tc>
          <w:tcPr>
            <w:tcW w:type="dxa" w:w="1500"/>
            <w:tcMar>
              <w:top w:w="80" w:type="dxa"/>
              <w:start w:w="120" w:type="dxa"/>
              <w:bottom w:w="80" w:type="dxa"/>
              <w:end w:w="120" w:type="dxa"/>
            </w:tcMar>
            <w:vAlign w:val="center"/>
          </w:tcPr>
          <w:p>
            <w:pPr>
              <w:spacing w:before="0" w:after="0" w:line="259" w:lineRule="auto"/>
            </w:pPr>
            <w:r>
              <w:rPr>
                <w:sz w:val="18"/>
              </w:rPr>
              <w:t>Euro research set</w:t>
            </w:r>
          </w:p>
        </w:tc>
        <w:tc>
          <w:tcPr>
            <w:tcW w:type="dxa" w:w="3100"/>
            <w:tcMar>
              <w:top w:w="80" w:type="dxa"/>
              <w:start w:w="120" w:type="dxa"/>
              <w:bottom w:w="80" w:type="dxa"/>
              <w:end w:w="120" w:type="dxa"/>
            </w:tcMar>
            <w:vAlign w:val="center"/>
          </w:tcPr>
          <w:p>
            <w:pPr>
              <w:spacing w:before="0" w:after="0" w:line="259" w:lineRule="auto"/>
            </w:pPr>
            <w:r>
              <w:rPr>
                <w:sz w:val="18"/>
              </w:rPr>
              <w:t>Multi-Field Combo</w:t>
            </w:r>
          </w:p>
        </w:tc>
        <w:tc>
          <w:tcPr>
            <w:tcW w:type="dxa" w:w="4760"/>
            <w:tcMar>
              <w:top w:w="80" w:type="dxa"/>
              <w:start w:w="120" w:type="dxa"/>
              <w:bottom w:w="80" w:type="dxa"/>
              <w:end w:w="120" w:type="dxa"/>
            </w:tcMar>
            <w:vAlign w:val="center"/>
          </w:tcPr>
          <w:p>
            <w:pPr>
              <w:spacing w:before="0" w:after="0" w:line="259" w:lineRule="auto"/>
            </w:pPr>
            <w:r>
              <w:rPr>
                <w:sz w:val="18"/>
              </w:rPr>
              <w:t>COTMultiFieldCombo</w:t>
            </w:r>
          </w:p>
        </w:tc>
      </w:tr>
    </w:tbl>
    <w:p>
      <w:pPr>
        <w:spacing w:after="20"/>
      </w:pPr>
    </w:p>
    <w:p>
      <w:pPr>
        <w:pStyle w:val="Heading1"/>
      </w:pPr>
      <w:r>
        <w:t>4. Market Suitability and Research Priority</w:t>
      </w:r>
    </w:p>
    <w:p>
      <w:pPr>
        <w:keepLines/>
        <w:spacing w:before="120" w:after="160"/>
        <w:ind w:left="173" w:right="115"/>
        <w:shd w:fill="FFF4CE"/>
        <w:pBdr>
          <w:left w:val="single" w:sz="18" w:space="8" w:color="C59B28"/>
        </w:pBdr>
      </w:pPr>
      <w:r>
        <w:rPr>
          <w:b/>
          <w:color w:val="9B1C1C"/>
        </w:rPr>
        <w:t xml:space="preserve">Interpretation: </w:t>
      </w:r>
      <w:r>
        <w:t>The ratings below summarize practitioner fit and research priority. They are not measured reliability scores or guarantees of trading performance.</w:t>
      </w:r>
    </w:p>
    <w:tbl>
      <w:tblPr>
        <w:tblStyle w:val="TableGrid"/>
        <w:tblW w:type="dxa" w:w="9360"/>
        <w:jc w:val="left"/>
        <w:tblLayout w:type="fixed"/>
        <w:tblLook w:firstColumn="1" w:firstRow="1" w:lastColumn="0" w:lastRow="0" w:noHBand="0" w:noVBand="1" w:val="04A0"/>
        <w:tblInd w:w="120" w:type="dxa"/>
      </w:tblPr>
      <w:tblGrid>
        <w:gridCol w:w="2200"/>
        <w:gridCol w:w="1600"/>
        <w:gridCol w:w="1700"/>
        <w:gridCol w:w="3860"/>
      </w:tblGrid>
      <w:tr>
        <w:trPr>
          <w:tblHeader w:val="true"/>
          <w:cantSplit/>
        </w:trPr>
        <w:tc>
          <w:tcPr>
            <w:tcW w:type="dxa" w:w="2200"/>
            <w:shd w:fill="E8EEF5"/>
            <w:tcMar>
              <w:top w:w="80" w:type="dxa"/>
              <w:start w:w="120" w:type="dxa"/>
              <w:bottom w:w="80" w:type="dxa"/>
              <w:end w:w="120" w:type="dxa"/>
            </w:tcMar>
            <w:vAlign w:val="center"/>
          </w:tcPr>
          <w:p>
            <w:pPr>
              <w:spacing w:after="0" w:line="240" w:lineRule="auto"/>
            </w:pPr>
            <w:r>
              <w:rPr>
                <w:b/>
                <w:sz w:val="19"/>
              </w:rPr>
              <w:t>Market family</w:t>
            </w:r>
          </w:p>
        </w:tc>
        <w:tc>
          <w:tcPr>
            <w:tcW w:type="dxa" w:w="1600"/>
            <w:shd w:fill="E8EEF5"/>
            <w:tcMar>
              <w:top w:w="80" w:type="dxa"/>
              <w:start w:w="120" w:type="dxa"/>
              <w:bottom w:w="80" w:type="dxa"/>
              <w:end w:w="120" w:type="dxa"/>
            </w:tcMar>
            <w:vAlign w:val="center"/>
          </w:tcPr>
          <w:p>
            <w:pPr>
              <w:spacing w:after="0" w:line="240" w:lineRule="auto"/>
            </w:pPr>
            <w:r>
              <w:rPr>
                <w:b/>
                <w:sz w:val="19"/>
              </w:rPr>
              <w:t>Practical priority</w:t>
            </w:r>
          </w:p>
        </w:tc>
        <w:tc>
          <w:tcPr>
            <w:tcW w:type="dxa" w:w="1700"/>
            <w:shd w:fill="E8EEF5"/>
            <w:tcMar>
              <w:top w:w="80" w:type="dxa"/>
              <w:start w:w="120" w:type="dxa"/>
              <w:bottom w:w="80" w:type="dxa"/>
              <w:end w:w="120" w:type="dxa"/>
            </w:tcMar>
            <w:vAlign w:val="center"/>
          </w:tcPr>
          <w:p>
            <w:pPr>
              <w:spacing w:after="0" w:line="240" w:lineRule="auto"/>
            </w:pPr>
            <w:r>
              <w:rPr>
                <w:b/>
                <w:sz w:val="19"/>
              </w:rPr>
              <w:t>Examples</w:t>
            </w:r>
          </w:p>
        </w:tc>
        <w:tc>
          <w:tcPr>
            <w:tcW w:type="dxa" w:w="3860"/>
            <w:shd w:fill="E8EEF5"/>
            <w:tcMar>
              <w:top w:w="80" w:type="dxa"/>
              <w:start w:w="120" w:type="dxa"/>
              <w:bottom w:w="80" w:type="dxa"/>
              <w:end w:w="120" w:type="dxa"/>
            </w:tcMar>
            <w:vAlign w:val="center"/>
          </w:tcPr>
          <w:p>
            <w:pPr>
              <w:spacing w:after="0" w:line="240" w:lineRule="auto"/>
            </w:pPr>
            <w:r>
              <w:rPr>
                <w:b/>
                <w:sz w:val="19"/>
              </w:rPr>
              <w:t>Research note</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Physical commodities</w:t>
            </w:r>
          </w:p>
        </w:tc>
        <w:tc>
          <w:tcPr>
            <w:tcW w:type="dxa" w:w="1600"/>
            <w:tcMar>
              <w:top w:w="80" w:type="dxa"/>
              <w:start w:w="120" w:type="dxa"/>
              <w:bottom w:w="80" w:type="dxa"/>
              <w:end w:w="120" w:type="dxa"/>
            </w:tcMar>
            <w:vAlign w:val="center"/>
          </w:tcPr>
          <w:p>
            <w:pPr>
              <w:spacing w:before="0" w:after="0" w:line="259" w:lineRule="auto"/>
            </w:pPr>
            <w:r>
              <w:rPr>
                <w:sz w:val="18"/>
              </w:rPr>
              <w:t>Highest</w:t>
            </w:r>
          </w:p>
        </w:tc>
        <w:tc>
          <w:tcPr>
            <w:tcW w:type="dxa" w:w="1700"/>
            <w:tcMar>
              <w:top w:w="80" w:type="dxa"/>
              <w:start w:w="120" w:type="dxa"/>
              <w:bottom w:w="80" w:type="dxa"/>
              <w:end w:w="120" w:type="dxa"/>
            </w:tcMar>
            <w:vAlign w:val="center"/>
          </w:tcPr>
          <w:p>
            <w:pPr>
              <w:spacing w:before="0" w:after="0" w:line="259" w:lineRule="auto"/>
            </w:pPr>
            <w:r>
              <w:rPr>
                <w:sz w:val="18"/>
              </w:rPr>
              <w:t>CL, NG, HO, RB</w:t>
            </w:r>
          </w:p>
        </w:tc>
        <w:tc>
          <w:tcPr>
            <w:tcW w:type="dxa" w:w="3860"/>
            <w:tcMar>
              <w:top w:w="80" w:type="dxa"/>
              <w:start w:w="120" w:type="dxa"/>
              <w:bottom w:w="80" w:type="dxa"/>
              <w:end w:w="120" w:type="dxa"/>
            </w:tcMar>
            <w:vAlign w:val="center"/>
          </w:tcPr>
          <w:p>
            <w:pPr>
              <w:spacing w:before="0" w:after="0" w:line="259" w:lineRule="auto"/>
            </w:pPr>
            <w:r>
              <w:rPr>
                <w:sz w:val="18"/>
              </w:rPr>
              <w:t>Clear producer/consumer and inventory-related hedging motives; validate each contract independently.</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Metals</w:t>
            </w:r>
          </w:p>
        </w:tc>
        <w:tc>
          <w:tcPr>
            <w:tcW w:type="dxa" w:w="1600"/>
            <w:tcMar>
              <w:top w:w="80" w:type="dxa"/>
              <w:start w:w="120" w:type="dxa"/>
              <w:bottom w:w="80" w:type="dxa"/>
              <w:end w:w="120" w:type="dxa"/>
            </w:tcMar>
            <w:vAlign w:val="center"/>
          </w:tcPr>
          <w:p>
            <w:pPr>
              <w:spacing w:before="0" w:after="0" w:line="259" w:lineRule="auto"/>
            </w:pPr>
            <w:r>
              <w:rPr>
                <w:sz w:val="18"/>
              </w:rPr>
              <w:t>High</w:t>
            </w:r>
          </w:p>
        </w:tc>
        <w:tc>
          <w:tcPr>
            <w:tcW w:type="dxa" w:w="1700"/>
            <w:tcMar>
              <w:top w:w="80" w:type="dxa"/>
              <w:start w:w="120" w:type="dxa"/>
              <w:bottom w:w="80" w:type="dxa"/>
              <w:end w:w="120" w:type="dxa"/>
            </w:tcMar>
            <w:vAlign w:val="center"/>
          </w:tcPr>
          <w:p>
            <w:pPr>
              <w:spacing w:before="0" w:after="0" w:line="259" w:lineRule="auto"/>
            </w:pPr>
            <w:r>
              <w:rPr>
                <w:sz w:val="18"/>
              </w:rPr>
              <w:t>GC, SI, HG, PL, PA</w:t>
            </w:r>
          </w:p>
        </w:tc>
        <w:tc>
          <w:tcPr>
            <w:tcW w:type="dxa" w:w="3860"/>
            <w:tcMar>
              <w:top w:w="80" w:type="dxa"/>
              <w:start w:w="120" w:type="dxa"/>
              <w:bottom w:w="80" w:type="dxa"/>
              <w:end w:w="120" w:type="dxa"/>
            </w:tcMar>
            <w:vAlign w:val="center"/>
          </w:tcPr>
          <w:p>
            <w:pPr>
              <w:spacing w:before="0" w:after="0" w:line="259" w:lineRule="auto"/>
            </w:pPr>
            <w:r>
              <w:rPr>
                <w:sz w:val="18"/>
              </w:rPr>
              <w:t>Strong conceptual fit for miner, producer, fabricator, and consumer hedging.</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Grains</w:t>
            </w:r>
          </w:p>
        </w:tc>
        <w:tc>
          <w:tcPr>
            <w:tcW w:type="dxa" w:w="1600"/>
            <w:tcMar>
              <w:top w:w="80" w:type="dxa"/>
              <w:start w:w="120" w:type="dxa"/>
              <w:bottom w:w="80" w:type="dxa"/>
              <w:end w:w="120" w:type="dxa"/>
            </w:tcMar>
            <w:vAlign w:val="center"/>
          </w:tcPr>
          <w:p>
            <w:pPr>
              <w:spacing w:before="0" w:after="0" w:line="259" w:lineRule="auto"/>
            </w:pPr>
            <w:r>
              <w:rPr>
                <w:sz w:val="18"/>
              </w:rPr>
              <w:t>High</w:t>
            </w:r>
          </w:p>
        </w:tc>
        <w:tc>
          <w:tcPr>
            <w:tcW w:type="dxa" w:w="1700"/>
            <w:tcMar>
              <w:top w:w="80" w:type="dxa"/>
              <w:start w:w="120" w:type="dxa"/>
              <w:bottom w:w="80" w:type="dxa"/>
              <w:end w:w="120" w:type="dxa"/>
            </w:tcMar>
            <w:vAlign w:val="center"/>
          </w:tcPr>
          <w:p>
            <w:pPr>
              <w:spacing w:before="0" w:after="0" w:line="259" w:lineRule="auto"/>
            </w:pPr>
            <w:r>
              <w:rPr>
                <w:sz w:val="18"/>
              </w:rPr>
              <w:t>ZC, ZS, ZW, ZL, ZM</w:t>
            </w:r>
          </w:p>
        </w:tc>
        <w:tc>
          <w:tcPr>
            <w:tcW w:type="dxa" w:w="3860"/>
            <w:tcMar>
              <w:top w:w="80" w:type="dxa"/>
              <w:start w:w="120" w:type="dxa"/>
              <w:bottom w:w="80" w:type="dxa"/>
              <w:end w:w="120" w:type="dxa"/>
            </w:tcMar>
            <w:vAlign w:val="center"/>
          </w:tcPr>
          <w:p>
            <w:pPr>
              <w:spacing w:before="0" w:after="0" w:line="259" w:lineRule="auto"/>
            </w:pPr>
            <w:r>
              <w:rPr>
                <w:sz w:val="18"/>
              </w:rPr>
              <w:t>Strong conceptual fit for growers, processors, and commercial users.</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Currencies / FX</w:t>
            </w:r>
          </w:p>
        </w:tc>
        <w:tc>
          <w:tcPr>
            <w:tcW w:type="dxa" w:w="1600"/>
            <w:tcMar>
              <w:top w:w="80" w:type="dxa"/>
              <w:start w:w="120" w:type="dxa"/>
              <w:bottom w:w="80" w:type="dxa"/>
              <w:end w:w="120" w:type="dxa"/>
            </w:tcMar>
            <w:vAlign w:val="center"/>
          </w:tcPr>
          <w:p>
            <w:pPr>
              <w:spacing w:before="0" w:after="0" w:line="259" w:lineRule="auto"/>
            </w:pPr>
            <w:r>
              <w:rPr>
                <w:sz w:val="18"/>
              </w:rPr>
              <w:t>High</w:t>
            </w:r>
          </w:p>
        </w:tc>
        <w:tc>
          <w:tcPr>
            <w:tcW w:type="dxa" w:w="1700"/>
            <w:tcMar>
              <w:top w:w="80" w:type="dxa"/>
              <w:start w:w="120" w:type="dxa"/>
              <w:bottom w:w="80" w:type="dxa"/>
              <w:end w:w="120" w:type="dxa"/>
            </w:tcMar>
            <w:vAlign w:val="center"/>
          </w:tcPr>
          <w:p>
            <w:pPr>
              <w:spacing w:before="0" w:after="0" w:line="259" w:lineRule="auto"/>
            </w:pPr>
            <w:r>
              <w:rPr>
                <w:sz w:val="18"/>
              </w:rPr>
              <w:t>6E, 6B, 6J, 6A, 6S</w:t>
            </w:r>
          </w:p>
        </w:tc>
        <w:tc>
          <w:tcPr>
            <w:tcW w:type="dxa" w:w="3860"/>
            <w:tcMar>
              <w:top w:w="80" w:type="dxa"/>
              <w:start w:w="120" w:type="dxa"/>
              <w:bottom w:w="80" w:type="dxa"/>
              <w:end w:w="120" w:type="dxa"/>
            </w:tcMar>
            <w:vAlign w:val="center"/>
          </w:tcPr>
          <w:p>
            <w:pPr>
              <w:spacing w:before="0" w:after="0" w:line="259" w:lineRule="auto"/>
            </w:pPr>
            <w:r>
              <w:rPr>
                <w:sz w:val="18"/>
              </w:rPr>
              <w:t>Useful positioning context for currency futures and related FX/CFD markets. Test Euro features individually.</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Crypto futures</w:t>
            </w:r>
          </w:p>
        </w:tc>
        <w:tc>
          <w:tcPr>
            <w:tcW w:type="dxa" w:w="1600"/>
            <w:tcMar>
              <w:top w:w="80" w:type="dxa"/>
              <w:start w:w="120" w:type="dxa"/>
              <w:bottom w:w="80" w:type="dxa"/>
              <w:end w:w="120" w:type="dxa"/>
            </w:tcMar>
            <w:vAlign w:val="center"/>
          </w:tcPr>
          <w:p>
            <w:pPr>
              <w:spacing w:before="0" w:after="0" w:line="259" w:lineRule="auto"/>
            </w:pPr>
            <w:r>
              <w:rPr>
                <w:sz w:val="18"/>
              </w:rPr>
              <w:t>Promising</w:t>
            </w:r>
          </w:p>
        </w:tc>
        <w:tc>
          <w:tcPr>
            <w:tcW w:type="dxa" w:w="1700"/>
            <w:tcMar>
              <w:top w:w="80" w:type="dxa"/>
              <w:start w:w="120" w:type="dxa"/>
              <w:bottom w:w="80" w:type="dxa"/>
              <w:end w:w="120" w:type="dxa"/>
            </w:tcMar>
            <w:vAlign w:val="center"/>
          </w:tcPr>
          <w:p>
            <w:pPr>
              <w:spacing w:before="0" w:after="0" w:line="259" w:lineRule="auto"/>
            </w:pPr>
            <w:r>
              <w:rPr>
                <w:sz w:val="18"/>
              </w:rPr>
              <w:t>BTC, ETH</w:t>
            </w:r>
          </w:p>
        </w:tc>
        <w:tc>
          <w:tcPr>
            <w:tcW w:type="dxa" w:w="3860"/>
            <w:tcMar>
              <w:top w:w="80" w:type="dxa"/>
              <w:start w:w="120" w:type="dxa"/>
              <w:bottom w:w="80" w:type="dxa"/>
              <w:end w:w="120" w:type="dxa"/>
            </w:tcMar>
            <w:vAlign w:val="center"/>
          </w:tcPr>
          <w:p>
            <w:pPr>
              <w:spacing w:before="0" w:after="0" w:line="259" w:lineRule="auto"/>
            </w:pPr>
            <w:r>
              <w:rPr>
                <w:sz w:val="18"/>
              </w:rPr>
              <w:t>Shorter history and contract changes require careful warm-up and mapping.</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Soft commodities</w:t>
            </w:r>
          </w:p>
        </w:tc>
        <w:tc>
          <w:tcPr>
            <w:tcW w:type="dxa" w:w="1600"/>
            <w:tcMar>
              <w:top w:w="80" w:type="dxa"/>
              <w:start w:w="120" w:type="dxa"/>
              <w:bottom w:w="80" w:type="dxa"/>
              <w:end w:w="120" w:type="dxa"/>
            </w:tcMar>
            <w:vAlign w:val="center"/>
          </w:tcPr>
          <w:p>
            <w:pPr>
              <w:spacing w:before="0" w:after="0" w:line="259" w:lineRule="auto"/>
            </w:pPr>
            <w:r>
              <w:rPr>
                <w:sz w:val="18"/>
              </w:rPr>
              <w:t>Medium-high</w:t>
            </w:r>
          </w:p>
        </w:tc>
        <w:tc>
          <w:tcPr>
            <w:tcW w:type="dxa" w:w="1700"/>
            <w:tcMar>
              <w:top w:w="80" w:type="dxa"/>
              <w:start w:w="120" w:type="dxa"/>
              <w:bottom w:w="80" w:type="dxa"/>
              <w:end w:w="120" w:type="dxa"/>
            </w:tcMar>
            <w:vAlign w:val="center"/>
          </w:tcPr>
          <w:p>
            <w:pPr>
              <w:spacing w:before="0" w:after="0" w:line="259" w:lineRule="auto"/>
            </w:pPr>
            <w:r>
              <w:rPr>
                <w:sz w:val="18"/>
              </w:rPr>
              <w:t>SB, KC, CC, CT</w:t>
            </w:r>
          </w:p>
        </w:tc>
        <w:tc>
          <w:tcPr>
            <w:tcW w:type="dxa" w:w="3860"/>
            <w:tcMar>
              <w:top w:w="80" w:type="dxa"/>
              <w:start w:w="120" w:type="dxa"/>
              <w:bottom w:w="80" w:type="dxa"/>
              <w:end w:w="120" w:type="dxa"/>
            </w:tcMar>
            <w:vAlign w:val="center"/>
          </w:tcPr>
          <w:p>
            <w:pPr>
              <w:spacing w:before="0" w:after="0" w:line="259" w:lineRule="auto"/>
            </w:pPr>
            <w:r>
              <w:rPr>
                <w:sz w:val="18"/>
              </w:rPr>
              <w:t>Potentially useful but instrument-specific.</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Equity indices</w:t>
            </w:r>
          </w:p>
        </w:tc>
        <w:tc>
          <w:tcPr>
            <w:tcW w:type="dxa" w:w="1600"/>
            <w:tcMar>
              <w:top w:w="80" w:type="dxa"/>
              <w:start w:w="120" w:type="dxa"/>
              <w:bottom w:w="80" w:type="dxa"/>
              <w:end w:w="120" w:type="dxa"/>
            </w:tcMar>
            <w:vAlign w:val="center"/>
          </w:tcPr>
          <w:p>
            <w:pPr>
              <w:spacing w:before="0" w:after="0" w:line="259" w:lineRule="auto"/>
            </w:pPr>
            <w:r>
              <w:rPr>
                <w:sz w:val="18"/>
              </w:rPr>
              <w:t>Lower for direct use</w:t>
            </w:r>
          </w:p>
        </w:tc>
        <w:tc>
          <w:tcPr>
            <w:tcW w:type="dxa" w:w="1700"/>
            <w:tcMar>
              <w:top w:w="80" w:type="dxa"/>
              <w:start w:w="120" w:type="dxa"/>
              <w:bottom w:w="80" w:type="dxa"/>
              <w:end w:w="120" w:type="dxa"/>
            </w:tcMar>
            <w:vAlign w:val="center"/>
          </w:tcPr>
          <w:p>
            <w:pPr>
              <w:spacing w:before="0" w:after="0" w:line="259" w:lineRule="auto"/>
            </w:pPr>
            <w:r>
              <w:rPr>
                <w:sz w:val="18"/>
              </w:rPr>
              <w:t>ES, NQ, YM, RTY</w:t>
            </w:r>
          </w:p>
        </w:tc>
        <w:tc>
          <w:tcPr>
            <w:tcW w:type="dxa" w:w="3860"/>
            <w:tcMar>
              <w:top w:w="80" w:type="dxa"/>
              <w:start w:w="120" w:type="dxa"/>
              <w:bottom w:w="80" w:type="dxa"/>
              <w:end w:w="120" w:type="dxa"/>
            </w:tcMar>
            <w:vAlign w:val="center"/>
          </w:tcPr>
          <w:p>
            <w:pPr>
              <w:spacing w:before="0" w:after="0" w:line="259" w:lineRule="auto"/>
            </w:pPr>
            <w:r>
              <w:rPr>
                <w:sz w:val="18"/>
              </w:rPr>
              <w:t>The positioning-price relationship may change across regimes.</w:t>
            </w:r>
          </w:p>
        </w:tc>
      </w:tr>
      <w:tr>
        <w:trPr>
          <w:cantSplit/>
        </w:trPr>
        <w:tc>
          <w:tcPr>
            <w:tcW w:type="dxa" w:w="2200"/>
            <w:tcMar>
              <w:top w:w="80" w:type="dxa"/>
              <w:start w:w="120" w:type="dxa"/>
              <w:bottom w:w="80" w:type="dxa"/>
              <w:end w:w="120" w:type="dxa"/>
            </w:tcMar>
            <w:vAlign w:val="center"/>
          </w:tcPr>
          <w:p>
            <w:pPr>
              <w:spacing w:before="0" w:after="0" w:line="259" w:lineRule="auto"/>
            </w:pPr>
            <w:r>
              <w:rPr>
                <w:sz w:val="18"/>
              </w:rPr>
              <w:t>VX COT for indices</w:t>
            </w:r>
          </w:p>
        </w:tc>
        <w:tc>
          <w:tcPr>
            <w:tcW w:type="dxa" w:w="1600"/>
            <w:tcMar>
              <w:top w:w="80" w:type="dxa"/>
              <w:start w:w="120" w:type="dxa"/>
              <w:bottom w:w="80" w:type="dxa"/>
              <w:end w:w="120" w:type="dxa"/>
            </w:tcMar>
            <w:vAlign w:val="center"/>
          </w:tcPr>
          <w:p>
            <w:pPr>
              <w:spacing w:before="0" w:after="0" w:line="259" w:lineRule="auto"/>
            </w:pPr>
            <w:r>
              <w:rPr>
                <w:sz w:val="18"/>
              </w:rPr>
              <w:t>Research hypothesis</w:t>
            </w:r>
          </w:p>
        </w:tc>
        <w:tc>
          <w:tcPr>
            <w:tcW w:type="dxa" w:w="1700"/>
            <w:tcMar>
              <w:top w:w="80" w:type="dxa"/>
              <w:start w:w="120" w:type="dxa"/>
              <w:bottom w:w="80" w:type="dxa"/>
              <w:end w:w="120" w:type="dxa"/>
            </w:tcMar>
            <w:vAlign w:val="center"/>
          </w:tcPr>
          <w:p>
            <w:pPr>
              <w:spacing w:before="0" w:after="0" w:line="259" w:lineRule="auto"/>
            </w:pPr>
            <w:r>
              <w:rPr>
                <w:sz w:val="18"/>
              </w:rPr>
              <w:t>VX -&gt; ES/NQ/YM/RTY</w:t>
            </w:r>
          </w:p>
        </w:tc>
        <w:tc>
          <w:tcPr>
            <w:tcW w:type="dxa" w:w="3860"/>
            <w:tcMar>
              <w:top w:w="80" w:type="dxa"/>
              <w:start w:w="120" w:type="dxa"/>
              <w:bottom w:w="80" w:type="dxa"/>
              <w:end w:w="120" w:type="dxa"/>
            </w:tcMar>
            <w:vAlign w:val="center"/>
          </w:tcPr>
          <w:p>
            <w:pPr>
              <w:spacing w:before="0" w:after="0" w:line="259" w:lineRule="auto"/>
            </w:pPr>
            <w:r>
              <w:rPr>
                <w:sz w:val="18"/>
              </w:rPr>
              <w:t>Cross-market proxy candidate; VX COT itself may be relatively weak. Validate direction and stability.</w:t>
            </w:r>
          </w:p>
        </w:tc>
      </w:tr>
    </w:tbl>
    <w:p>
      <w:pPr>
        <w:spacing w:after="20"/>
      </w:pPr>
    </w:p>
    <w:p>
      <w:pPr>
        <w:pStyle w:val="Heading2"/>
      </w:pPr>
      <w:r>
        <w:t>Euro / FX starting feature set</w:t>
      </w:r>
    </w:p>
    <w:p>
      <w:pPr>
        <w:keepLines w:val="0"/>
      </w:pPr>
      <w:r>
        <w:rPr>
          <w:i w:val="0"/>
        </w:rPr>
        <w:t>For Euro currency-futures research, begin with the 156-week versions of cpihedg, cpispec, cpismall, and ctispec. Test each feature separately and then in controlled combinations. The purpose is to measure incremental value, not to assume the four-field average is automatically optimal.</w:t>
      </w:r>
    </w:p>
    <w:p>
      <w:pPr>
        <w:pStyle w:val="Heading1"/>
      </w:pPr>
      <w:r>
        <w:t>5. Research Findings and Limitations</w:t>
      </w:r>
    </w:p>
    <w:p>
      <w:pPr>
        <w:pStyle w:val="Heading2"/>
      </w:pPr>
      <w:r>
        <w:t>Supported practical principles and research priorities</w:t>
      </w:r>
    </w:p>
    <w:p>
      <w:pPr>
        <w:spacing w:after="80" w:line="300" w:lineRule="auto"/>
        <w:numPr>
          <w:ilvl w:val="0"/>
          <w:numId w:val="10"/>
        </w:numPr>
      </w:pPr>
      <w:r>
        <w:t>COT extremes are generally more informative research states than neutral readings.</w:t>
      </w:r>
    </w:p>
    <w:p>
      <w:pPr>
        <w:spacing w:after="80" w:line="300" w:lineRule="auto"/>
        <w:numPr>
          <w:ilvl w:val="0"/>
          <w:numId w:val="10"/>
        </w:numPr>
      </w:pPr>
      <w:r>
        <w:t>COT is best treated as a slow regime, filter, or contextual feature; independent price logic should normally control entry timing.</w:t>
      </w:r>
    </w:p>
    <w:p>
      <w:pPr>
        <w:spacing w:after="80" w:line="300" w:lineRule="auto"/>
        <w:numPr>
          <w:ilvl w:val="0"/>
          <w:numId w:val="10"/>
        </w:numPr>
      </w:pPr>
      <w:r>
        <w:t>The 156-week normalization is the preferred initial baseline. The 52-week version is a separate faster hypothesis.</w:t>
      </w:r>
    </w:p>
    <w:p>
      <w:pPr>
        <w:spacing w:after="80" w:line="300" w:lineRule="auto"/>
        <w:numPr>
          <w:ilvl w:val="0"/>
          <w:numId w:val="10"/>
        </w:numPr>
      </w:pPr>
      <w:r>
        <w:t>Practitioner experience suggests COT can contribute conditional information in gradient-boosted-tree models, especially for commodities, but this requires formal feature-ablation testing.</w:t>
      </w:r>
    </w:p>
    <w:p>
      <w:pPr>
        <w:pStyle w:val="Heading2"/>
      </w:pPr>
      <w:r>
        <w:t>What did not demonstrate robust standalone value</w:t>
      </w:r>
    </w:p>
    <w:p>
      <w:pPr>
        <w:spacing w:after="80" w:line="300" w:lineRule="auto"/>
        <w:numPr>
          <w:ilvl w:val="0"/>
          <w:numId w:val="10"/>
        </w:numPr>
      </w:pPr>
      <w:r>
        <w:t>Simple rules such as COT &gt; 0.90 -&gt; Buy did not show stable cross-market edge.</w:t>
      </w:r>
    </w:p>
    <w:p>
      <w:pPr>
        <w:spacing w:after="80" w:line="300" w:lineRule="auto"/>
        <w:numPr>
          <w:ilvl w:val="0"/>
          <w:numId w:val="10"/>
        </w:numPr>
      </w:pPr>
      <w:r>
        <w:t>The initial research covered 45 markets, several sectors, three base strategies, and multiple COT-filter structures without consistent outperformance versus the stated random benchmark.</w:t>
      </w:r>
    </w:p>
    <w:p>
      <w:pPr>
        <w:spacing w:after="80" w:line="300" w:lineRule="auto"/>
        <w:numPr>
          <w:ilvl w:val="0"/>
          <w:numId w:val="10"/>
        </w:numPr>
      </w:pPr>
      <w:r>
        <w:t>The Full-Cycle strategy did not demonstrate robust standalone value in the initial test.</w:t>
      </w:r>
    </w:p>
    <w:p>
      <w:pPr>
        <w:spacing w:after="80" w:line="300" w:lineRule="auto"/>
        <w:numPr>
          <w:ilvl w:val="0"/>
          <w:numId w:val="10"/>
        </w:numPr>
      </w:pPr>
      <w:r>
        <w:t>Some apparently improved metrics were associated with eliminating a large proportion of trades, increasing selection-bias risk.</w:t>
      </w:r>
    </w:p>
    <w:p>
      <w:pPr>
        <w:pStyle w:val="Heading2"/>
      </w:pPr>
      <w:r>
        <w:t>Recommended multi-factor use</w:t>
      </w:r>
    </w:p>
    <w:p>
      <w:pPr>
        <w:pStyle w:val="CodeBlock"/>
        <w:keepLines/>
        <w:shd w:fill="F2F4F7"/>
      </w:pPr>
      <w:r>
        <w:t>Price features</w:t>
      </w:r>
      <w:r>
        <w:br/>
      </w:r>
      <w:r>
        <w:t>+ Trend and momentum</w:t>
      </w:r>
      <w:r>
        <w:br/>
      </w:r>
      <w:r>
        <w:t>+ Volatility and drawdown</w:t>
      </w:r>
      <w:r>
        <w:br/>
      </w:r>
      <w:r>
        <w:t>+ Seasonality / term structure where available</w:t>
      </w:r>
      <w:r>
        <w:br/>
      </w:r>
      <w:r>
        <w:t>+ Raw and derived COT features</w:t>
      </w:r>
      <w:r>
        <w:br/>
      </w:r>
      <w:r>
        <w:t>+ COT momentum / cross-market context</w:t>
      </w:r>
      <w:r>
        <w:br/>
      </w:r>
      <w:r>
        <w:t>= Deterministic multi-factor model or ML model</w:t>
      </w:r>
    </w:p>
    <w:p>
      <w:pPr>
        <w:keepLines w:val="0"/>
      </w:pPr>
      <w:r>
        <w:rPr>
          <w:i w:val="0"/>
        </w:rPr>
        <w:t>Avoid presenting the following as a validated strategy:</w:t>
      </w:r>
    </w:p>
    <w:p>
      <w:pPr>
        <w:pStyle w:val="CodeBlock"/>
        <w:keepLines/>
        <w:shd w:fill="F2F4F7"/>
      </w:pPr>
      <w:r>
        <w:t>COT &gt; 0.90  -&gt;  Buy</w:t>
      </w:r>
    </w:p>
    <w:p>
      <w:pPr>
        <w:pStyle w:val="Heading2"/>
      </w:pPr>
      <w:r>
        <w:t>Minimum validation standard</w:t>
      </w:r>
    </w:p>
    <w:p>
      <w:pPr>
        <w:spacing w:after="80" w:line="300" w:lineRule="auto"/>
        <w:numPr>
          <w:ilvl w:val="0"/>
          <w:numId w:val="10"/>
        </w:numPr>
      </w:pPr>
      <w:r>
        <w:t>Use identical walk-forward or out-of-sample splits for models with and without COT features.</w:t>
      </w:r>
    </w:p>
    <w:p>
      <w:pPr>
        <w:spacing w:after="80" w:line="300" w:lineRule="auto"/>
        <w:numPr>
          <w:ilvl w:val="0"/>
          <w:numId w:val="10"/>
        </w:numPr>
      </w:pPr>
      <w:r>
        <w:t>Run feature ablation: remove one COT field or feature family at a time.</w:t>
      </w:r>
    </w:p>
    <w:p>
      <w:pPr>
        <w:spacing w:after="80" w:line="300" w:lineRule="auto"/>
        <w:numPr>
          <w:ilvl w:val="0"/>
          <w:numId w:val="10"/>
        </w:numPr>
      </w:pPr>
      <w:r>
        <w:t>Measure stability by instrument and market family, not only pooled results.</w:t>
      </w:r>
    </w:p>
    <w:p>
      <w:pPr>
        <w:spacing w:after="80" w:line="300" w:lineRule="auto"/>
        <w:numPr>
          <w:ilvl w:val="0"/>
          <w:numId w:val="10"/>
        </w:numPr>
      </w:pPr>
      <w:r>
        <w:t>Account for the reduction in trade count caused by filters.</w:t>
      </w:r>
    </w:p>
    <w:p>
      <w:pPr>
        <w:spacing w:after="80" w:line="300" w:lineRule="auto"/>
        <w:numPr>
          <w:ilvl w:val="0"/>
          <w:numId w:val="10"/>
        </w:numPr>
      </w:pPr>
      <w:r>
        <w:t>Enforce the real COT publication-availability date and prohibit future leakage.</w:t>
      </w:r>
    </w:p>
    <w:p>
      <w:pPr>
        <w:pStyle w:val="Heading1"/>
      </w:pPr>
      <w:r>
        <w:t>Appendix A: Scale, Timing, and Data-Alignment Rules</w:t>
      </w:r>
    </w:p>
    <w:p>
      <w:pPr>
        <w:pStyle w:val="Heading2"/>
      </w:pPr>
      <w:r>
        <w:t>A.1 Weekly availability and no lookahead</w:t>
      </w:r>
    </w:p>
    <w:p>
      <w:pPr>
        <w:keepLines w:val="0"/>
      </w:pPr>
      <w:r>
        <w:rPr>
          <w:i w:val="0"/>
        </w:rPr>
        <w:t>COT values describe weekly positioning but must only become available to a strategy when the processed observation is published and delivered. For any SQX bar, use the nearest known COT record with timestamp less than or equal to the strategy-bar timestamp. Never attach a later weekly value to an earlier daily or intraday bar.</w:t>
      </w:r>
    </w:p>
    <w:p>
      <w:pPr>
        <w:pStyle w:val="Heading2"/>
      </w:pPr>
      <w:r>
        <w:t>A.2 Lower-timeframe carry-forward behavior</w:t>
      </w:r>
    </w:p>
    <w:p>
      <w:pPr>
        <w:keepLines w:val="0"/>
      </w:pPr>
      <w:r>
        <w:rPr>
          <w:i w:val="0"/>
        </w:rPr>
        <w:t>Because COT changes weekly, the same observation may appear on many D1, H4, H1, or intraday bars. This is expected. Momentum lookbacks must be counted in COT observations/reports, not chart bars, unless the block explicitly converts chart bars into weekly observation indices.</w:t>
      </w:r>
    </w:p>
    <w:p>
      <w:pPr>
        <w:pStyle w:val="Heading2"/>
      </w:pPr>
      <w:r>
        <w:t>A.3 AUTO symbol resolution</w:t>
      </w:r>
    </w:p>
    <w:p>
      <w:pPr>
        <w:keepLines w:val="0"/>
      </w:pPr>
      <w:r>
        <w:rPr>
          <w:i w:val="0"/>
        </w:rPr>
        <w:t>CotSymbol=AUTO selects the COT file from the chart instrument and SQX data settings. More than 100 chart-symbol aliases may map into the available COT symbol universe. Before research or live use, verify the resolved futures series, especially for broker prefixes/suffixes, CFDs, spot FX, and cross-market proxies.</w:t>
      </w:r>
    </w:p>
    <w:p>
      <w:pPr>
        <w:pStyle w:val="Heading2"/>
      </w:pPr>
      <w:r>
        <w:t>A.4 Operational checks</w:t>
      </w:r>
    </w:p>
    <w:p>
      <w:pPr>
        <w:spacing w:after="80" w:line="300" w:lineRule="auto"/>
        <w:numPr>
          <w:ilvl w:val="0"/>
          <w:numId w:val="10"/>
        </w:numPr>
      </w:pPr>
      <w:r>
        <w:t>The COT downloader/cache has completed successfully on the target platform.</w:t>
      </w:r>
    </w:p>
    <w:p>
      <w:pPr>
        <w:spacing w:after="80" w:line="300" w:lineRule="auto"/>
        <w:numPr>
          <w:ilvl w:val="0"/>
          <w:numId w:val="10"/>
        </w:numPr>
      </w:pPr>
      <w:r>
        <w:t>The latest COT date is current and the required history is present.</w:t>
      </w:r>
    </w:p>
    <w:p>
      <w:pPr>
        <w:spacing w:after="80" w:line="300" w:lineRule="auto"/>
        <w:numPr>
          <w:ilvl w:val="0"/>
          <w:numId w:val="10"/>
        </w:numPr>
      </w:pPr>
      <w:r>
        <w:t>The selected 156-week calculation has enough warm-up history.</w:t>
      </w:r>
    </w:p>
    <w:p>
      <w:pPr>
        <w:spacing w:after="80" w:line="300" w:lineRule="auto"/>
        <w:numPr>
          <w:ilvl w:val="0"/>
          <w:numId w:val="10"/>
        </w:numPr>
      </w:pPr>
      <w:r>
        <w:t>Missing reports and holidays use the last known value without inventing a new observation.</w:t>
      </w:r>
    </w:p>
    <w:p>
      <w:pPr>
        <w:spacing w:after="80" w:line="300" w:lineRule="auto"/>
        <w:numPr>
          <w:ilvl w:val="0"/>
          <w:numId w:val="10"/>
        </w:numPr>
      </w:pPr>
      <w:r>
        <w:t>Generated MT4, MT5, NinjaTrader, TradeStation/MultiCharts, or JForex code uses the same scale and field mapping as SQX.</w:t>
      </w:r>
    </w:p>
    <w:p>
      <w:pPr>
        <w:pStyle w:val="Heading2"/>
      </w:pPr>
      <w:r>
        <w:t>A.5 Final implementation checklist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spacing w:after="0" w:line="240" w:lineRule="auto"/>
            </w:pPr>
            <w:r>
              <w:rPr>
                <w:b/>
                <w:sz w:val="19"/>
              </w:rPr>
              <w:t>Do</w:t>
            </w:r>
          </w:p>
        </w:tc>
        <w:tc>
          <w:tcPr>
            <w:tcW w:type="dxa" w:w="4680"/>
            <w:shd w:fill="E8EEF5"/>
            <w:tcMar>
              <w:top w:w="80" w:type="dxa"/>
              <w:start w:w="120" w:type="dxa"/>
              <w:bottom w:w="80" w:type="dxa"/>
              <w:end w:w="120" w:type="dxa"/>
            </w:tcMar>
            <w:vAlign w:val="center"/>
          </w:tcPr>
          <w:p>
            <w:pPr>
              <w:spacing w:after="0" w:line="240" w:lineRule="auto"/>
            </w:pPr>
            <w:r>
              <w:rPr>
                <w:b/>
                <w:sz w:val="19"/>
              </w:rPr>
              <w:t>Do not</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Use COT as a slow regime/filter.</w:t>
            </w:r>
          </w:p>
        </w:tc>
        <w:tc>
          <w:tcPr>
            <w:tcW w:type="dxa" w:w="4680"/>
            <w:tcMar>
              <w:top w:w="80" w:type="dxa"/>
              <w:start w:w="120" w:type="dxa"/>
              <w:bottom w:w="80" w:type="dxa"/>
              <w:end w:w="120" w:type="dxa"/>
            </w:tcMar>
            <w:vAlign w:val="center"/>
          </w:tcPr>
          <w:p>
            <w:pPr>
              <w:spacing w:before="0" w:after="0" w:line="259" w:lineRule="auto"/>
            </w:pPr>
            <w:r>
              <w:rPr>
                <w:sz w:val="18"/>
              </w:rPr>
              <w:t>Use weekly COT as a precise intraday timer.</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Require price or positioning-change confirmation.</w:t>
            </w:r>
          </w:p>
        </w:tc>
        <w:tc>
          <w:tcPr>
            <w:tcW w:type="dxa" w:w="4680"/>
            <w:tcMar>
              <w:top w:w="80" w:type="dxa"/>
              <w:start w:w="120" w:type="dxa"/>
              <w:bottom w:w="80" w:type="dxa"/>
              <w:end w:w="120" w:type="dxa"/>
            </w:tcMar>
            <w:vAlign w:val="center"/>
          </w:tcPr>
          <w:p>
            <w:pPr>
              <w:spacing w:before="0" w:after="0" w:line="259" w:lineRule="auto"/>
            </w:pPr>
            <w:r>
              <w:rPr>
                <w:sz w:val="18"/>
              </w:rPr>
              <w:t>Enter solely because one CPI reached an extreme.</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Begin with 156w and test 52w separately.</w:t>
            </w:r>
          </w:p>
        </w:tc>
        <w:tc>
          <w:tcPr>
            <w:tcW w:type="dxa" w:w="4680"/>
            <w:tcMar>
              <w:top w:w="80" w:type="dxa"/>
              <w:start w:w="120" w:type="dxa"/>
              <w:bottom w:w="80" w:type="dxa"/>
              <w:end w:w="120" w:type="dxa"/>
            </w:tcMar>
            <w:vAlign w:val="center"/>
          </w:tcPr>
          <w:p>
            <w:pPr>
              <w:spacing w:before="0" w:after="0" w:line="259" w:lineRule="auto"/>
            </w:pPr>
            <w:r>
              <w:rPr>
                <w:sz w:val="18"/>
              </w:rPr>
              <w:t>Assume the faster window is automatically superior.</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Verify units before comparing values.</w:t>
            </w:r>
          </w:p>
        </w:tc>
        <w:tc>
          <w:tcPr>
            <w:tcW w:type="dxa" w:w="4680"/>
            <w:tcMar>
              <w:top w:w="80" w:type="dxa"/>
              <w:start w:w="120" w:type="dxa"/>
              <w:bottom w:w="80" w:type="dxa"/>
              <w:end w:w="120" w:type="dxa"/>
            </w:tcMar>
            <w:vAlign w:val="center"/>
          </w:tcPr>
          <w:p>
            <w:pPr>
              <w:spacing w:before="0" w:after="0" w:line="259" w:lineRule="auto"/>
            </w:pPr>
            <w:r>
              <w:rPr>
                <w:sz w:val="18"/>
              </w:rPr>
              <w:t>Compare a 0-to-100 output against 0.80.</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Validate each instrument and market family.</w:t>
            </w:r>
          </w:p>
        </w:tc>
        <w:tc>
          <w:tcPr>
            <w:tcW w:type="dxa" w:w="4680"/>
            <w:tcMar>
              <w:top w:w="80" w:type="dxa"/>
              <w:start w:w="120" w:type="dxa"/>
              <w:bottom w:w="80" w:type="dxa"/>
              <w:end w:w="120" w:type="dxa"/>
            </w:tcMar>
            <w:vAlign w:val="center"/>
          </w:tcPr>
          <w:p>
            <w:pPr>
              <w:spacing w:before="0" w:after="0" w:line="259" w:lineRule="auto"/>
            </w:pPr>
            <w:r>
              <w:rPr>
                <w:sz w:val="18"/>
              </w:rPr>
              <w:t>Use one universal threshold without out-of-sample evidence.</w:t>
            </w:r>
          </w:p>
        </w:tc>
      </w:tr>
      <w:tr>
        <w:trPr>
          <w:cantSplit/>
        </w:trPr>
        <w:tc>
          <w:tcPr>
            <w:tcW w:type="dxa" w:w="4680"/>
            <w:tcMar>
              <w:top w:w="80" w:type="dxa"/>
              <w:start w:w="120" w:type="dxa"/>
              <w:bottom w:w="80" w:type="dxa"/>
              <w:end w:w="120" w:type="dxa"/>
            </w:tcMar>
            <w:vAlign w:val="center"/>
          </w:tcPr>
          <w:p>
            <w:pPr>
              <w:spacing w:before="0" w:after="0" w:line="259" w:lineRule="auto"/>
            </w:pPr>
            <w:r>
              <w:rPr>
                <w:sz w:val="18"/>
              </w:rPr>
              <w:t>Treat COT as one factor in a broader system.</w:t>
            </w:r>
          </w:p>
        </w:tc>
        <w:tc>
          <w:tcPr>
            <w:tcW w:type="dxa" w:w="4680"/>
            <w:tcMar>
              <w:top w:w="80" w:type="dxa"/>
              <w:start w:w="120" w:type="dxa"/>
              <w:bottom w:w="80" w:type="dxa"/>
              <w:end w:w="120" w:type="dxa"/>
            </w:tcMar>
            <w:vAlign w:val="center"/>
          </w:tcPr>
          <w:p>
            <w:pPr>
              <w:spacing w:before="0" w:after="0" w:line="259" w:lineRule="auto"/>
            </w:pPr>
            <w:r>
              <w:rPr>
                <w:sz w:val="18"/>
              </w:rPr>
              <w:t>Claim that a block is profitable because its rationale is plausible.</w:t>
            </w:r>
          </w:p>
        </w:tc>
      </w:tr>
    </w:tbl>
    <w:p>
      <w:pPr>
        <w:spacing w:after="20"/>
      </w:pPr>
    </w:p>
    <w:p>
      <w:pPr>
        <w:keepLines/>
        <w:spacing w:before="120" w:after="160"/>
        <w:ind w:left="173" w:right="115"/>
        <w:shd w:fill="F4F6F9"/>
        <w:pBdr>
          <w:left w:val="single" w:sz="18" w:space="8" w:color="2E74B5"/>
        </w:pBdr>
      </w:pPr>
      <w:r>
        <w:rPr>
          <w:b/>
          <w:color w:val="1F4D78"/>
        </w:rPr>
        <w:t xml:space="preserve">Summary: </w:t>
      </w:r>
      <w:r>
        <w:t>COT blocks identify positioning context, extremes, and changes in trader behavior. Use them to define direction or regime, use price action to decide when to trade, and validate every scale, timestamp, symbol mapping, and feature contribution before production use.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 xml:space="preserve">StrategyQuant X  |  COT Reference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085"/>
        <w:sz w:val="18"/>
      </w:rPr>
      <w:t>COT Indicators &amp; Signals Reference Guide for SQX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140" w:line="276" w:lineRule="auto"/>
      <w:ind w:left="259" w:right="115"/>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Indicators &amp; Signals Reference Guide for SQX</dc:title>
  <dc:subject>Practical reference for 11 COT indicators and 57 COT signal blocks in StrategyQuant X</dc:subject>
  <dc:creator>StrategyQuant / OpenAI</dc:creator>
  <cp:keywords>COT, StrategyQuant X, SQX, indicators, signals, futures positioning, MT5, MT4, NinjaTrader, TradeStation, MultiCharts</cp:keywords>
  <dc:description>generated by python-docx</dc:description>
  <cp:lastModifiedBy/>
  <cp:revision>1</cp:revision>
  <dcterms:created xsi:type="dcterms:W3CDTF">2013-12-23T23:15:00Z</dcterms:created>
  <dcterms:modified xsi:type="dcterms:W3CDTF">2013-12-23T23:15:00Z</dcterms:modified>
  <cp:category/>
</cp:coreProperties>
</file>